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B6E" w:rsidRDefault="00F655B3" w:rsidP="00B83B6E">
      <w:pPr>
        <w:pStyle w:val="TOCHeading"/>
      </w:pPr>
      <w:bookmarkStart w:id="0" w:name="_GoBack"/>
      <w:bookmarkEnd w:id="0"/>
      <w:r w:rsidRPr="00F655B3">
        <w:t>P</w:t>
      </w:r>
      <w:r w:rsidR="00FE7568">
        <w:t xml:space="preserve">articipant outcomes </w:t>
      </w:r>
      <w:r w:rsidR="001D14E1">
        <w:t xml:space="preserve">to </w:t>
      </w:r>
      <w:r w:rsidR="00FE7568">
        <w:t>30 June 2022</w:t>
      </w:r>
    </w:p>
    <w:sdt>
      <w:sdtPr>
        <w:rPr>
          <w:rFonts w:asciiTheme="minorHAnsi" w:eastAsiaTheme="minorHAnsi" w:hAnsiTheme="minorHAnsi" w:cstheme="minorBidi"/>
          <w:color w:val="auto"/>
          <w:sz w:val="22"/>
          <w:szCs w:val="22"/>
          <w:lang w:val="en-AU"/>
        </w:rPr>
        <w:id w:val="1252308795"/>
        <w:docPartObj>
          <w:docPartGallery w:val="Table of Contents"/>
          <w:docPartUnique/>
        </w:docPartObj>
      </w:sdtPr>
      <w:sdtEndPr>
        <w:rPr>
          <w:b/>
          <w:bCs/>
          <w:noProof/>
        </w:rPr>
      </w:sdtEndPr>
      <w:sdtContent>
        <w:p w:rsidR="00A465F8" w:rsidRDefault="00A465F8">
          <w:pPr>
            <w:pStyle w:val="TOCHeading"/>
          </w:pPr>
          <w:r>
            <w:t>Contents</w:t>
          </w:r>
        </w:p>
        <w:p w:rsidR="00C079F1" w:rsidRDefault="00A465F8">
          <w:pPr>
            <w:pStyle w:val="TOC2"/>
            <w:tabs>
              <w:tab w:val="right" w:leader="dot" w:pos="9016"/>
            </w:tabs>
            <w:rPr>
              <w:rFonts w:eastAsiaTheme="minorEastAsia"/>
              <w:noProof/>
              <w:lang w:eastAsia="en-AU"/>
            </w:rPr>
          </w:pPr>
          <w:r>
            <w:fldChar w:fldCharType="begin"/>
          </w:r>
          <w:r>
            <w:instrText xml:space="preserve"> TOC \o "1-3" \h \z \u </w:instrText>
          </w:r>
          <w:r>
            <w:fldChar w:fldCharType="separate"/>
          </w:r>
          <w:hyperlink w:anchor="_Toc121151383" w:history="1">
            <w:r w:rsidR="00C079F1" w:rsidRPr="003522B2">
              <w:rPr>
                <w:rStyle w:val="Hyperlink"/>
                <w:noProof/>
              </w:rPr>
              <w:t>Slide 1: Participant outcomes 30 June 2022</w:t>
            </w:r>
            <w:r w:rsidR="00C079F1">
              <w:rPr>
                <w:noProof/>
                <w:webHidden/>
              </w:rPr>
              <w:tab/>
            </w:r>
            <w:r w:rsidR="00C079F1">
              <w:rPr>
                <w:noProof/>
                <w:webHidden/>
              </w:rPr>
              <w:fldChar w:fldCharType="begin"/>
            </w:r>
            <w:r w:rsidR="00C079F1">
              <w:rPr>
                <w:noProof/>
                <w:webHidden/>
              </w:rPr>
              <w:instrText xml:space="preserve"> PAGEREF _Toc121151383 \h </w:instrText>
            </w:r>
            <w:r w:rsidR="00C079F1">
              <w:rPr>
                <w:noProof/>
                <w:webHidden/>
              </w:rPr>
            </w:r>
            <w:r w:rsidR="00C079F1">
              <w:rPr>
                <w:noProof/>
                <w:webHidden/>
              </w:rPr>
              <w:fldChar w:fldCharType="separate"/>
            </w:r>
            <w:r w:rsidR="00C079F1">
              <w:rPr>
                <w:noProof/>
                <w:webHidden/>
              </w:rPr>
              <w:t>3</w:t>
            </w:r>
            <w:r w:rsidR="00C079F1">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384" w:history="1">
            <w:r w:rsidRPr="003522B2">
              <w:rPr>
                <w:rStyle w:val="Hyperlink"/>
                <w:noProof/>
              </w:rPr>
              <w:t>Slide 2: Contents</w:t>
            </w:r>
            <w:r>
              <w:rPr>
                <w:noProof/>
                <w:webHidden/>
              </w:rPr>
              <w:tab/>
            </w:r>
            <w:r>
              <w:rPr>
                <w:noProof/>
                <w:webHidden/>
              </w:rPr>
              <w:fldChar w:fldCharType="begin"/>
            </w:r>
            <w:r>
              <w:rPr>
                <w:noProof/>
                <w:webHidden/>
              </w:rPr>
              <w:instrText xml:space="preserve"> PAGEREF _Toc121151384 \h </w:instrText>
            </w:r>
            <w:r>
              <w:rPr>
                <w:noProof/>
                <w:webHidden/>
              </w:rPr>
            </w:r>
            <w:r>
              <w:rPr>
                <w:noProof/>
                <w:webHidden/>
              </w:rPr>
              <w:fldChar w:fldCharType="separate"/>
            </w:r>
            <w:r>
              <w:rPr>
                <w:noProof/>
                <w:webHidden/>
              </w:rPr>
              <w:t>3</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385" w:history="1">
            <w:r w:rsidRPr="003522B2">
              <w:rPr>
                <w:rStyle w:val="Hyperlink"/>
                <w:noProof/>
              </w:rPr>
              <w:t>Slide 3: Summary of findings</w:t>
            </w:r>
            <w:r>
              <w:rPr>
                <w:noProof/>
                <w:webHidden/>
              </w:rPr>
              <w:tab/>
            </w:r>
            <w:r>
              <w:rPr>
                <w:noProof/>
                <w:webHidden/>
              </w:rPr>
              <w:fldChar w:fldCharType="begin"/>
            </w:r>
            <w:r>
              <w:rPr>
                <w:noProof/>
                <w:webHidden/>
              </w:rPr>
              <w:instrText xml:space="preserve"> PAGEREF _Toc121151385 \h </w:instrText>
            </w:r>
            <w:r>
              <w:rPr>
                <w:noProof/>
                <w:webHidden/>
              </w:rPr>
            </w:r>
            <w:r>
              <w:rPr>
                <w:noProof/>
                <w:webHidden/>
              </w:rPr>
              <w:fldChar w:fldCharType="separate"/>
            </w:r>
            <w:r>
              <w:rPr>
                <w:noProof/>
                <w:webHidden/>
              </w:rPr>
              <w:t>4</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386" w:history="1">
            <w:r w:rsidRPr="003522B2">
              <w:rPr>
                <w:rStyle w:val="Hyperlink"/>
                <w:noProof/>
              </w:rPr>
              <w:t>Slide 4: Summary of findings</w:t>
            </w:r>
            <w:r>
              <w:rPr>
                <w:noProof/>
                <w:webHidden/>
              </w:rPr>
              <w:tab/>
            </w:r>
            <w:r>
              <w:rPr>
                <w:noProof/>
                <w:webHidden/>
              </w:rPr>
              <w:fldChar w:fldCharType="begin"/>
            </w:r>
            <w:r>
              <w:rPr>
                <w:noProof/>
                <w:webHidden/>
              </w:rPr>
              <w:instrText xml:space="preserve"> PAGEREF _Toc121151386 \h </w:instrText>
            </w:r>
            <w:r>
              <w:rPr>
                <w:noProof/>
                <w:webHidden/>
              </w:rPr>
            </w:r>
            <w:r>
              <w:rPr>
                <w:noProof/>
                <w:webHidden/>
              </w:rPr>
              <w:fldChar w:fldCharType="separate"/>
            </w:r>
            <w:r>
              <w:rPr>
                <w:noProof/>
                <w:webHidden/>
              </w:rPr>
              <w:t>4</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387" w:history="1">
            <w:r w:rsidRPr="003522B2">
              <w:rPr>
                <w:rStyle w:val="Hyperlink"/>
                <w:noProof/>
              </w:rPr>
              <w:t>Slide 5: Summary of findings</w:t>
            </w:r>
            <w:r>
              <w:rPr>
                <w:noProof/>
                <w:webHidden/>
              </w:rPr>
              <w:tab/>
            </w:r>
            <w:r>
              <w:rPr>
                <w:noProof/>
                <w:webHidden/>
              </w:rPr>
              <w:fldChar w:fldCharType="begin"/>
            </w:r>
            <w:r>
              <w:rPr>
                <w:noProof/>
                <w:webHidden/>
              </w:rPr>
              <w:instrText xml:space="preserve"> PAGEREF _Toc121151387 \h </w:instrText>
            </w:r>
            <w:r>
              <w:rPr>
                <w:noProof/>
                <w:webHidden/>
              </w:rPr>
            </w:r>
            <w:r>
              <w:rPr>
                <w:noProof/>
                <w:webHidden/>
              </w:rPr>
              <w:fldChar w:fldCharType="separate"/>
            </w:r>
            <w:r>
              <w:rPr>
                <w:noProof/>
                <w:webHidden/>
              </w:rPr>
              <w:t>5</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388" w:history="1">
            <w:r w:rsidRPr="003522B2">
              <w:rPr>
                <w:rStyle w:val="Hyperlink"/>
                <w:noProof/>
              </w:rPr>
              <w:t>Slide 6: Summary of findings</w:t>
            </w:r>
            <w:r>
              <w:rPr>
                <w:noProof/>
                <w:webHidden/>
              </w:rPr>
              <w:tab/>
            </w:r>
            <w:r>
              <w:rPr>
                <w:noProof/>
                <w:webHidden/>
              </w:rPr>
              <w:fldChar w:fldCharType="begin"/>
            </w:r>
            <w:r>
              <w:rPr>
                <w:noProof/>
                <w:webHidden/>
              </w:rPr>
              <w:instrText xml:space="preserve"> PAGEREF _Toc121151388 \h </w:instrText>
            </w:r>
            <w:r>
              <w:rPr>
                <w:noProof/>
                <w:webHidden/>
              </w:rPr>
            </w:r>
            <w:r>
              <w:rPr>
                <w:noProof/>
                <w:webHidden/>
              </w:rPr>
              <w:fldChar w:fldCharType="separate"/>
            </w:r>
            <w:r>
              <w:rPr>
                <w:noProof/>
                <w:webHidden/>
              </w:rPr>
              <w:t>6</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389" w:history="1">
            <w:r w:rsidRPr="003522B2">
              <w:rPr>
                <w:rStyle w:val="Hyperlink"/>
                <w:noProof/>
              </w:rPr>
              <w:t>Slide 7: Summary of findings</w:t>
            </w:r>
            <w:r>
              <w:rPr>
                <w:noProof/>
                <w:webHidden/>
              </w:rPr>
              <w:tab/>
            </w:r>
            <w:r>
              <w:rPr>
                <w:noProof/>
                <w:webHidden/>
              </w:rPr>
              <w:fldChar w:fldCharType="begin"/>
            </w:r>
            <w:r>
              <w:rPr>
                <w:noProof/>
                <w:webHidden/>
              </w:rPr>
              <w:instrText xml:space="preserve"> PAGEREF _Toc121151389 \h </w:instrText>
            </w:r>
            <w:r>
              <w:rPr>
                <w:noProof/>
                <w:webHidden/>
              </w:rPr>
            </w:r>
            <w:r>
              <w:rPr>
                <w:noProof/>
                <w:webHidden/>
              </w:rPr>
              <w:fldChar w:fldCharType="separate"/>
            </w:r>
            <w:r>
              <w:rPr>
                <w:noProof/>
                <w:webHidden/>
              </w:rPr>
              <w:t>6</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390" w:history="1">
            <w:r w:rsidRPr="003522B2">
              <w:rPr>
                <w:rStyle w:val="Hyperlink"/>
                <w:noProof/>
              </w:rPr>
              <w:t>Slide 8: Summary of findings</w:t>
            </w:r>
            <w:r>
              <w:rPr>
                <w:noProof/>
                <w:webHidden/>
              </w:rPr>
              <w:tab/>
            </w:r>
            <w:r>
              <w:rPr>
                <w:noProof/>
                <w:webHidden/>
              </w:rPr>
              <w:fldChar w:fldCharType="begin"/>
            </w:r>
            <w:r>
              <w:rPr>
                <w:noProof/>
                <w:webHidden/>
              </w:rPr>
              <w:instrText xml:space="preserve"> PAGEREF _Toc121151390 \h </w:instrText>
            </w:r>
            <w:r>
              <w:rPr>
                <w:noProof/>
                <w:webHidden/>
              </w:rPr>
            </w:r>
            <w:r>
              <w:rPr>
                <w:noProof/>
                <w:webHidden/>
              </w:rPr>
              <w:fldChar w:fldCharType="separate"/>
            </w:r>
            <w:r>
              <w:rPr>
                <w:noProof/>
                <w:webHidden/>
              </w:rPr>
              <w:t>7</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391" w:history="1">
            <w:r w:rsidRPr="003522B2">
              <w:rPr>
                <w:rStyle w:val="Hyperlink"/>
                <w:noProof/>
              </w:rPr>
              <w:t>Slide 9: Summary of findings</w:t>
            </w:r>
            <w:r>
              <w:rPr>
                <w:noProof/>
                <w:webHidden/>
              </w:rPr>
              <w:tab/>
            </w:r>
            <w:r>
              <w:rPr>
                <w:noProof/>
                <w:webHidden/>
              </w:rPr>
              <w:fldChar w:fldCharType="begin"/>
            </w:r>
            <w:r>
              <w:rPr>
                <w:noProof/>
                <w:webHidden/>
              </w:rPr>
              <w:instrText xml:space="preserve"> PAGEREF _Toc121151391 \h </w:instrText>
            </w:r>
            <w:r>
              <w:rPr>
                <w:noProof/>
                <w:webHidden/>
              </w:rPr>
            </w:r>
            <w:r>
              <w:rPr>
                <w:noProof/>
                <w:webHidden/>
              </w:rPr>
              <w:fldChar w:fldCharType="separate"/>
            </w:r>
            <w:r>
              <w:rPr>
                <w:noProof/>
                <w:webHidden/>
              </w:rPr>
              <w:t>8</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392" w:history="1">
            <w:r w:rsidRPr="003522B2">
              <w:rPr>
                <w:rStyle w:val="Hyperlink"/>
                <w:noProof/>
              </w:rPr>
              <w:t>Slide 10: Summary of findings</w:t>
            </w:r>
            <w:r>
              <w:rPr>
                <w:noProof/>
                <w:webHidden/>
              </w:rPr>
              <w:tab/>
            </w:r>
            <w:r>
              <w:rPr>
                <w:noProof/>
                <w:webHidden/>
              </w:rPr>
              <w:fldChar w:fldCharType="begin"/>
            </w:r>
            <w:r>
              <w:rPr>
                <w:noProof/>
                <w:webHidden/>
              </w:rPr>
              <w:instrText xml:space="preserve"> PAGEREF _Toc121151392 \h </w:instrText>
            </w:r>
            <w:r>
              <w:rPr>
                <w:noProof/>
                <w:webHidden/>
              </w:rPr>
            </w:r>
            <w:r>
              <w:rPr>
                <w:noProof/>
                <w:webHidden/>
              </w:rPr>
              <w:fldChar w:fldCharType="separate"/>
            </w:r>
            <w:r>
              <w:rPr>
                <w:noProof/>
                <w:webHidden/>
              </w:rPr>
              <w:t>8</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393" w:history="1">
            <w:r w:rsidRPr="003522B2">
              <w:rPr>
                <w:rStyle w:val="Hyperlink"/>
                <w:noProof/>
              </w:rPr>
              <w:t>Slide 11: Background</w:t>
            </w:r>
            <w:r>
              <w:rPr>
                <w:noProof/>
                <w:webHidden/>
              </w:rPr>
              <w:tab/>
            </w:r>
            <w:r>
              <w:rPr>
                <w:noProof/>
                <w:webHidden/>
              </w:rPr>
              <w:fldChar w:fldCharType="begin"/>
            </w:r>
            <w:r>
              <w:rPr>
                <w:noProof/>
                <w:webHidden/>
              </w:rPr>
              <w:instrText xml:space="preserve"> PAGEREF _Toc121151393 \h </w:instrText>
            </w:r>
            <w:r>
              <w:rPr>
                <w:noProof/>
                <w:webHidden/>
              </w:rPr>
            </w:r>
            <w:r>
              <w:rPr>
                <w:noProof/>
                <w:webHidden/>
              </w:rPr>
              <w:fldChar w:fldCharType="separate"/>
            </w:r>
            <w:r>
              <w:rPr>
                <w:noProof/>
                <w:webHidden/>
              </w:rPr>
              <w:t>9</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394" w:history="1">
            <w:r w:rsidRPr="003522B2">
              <w:rPr>
                <w:rStyle w:val="Hyperlink"/>
                <w:noProof/>
              </w:rPr>
              <w:t>Slide 12: This report</w:t>
            </w:r>
            <w:r>
              <w:rPr>
                <w:noProof/>
                <w:webHidden/>
              </w:rPr>
              <w:tab/>
            </w:r>
            <w:r>
              <w:rPr>
                <w:noProof/>
                <w:webHidden/>
              </w:rPr>
              <w:fldChar w:fldCharType="begin"/>
            </w:r>
            <w:r>
              <w:rPr>
                <w:noProof/>
                <w:webHidden/>
              </w:rPr>
              <w:instrText xml:space="preserve"> PAGEREF _Toc121151394 \h </w:instrText>
            </w:r>
            <w:r>
              <w:rPr>
                <w:noProof/>
                <w:webHidden/>
              </w:rPr>
            </w:r>
            <w:r>
              <w:rPr>
                <w:noProof/>
                <w:webHidden/>
              </w:rPr>
              <w:fldChar w:fldCharType="separate"/>
            </w:r>
            <w:r>
              <w:rPr>
                <w:noProof/>
                <w:webHidden/>
              </w:rPr>
              <w:t>9</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395" w:history="1">
            <w:r w:rsidRPr="003522B2">
              <w:rPr>
                <w:rStyle w:val="Hyperlink"/>
                <w:noProof/>
              </w:rPr>
              <w:t>Slide 13: Outcomes framework</w:t>
            </w:r>
            <w:r>
              <w:rPr>
                <w:noProof/>
                <w:webHidden/>
              </w:rPr>
              <w:tab/>
            </w:r>
            <w:r>
              <w:rPr>
                <w:noProof/>
                <w:webHidden/>
              </w:rPr>
              <w:fldChar w:fldCharType="begin"/>
            </w:r>
            <w:r>
              <w:rPr>
                <w:noProof/>
                <w:webHidden/>
              </w:rPr>
              <w:instrText xml:space="preserve"> PAGEREF _Toc121151395 \h </w:instrText>
            </w:r>
            <w:r>
              <w:rPr>
                <w:noProof/>
                <w:webHidden/>
              </w:rPr>
            </w:r>
            <w:r>
              <w:rPr>
                <w:noProof/>
                <w:webHidden/>
              </w:rPr>
              <w:fldChar w:fldCharType="separate"/>
            </w:r>
            <w:r>
              <w:rPr>
                <w:noProof/>
                <w:webHidden/>
              </w:rPr>
              <w:t>9</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396" w:history="1">
            <w:r w:rsidRPr="003522B2">
              <w:rPr>
                <w:rStyle w:val="Hyperlink"/>
                <w:noProof/>
              </w:rPr>
              <w:t>Slide 14: Short Form (SF) and Long Form (LF)</w:t>
            </w:r>
            <w:r>
              <w:rPr>
                <w:noProof/>
                <w:webHidden/>
              </w:rPr>
              <w:tab/>
            </w:r>
            <w:r>
              <w:rPr>
                <w:noProof/>
                <w:webHidden/>
              </w:rPr>
              <w:fldChar w:fldCharType="begin"/>
            </w:r>
            <w:r>
              <w:rPr>
                <w:noProof/>
                <w:webHidden/>
              </w:rPr>
              <w:instrText xml:space="preserve"> PAGEREF _Toc121151396 \h </w:instrText>
            </w:r>
            <w:r>
              <w:rPr>
                <w:noProof/>
                <w:webHidden/>
              </w:rPr>
            </w:r>
            <w:r>
              <w:rPr>
                <w:noProof/>
                <w:webHidden/>
              </w:rPr>
              <w:fldChar w:fldCharType="separate"/>
            </w:r>
            <w:r>
              <w:rPr>
                <w:noProof/>
                <w:webHidden/>
              </w:rPr>
              <w:t>10</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397" w:history="1">
            <w:r w:rsidRPr="003522B2">
              <w:rPr>
                <w:rStyle w:val="Hyperlink"/>
                <w:noProof/>
              </w:rPr>
              <w:t>Slide 15: Progression towards better outcomes</w:t>
            </w:r>
            <w:r>
              <w:rPr>
                <w:noProof/>
                <w:webHidden/>
              </w:rPr>
              <w:tab/>
            </w:r>
            <w:r>
              <w:rPr>
                <w:noProof/>
                <w:webHidden/>
              </w:rPr>
              <w:fldChar w:fldCharType="begin"/>
            </w:r>
            <w:r>
              <w:rPr>
                <w:noProof/>
                <w:webHidden/>
              </w:rPr>
              <w:instrText xml:space="preserve"> PAGEREF _Toc121151397 \h </w:instrText>
            </w:r>
            <w:r>
              <w:rPr>
                <w:noProof/>
                <w:webHidden/>
              </w:rPr>
            </w:r>
            <w:r>
              <w:rPr>
                <w:noProof/>
                <w:webHidden/>
              </w:rPr>
              <w:fldChar w:fldCharType="separate"/>
            </w:r>
            <w:r>
              <w:rPr>
                <w:noProof/>
                <w:webHidden/>
              </w:rPr>
              <w:t>10</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398" w:history="1">
            <w:r w:rsidRPr="003522B2">
              <w:rPr>
                <w:rStyle w:val="Hyperlink"/>
                <w:noProof/>
              </w:rPr>
              <w:t>Slide 16: Age group transitions</w:t>
            </w:r>
            <w:r>
              <w:rPr>
                <w:noProof/>
                <w:webHidden/>
              </w:rPr>
              <w:tab/>
            </w:r>
            <w:r>
              <w:rPr>
                <w:noProof/>
                <w:webHidden/>
              </w:rPr>
              <w:fldChar w:fldCharType="begin"/>
            </w:r>
            <w:r>
              <w:rPr>
                <w:noProof/>
                <w:webHidden/>
              </w:rPr>
              <w:instrText xml:space="preserve"> PAGEREF _Toc121151398 \h </w:instrText>
            </w:r>
            <w:r>
              <w:rPr>
                <w:noProof/>
                <w:webHidden/>
              </w:rPr>
            </w:r>
            <w:r>
              <w:rPr>
                <w:noProof/>
                <w:webHidden/>
              </w:rPr>
              <w:fldChar w:fldCharType="separate"/>
            </w:r>
            <w:r>
              <w:rPr>
                <w:noProof/>
                <w:webHidden/>
              </w:rPr>
              <w:t>11</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399" w:history="1">
            <w:r w:rsidRPr="003522B2">
              <w:rPr>
                <w:rStyle w:val="Hyperlink"/>
                <w:noProof/>
              </w:rPr>
              <w:t>Slide 17: Age group transitions</w:t>
            </w:r>
            <w:r>
              <w:rPr>
                <w:noProof/>
                <w:webHidden/>
              </w:rPr>
              <w:tab/>
            </w:r>
            <w:r>
              <w:rPr>
                <w:noProof/>
                <w:webHidden/>
              </w:rPr>
              <w:fldChar w:fldCharType="begin"/>
            </w:r>
            <w:r>
              <w:rPr>
                <w:noProof/>
                <w:webHidden/>
              </w:rPr>
              <w:instrText xml:space="preserve"> PAGEREF _Toc121151399 \h </w:instrText>
            </w:r>
            <w:r>
              <w:rPr>
                <w:noProof/>
                <w:webHidden/>
              </w:rPr>
            </w:r>
            <w:r>
              <w:rPr>
                <w:noProof/>
                <w:webHidden/>
              </w:rPr>
              <w:fldChar w:fldCharType="separate"/>
            </w:r>
            <w:r>
              <w:rPr>
                <w:noProof/>
                <w:webHidden/>
              </w:rPr>
              <w:t>11</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00" w:history="1">
            <w:r w:rsidRPr="003522B2">
              <w:rPr>
                <w:rStyle w:val="Hyperlink"/>
                <w:noProof/>
              </w:rPr>
              <w:t>Slide 18: COVID-19 pandemic</w:t>
            </w:r>
            <w:r>
              <w:rPr>
                <w:noProof/>
                <w:webHidden/>
              </w:rPr>
              <w:tab/>
            </w:r>
            <w:r>
              <w:rPr>
                <w:noProof/>
                <w:webHidden/>
              </w:rPr>
              <w:fldChar w:fldCharType="begin"/>
            </w:r>
            <w:r>
              <w:rPr>
                <w:noProof/>
                <w:webHidden/>
              </w:rPr>
              <w:instrText xml:space="preserve"> PAGEREF _Toc121151400 \h </w:instrText>
            </w:r>
            <w:r>
              <w:rPr>
                <w:noProof/>
                <w:webHidden/>
              </w:rPr>
            </w:r>
            <w:r>
              <w:rPr>
                <w:noProof/>
                <w:webHidden/>
              </w:rPr>
              <w:fldChar w:fldCharType="separate"/>
            </w:r>
            <w:r>
              <w:rPr>
                <w:noProof/>
                <w:webHidden/>
              </w:rPr>
              <w:t>12</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01" w:history="1">
            <w:r w:rsidRPr="003522B2">
              <w:rPr>
                <w:rStyle w:val="Hyperlink"/>
                <w:noProof/>
              </w:rPr>
              <w:t>Slide 19: Number of respondents</w:t>
            </w:r>
            <w:r>
              <w:rPr>
                <w:noProof/>
                <w:webHidden/>
              </w:rPr>
              <w:tab/>
            </w:r>
            <w:r>
              <w:rPr>
                <w:noProof/>
                <w:webHidden/>
              </w:rPr>
              <w:fldChar w:fldCharType="begin"/>
            </w:r>
            <w:r>
              <w:rPr>
                <w:noProof/>
                <w:webHidden/>
              </w:rPr>
              <w:instrText xml:space="preserve"> PAGEREF _Toc121151401 \h </w:instrText>
            </w:r>
            <w:r>
              <w:rPr>
                <w:noProof/>
                <w:webHidden/>
              </w:rPr>
            </w:r>
            <w:r>
              <w:rPr>
                <w:noProof/>
                <w:webHidden/>
              </w:rPr>
              <w:fldChar w:fldCharType="separate"/>
            </w:r>
            <w:r>
              <w:rPr>
                <w:noProof/>
                <w:webHidden/>
              </w:rPr>
              <w:t>12</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02" w:history="1">
            <w:r w:rsidRPr="003522B2">
              <w:rPr>
                <w:rStyle w:val="Hyperlink"/>
                <w:noProof/>
              </w:rPr>
              <w:t>Slide 20: The early years: Participants aged 0 to 14</w:t>
            </w:r>
            <w:r>
              <w:rPr>
                <w:noProof/>
                <w:webHidden/>
              </w:rPr>
              <w:tab/>
            </w:r>
            <w:r>
              <w:rPr>
                <w:noProof/>
                <w:webHidden/>
              </w:rPr>
              <w:fldChar w:fldCharType="begin"/>
            </w:r>
            <w:r>
              <w:rPr>
                <w:noProof/>
                <w:webHidden/>
              </w:rPr>
              <w:instrText xml:space="preserve"> PAGEREF _Toc121151402 \h </w:instrText>
            </w:r>
            <w:r>
              <w:rPr>
                <w:noProof/>
                <w:webHidden/>
              </w:rPr>
            </w:r>
            <w:r>
              <w:rPr>
                <w:noProof/>
                <w:webHidden/>
              </w:rPr>
              <w:fldChar w:fldCharType="separate"/>
            </w:r>
            <w:r>
              <w:rPr>
                <w:noProof/>
                <w:webHidden/>
              </w:rPr>
              <w:t>13</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03" w:history="1">
            <w:r w:rsidRPr="003522B2">
              <w:rPr>
                <w:rStyle w:val="Hyperlink"/>
                <w:noProof/>
              </w:rPr>
              <w:t>Slide 21: Participants aged 0 to 14</w:t>
            </w:r>
            <w:r>
              <w:rPr>
                <w:noProof/>
                <w:webHidden/>
              </w:rPr>
              <w:tab/>
            </w:r>
            <w:r>
              <w:rPr>
                <w:noProof/>
                <w:webHidden/>
              </w:rPr>
              <w:fldChar w:fldCharType="begin"/>
            </w:r>
            <w:r>
              <w:rPr>
                <w:noProof/>
                <w:webHidden/>
              </w:rPr>
              <w:instrText xml:space="preserve"> PAGEREF _Toc121151403 \h </w:instrText>
            </w:r>
            <w:r>
              <w:rPr>
                <w:noProof/>
                <w:webHidden/>
              </w:rPr>
            </w:r>
            <w:r>
              <w:rPr>
                <w:noProof/>
                <w:webHidden/>
              </w:rPr>
              <w:fldChar w:fldCharType="separate"/>
            </w:r>
            <w:r>
              <w:rPr>
                <w:noProof/>
                <w:webHidden/>
              </w:rPr>
              <w:t>13</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04" w:history="1">
            <w:r w:rsidRPr="003522B2">
              <w:rPr>
                <w:rStyle w:val="Hyperlink"/>
                <w:noProof/>
              </w:rPr>
              <w:t>Slide 22: Participants aged 0 to 14</w:t>
            </w:r>
            <w:r>
              <w:rPr>
                <w:noProof/>
                <w:webHidden/>
              </w:rPr>
              <w:tab/>
            </w:r>
            <w:r>
              <w:rPr>
                <w:noProof/>
                <w:webHidden/>
              </w:rPr>
              <w:fldChar w:fldCharType="begin"/>
            </w:r>
            <w:r>
              <w:rPr>
                <w:noProof/>
                <w:webHidden/>
              </w:rPr>
              <w:instrText xml:space="preserve"> PAGEREF _Toc121151404 \h </w:instrText>
            </w:r>
            <w:r>
              <w:rPr>
                <w:noProof/>
                <w:webHidden/>
              </w:rPr>
            </w:r>
            <w:r>
              <w:rPr>
                <w:noProof/>
                <w:webHidden/>
              </w:rPr>
              <w:fldChar w:fldCharType="separate"/>
            </w:r>
            <w:r>
              <w:rPr>
                <w:noProof/>
                <w:webHidden/>
              </w:rPr>
              <w:t>14</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05" w:history="1">
            <w:r w:rsidRPr="003522B2">
              <w:rPr>
                <w:rStyle w:val="Hyperlink"/>
                <w:noProof/>
              </w:rPr>
              <w:t>Slide 23: Participants aged 0 to 14</w:t>
            </w:r>
            <w:r>
              <w:rPr>
                <w:noProof/>
                <w:webHidden/>
              </w:rPr>
              <w:tab/>
            </w:r>
            <w:r>
              <w:rPr>
                <w:noProof/>
                <w:webHidden/>
              </w:rPr>
              <w:fldChar w:fldCharType="begin"/>
            </w:r>
            <w:r>
              <w:rPr>
                <w:noProof/>
                <w:webHidden/>
              </w:rPr>
              <w:instrText xml:space="preserve"> PAGEREF _Toc121151405 \h </w:instrText>
            </w:r>
            <w:r>
              <w:rPr>
                <w:noProof/>
                <w:webHidden/>
              </w:rPr>
            </w:r>
            <w:r>
              <w:rPr>
                <w:noProof/>
                <w:webHidden/>
              </w:rPr>
              <w:fldChar w:fldCharType="separate"/>
            </w:r>
            <w:r>
              <w:rPr>
                <w:noProof/>
                <w:webHidden/>
              </w:rPr>
              <w:t>14</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06" w:history="1">
            <w:r w:rsidRPr="003522B2">
              <w:rPr>
                <w:rStyle w:val="Hyperlink"/>
                <w:noProof/>
              </w:rPr>
              <w:t>Slide 24: Participants aged 0 to 14</w:t>
            </w:r>
            <w:r>
              <w:rPr>
                <w:noProof/>
                <w:webHidden/>
              </w:rPr>
              <w:tab/>
            </w:r>
            <w:r>
              <w:rPr>
                <w:noProof/>
                <w:webHidden/>
              </w:rPr>
              <w:fldChar w:fldCharType="begin"/>
            </w:r>
            <w:r>
              <w:rPr>
                <w:noProof/>
                <w:webHidden/>
              </w:rPr>
              <w:instrText xml:space="preserve"> PAGEREF _Toc121151406 \h </w:instrText>
            </w:r>
            <w:r>
              <w:rPr>
                <w:noProof/>
                <w:webHidden/>
              </w:rPr>
            </w:r>
            <w:r>
              <w:rPr>
                <w:noProof/>
                <w:webHidden/>
              </w:rPr>
              <w:fldChar w:fldCharType="separate"/>
            </w:r>
            <w:r>
              <w:rPr>
                <w:noProof/>
                <w:webHidden/>
              </w:rPr>
              <w:t>15</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07" w:history="1">
            <w:r w:rsidRPr="003522B2">
              <w:rPr>
                <w:rStyle w:val="Hyperlink"/>
                <w:noProof/>
              </w:rPr>
              <w:t>Slide 25: Participants aged 0 to 14</w:t>
            </w:r>
            <w:r>
              <w:rPr>
                <w:noProof/>
                <w:webHidden/>
              </w:rPr>
              <w:tab/>
            </w:r>
            <w:r>
              <w:rPr>
                <w:noProof/>
                <w:webHidden/>
              </w:rPr>
              <w:fldChar w:fldCharType="begin"/>
            </w:r>
            <w:r>
              <w:rPr>
                <w:noProof/>
                <w:webHidden/>
              </w:rPr>
              <w:instrText xml:space="preserve"> PAGEREF _Toc121151407 \h </w:instrText>
            </w:r>
            <w:r>
              <w:rPr>
                <w:noProof/>
                <w:webHidden/>
              </w:rPr>
            </w:r>
            <w:r>
              <w:rPr>
                <w:noProof/>
                <w:webHidden/>
              </w:rPr>
              <w:fldChar w:fldCharType="separate"/>
            </w:r>
            <w:r>
              <w:rPr>
                <w:noProof/>
                <w:webHidden/>
              </w:rPr>
              <w:t>16</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08" w:history="1">
            <w:r w:rsidRPr="003522B2">
              <w:rPr>
                <w:rStyle w:val="Hyperlink"/>
                <w:noProof/>
              </w:rPr>
              <w:t>Slide 26: Participants aged 0 to 14</w:t>
            </w:r>
            <w:r>
              <w:rPr>
                <w:noProof/>
                <w:webHidden/>
              </w:rPr>
              <w:tab/>
            </w:r>
            <w:r>
              <w:rPr>
                <w:noProof/>
                <w:webHidden/>
              </w:rPr>
              <w:fldChar w:fldCharType="begin"/>
            </w:r>
            <w:r>
              <w:rPr>
                <w:noProof/>
                <w:webHidden/>
              </w:rPr>
              <w:instrText xml:space="preserve"> PAGEREF _Toc121151408 \h </w:instrText>
            </w:r>
            <w:r>
              <w:rPr>
                <w:noProof/>
                <w:webHidden/>
              </w:rPr>
            </w:r>
            <w:r>
              <w:rPr>
                <w:noProof/>
                <w:webHidden/>
              </w:rPr>
              <w:fldChar w:fldCharType="separate"/>
            </w:r>
            <w:r>
              <w:rPr>
                <w:noProof/>
                <w:webHidden/>
              </w:rPr>
              <w:t>17</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09" w:history="1">
            <w:r w:rsidRPr="003522B2">
              <w:rPr>
                <w:rStyle w:val="Hyperlink"/>
                <w:noProof/>
              </w:rPr>
              <w:t>Slide 27: Participants aged 0 to 14</w:t>
            </w:r>
            <w:r>
              <w:rPr>
                <w:noProof/>
                <w:webHidden/>
              </w:rPr>
              <w:tab/>
            </w:r>
            <w:r>
              <w:rPr>
                <w:noProof/>
                <w:webHidden/>
              </w:rPr>
              <w:fldChar w:fldCharType="begin"/>
            </w:r>
            <w:r>
              <w:rPr>
                <w:noProof/>
                <w:webHidden/>
              </w:rPr>
              <w:instrText xml:space="preserve"> PAGEREF _Toc121151409 \h </w:instrText>
            </w:r>
            <w:r>
              <w:rPr>
                <w:noProof/>
                <w:webHidden/>
              </w:rPr>
            </w:r>
            <w:r>
              <w:rPr>
                <w:noProof/>
                <w:webHidden/>
              </w:rPr>
              <w:fldChar w:fldCharType="separate"/>
            </w:r>
            <w:r>
              <w:rPr>
                <w:noProof/>
                <w:webHidden/>
              </w:rPr>
              <w:t>17</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10" w:history="1">
            <w:r w:rsidRPr="003522B2">
              <w:rPr>
                <w:rStyle w:val="Hyperlink"/>
                <w:noProof/>
              </w:rPr>
              <w:t>Slide 28: Participants aged 0 to 14</w:t>
            </w:r>
            <w:r>
              <w:rPr>
                <w:noProof/>
                <w:webHidden/>
              </w:rPr>
              <w:tab/>
            </w:r>
            <w:r>
              <w:rPr>
                <w:noProof/>
                <w:webHidden/>
              </w:rPr>
              <w:fldChar w:fldCharType="begin"/>
            </w:r>
            <w:r>
              <w:rPr>
                <w:noProof/>
                <w:webHidden/>
              </w:rPr>
              <w:instrText xml:space="preserve"> PAGEREF _Toc121151410 \h </w:instrText>
            </w:r>
            <w:r>
              <w:rPr>
                <w:noProof/>
                <w:webHidden/>
              </w:rPr>
            </w:r>
            <w:r>
              <w:rPr>
                <w:noProof/>
                <w:webHidden/>
              </w:rPr>
              <w:fldChar w:fldCharType="separate"/>
            </w:r>
            <w:r>
              <w:rPr>
                <w:noProof/>
                <w:webHidden/>
              </w:rPr>
              <w:t>18</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11" w:history="1">
            <w:r w:rsidRPr="003522B2">
              <w:rPr>
                <w:rStyle w:val="Hyperlink"/>
                <w:noProof/>
              </w:rPr>
              <w:t>Slide 29: Participants aged 0 to 14</w:t>
            </w:r>
            <w:r>
              <w:rPr>
                <w:noProof/>
                <w:webHidden/>
              </w:rPr>
              <w:tab/>
            </w:r>
            <w:r>
              <w:rPr>
                <w:noProof/>
                <w:webHidden/>
              </w:rPr>
              <w:fldChar w:fldCharType="begin"/>
            </w:r>
            <w:r>
              <w:rPr>
                <w:noProof/>
                <w:webHidden/>
              </w:rPr>
              <w:instrText xml:space="preserve"> PAGEREF _Toc121151411 \h </w:instrText>
            </w:r>
            <w:r>
              <w:rPr>
                <w:noProof/>
                <w:webHidden/>
              </w:rPr>
            </w:r>
            <w:r>
              <w:rPr>
                <w:noProof/>
                <w:webHidden/>
              </w:rPr>
              <w:fldChar w:fldCharType="separate"/>
            </w:r>
            <w:r>
              <w:rPr>
                <w:noProof/>
                <w:webHidden/>
              </w:rPr>
              <w:t>19</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12" w:history="1">
            <w:r w:rsidRPr="003522B2">
              <w:rPr>
                <w:rStyle w:val="Hyperlink"/>
                <w:noProof/>
              </w:rPr>
              <w:t>Slide 30: Participants aged 0 to 14</w:t>
            </w:r>
            <w:r>
              <w:rPr>
                <w:noProof/>
                <w:webHidden/>
              </w:rPr>
              <w:tab/>
            </w:r>
            <w:r>
              <w:rPr>
                <w:noProof/>
                <w:webHidden/>
              </w:rPr>
              <w:fldChar w:fldCharType="begin"/>
            </w:r>
            <w:r>
              <w:rPr>
                <w:noProof/>
                <w:webHidden/>
              </w:rPr>
              <w:instrText xml:space="preserve"> PAGEREF _Toc121151412 \h </w:instrText>
            </w:r>
            <w:r>
              <w:rPr>
                <w:noProof/>
                <w:webHidden/>
              </w:rPr>
            </w:r>
            <w:r>
              <w:rPr>
                <w:noProof/>
                <w:webHidden/>
              </w:rPr>
              <w:fldChar w:fldCharType="separate"/>
            </w:r>
            <w:r>
              <w:rPr>
                <w:noProof/>
                <w:webHidden/>
              </w:rPr>
              <w:t>20</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13" w:history="1">
            <w:r w:rsidRPr="003522B2">
              <w:rPr>
                <w:rStyle w:val="Hyperlink"/>
                <w:noProof/>
              </w:rPr>
              <w:t>Slide 31: Participants aged 0 to 14</w:t>
            </w:r>
            <w:r>
              <w:rPr>
                <w:noProof/>
                <w:webHidden/>
              </w:rPr>
              <w:tab/>
            </w:r>
            <w:r>
              <w:rPr>
                <w:noProof/>
                <w:webHidden/>
              </w:rPr>
              <w:fldChar w:fldCharType="begin"/>
            </w:r>
            <w:r>
              <w:rPr>
                <w:noProof/>
                <w:webHidden/>
              </w:rPr>
              <w:instrText xml:space="preserve"> PAGEREF _Toc121151413 \h </w:instrText>
            </w:r>
            <w:r>
              <w:rPr>
                <w:noProof/>
                <w:webHidden/>
              </w:rPr>
            </w:r>
            <w:r>
              <w:rPr>
                <w:noProof/>
                <w:webHidden/>
              </w:rPr>
              <w:fldChar w:fldCharType="separate"/>
            </w:r>
            <w:r>
              <w:rPr>
                <w:noProof/>
                <w:webHidden/>
              </w:rPr>
              <w:t>21</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14" w:history="1">
            <w:r w:rsidRPr="003522B2">
              <w:rPr>
                <w:rStyle w:val="Hyperlink"/>
                <w:noProof/>
              </w:rPr>
              <w:t>Slide 32: Participants aged 0 to 14</w:t>
            </w:r>
            <w:r>
              <w:rPr>
                <w:noProof/>
                <w:webHidden/>
              </w:rPr>
              <w:tab/>
            </w:r>
            <w:r>
              <w:rPr>
                <w:noProof/>
                <w:webHidden/>
              </w:rPr>
              <w:fldChar w:fldCharType="begin"/>
            </w:r>
            <w:r>
              <w:rPr>
                <w:noProof/>
                <w:webHidden/>
              </w:rPr>
              <w:instrText xml:space="preserve"> PAGEREF _Toc121151414 \h </w:instrText>
            </w:r>
            <w:r>
              <w:rPr>
                <w:noProof/>
                <w:webHidden/>
              </w:rPr>
            </w:r>
            <w:r>
              <w:rPr>
                <w:noProof/>
                <w:webHidden/>
              </w:rPr>
              <w:fldChar w:fldCharType="separate"/>
            </w:r>
            <w:r>
              <w:rPr>
                <w:noProof/>
                <w:webHidden/>
              </w:rPr>
              <w:t>22</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15" w:history="1">
            <w:r w:rsidRPr="003522B2">
              <w:rPr>
                <w:rStyle w:val="Hyperlink"/>
                <w:noProof/>
              </w:rPr>
              <w:t>Slide 33: Participants aged 0 to 14</w:t>
            </w:r>
            <w:r>
              <w:rPr>
                <w:noProof/>
                <w:webHidden/>
              </w:rPr>
              <w:tab/>
            </w:r>
            <w:r>
              <w:rPr>
                <w:noProof/>
                <w:webHidden/>
              </w:rPr>
              <w:fldChar w:fldCharType="begin"/>
            </w:r>
            <w:r>
              <w:rPr>
                <w:noProof/>
                <w:webHidden/>
              </w:rPr>
              <w:instrText xml:space="preserve"> PAGEREF _Toc121151415 \h </w:instrText>
            </w:r>
            <w:r>
              <w:rPr>
                <w:noProof/>
                <w:webHidden/>
              </w:rPr>
            </w:r>
            <w:r>
              <w:rPr>
                <w:noProof/>
                <w:webHidden/>
              </w:rPr>
              <w:fldChar w:fldCharType="separate"/>
            </w:r>
            <w:r>
              <w:rPr>
                <w:noProof/>
                <w:webHidden/>
              </w:rPr>
              <w:t>22</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16" w:history="1">
            <w:r w:rsidRPr="003522B2">
              <w:rPr>
                <w:rStyle w:val="Hyperlink"/>
                <w:noProof/>
              </w:rPr>
              <w:t>Slide 34: Participants aged 0 to 14</w:t>
            </w:r>
            <w:r>
              <w:rPr>
                <w:noProof/>
                <w:webHidden/>
              </w:rPr>
              <w:tab/>
            </w:r>
            <w:r>
              <w:rPr>
                <w:noProof/>
                <w:webHidden/>
              </w:rPr>
              <w:fldChar w:fldCharType="begin"/>
            </w:r>
            <w:r>
              <w:rPr>
                <w:noProof/>
                <w:webHidden/>
              </w:rPr>
              <w:instrText xml:space="preserve"> PAGEREF _Toc121151416 \h </w:instrText>
            </w:r>
            <w:r>
              <w:rPr>
                <w:noProof/>
                <w:webHidden/>
              </w:rPr>
            </w:r>
            <w:r>
              <w:rPr>
                <w:noProof/>
                <w:webHidden/>
              </w:rPr>
              <w:fldChar w:fldCharType="separate"/>
            </w:r>
            <w:r>
              <w:rPr>
                <w:noProof/>
                <w:webHidden/>
              </w:rPr>
              <w:t>23</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17" w:history="1">
            <w:r w:rsidRPr="003522B2">
              <w:rPr>
                <w:rStyle w:val="Hyperlink"/>
                <w:noProof/>
              </w:rPr>
              <w:t>Slide 35: Participants aged 0 to 14</w:t>
            </w:r>
            <w:r>
              <w:rPr>
                <w:noProof/>
                <w:webHidden/>
              </w:rPr>
              <w:tab/>
            </w:r>
            <w:r>
              <w:rPr>
                <w:noProof/>
                <w:webHidden/>
              </w:rPr>
              <w:fldChar w:fldCharType="begin"/>
            </w:r>
            <w:r>
              <w:rPr>
                <w:noProof/>
                <w:webHidden/>
              </w:rPr>
              <w:instrText xml:space="preserve"> PAGEREF _Toc121151417 \h </w:instrText>
            </w:r>
            <w:r>
              <w:rPr>
                <w:noProof/>
                <w:webHidden/>
              </w:rPr>
            </w:r>
            <w:r>
              <w:rPr>
                <w:noProof/>
                <w:webHidden/>
              </w:rPr>
              <w:fldChar w:fldCharType="separate"/>
            </w:r>
            <w:r>
              <w:rPr>
                <w:noProof/>
                <w:webHidden/>
              </w:rPr>
              <w:t>24</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18" w:history="1">
            <w:r w:rsidRPr="003522B2">
              <w:rPr>
                <w:rStyle w:val="Hyperlink"/>
                <w:noProof/>
              </w:rPr>
              <w:t>Slide 36: Participants aged 0 to 14</w:t>
            </w:r>
            <w:r>
              <w:rPr>
                <w:noProof/>
                <w:webHidden/>
              </w:rPr>
              <w:tab/>
            </w:r>
            <w:r>
              <w:rPr>
                <w:noProof/>
                <w:webHidden/>
              </w:rPr>
              <w:fldChar w:fldCharType="begin"/>
            </w:r>
            <w:r>
              <w:rPr>
                <w:noProof/>
                <w:webHidden/>
              </w:rPr>
              <w:instrText xml:space="preserve"> PAGEREF _Toc121151418 \h </w:instrText>
            </w:r>
            <w:r>
              <w:rPr>
                <w:noProof/>
                <w:webHidden/>
              </w:rPr>
            </w:r>
            <w:r>
              <w:rPr>
                <w:noProof/>
                <w:webHidden/>
              </w:rPr>
              <w:fldChar w:fldCharType="separate"/>
            </w:r>
            <w:r>
              <w:rPr>
                <w:noProof/>
                <w:webHidden/>
              </w:rPr>
              <w:t>25</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19" w:history="1">
            <w:r w:rsidRPr="003522B2">
              <w:rPr>
                <w:rStyle w:val="Hyperlink"/>
                <w:noProof/>
              </w:rPr>
              <w:t>Slide 37: Participants aged 0 to 14</w:t>
            </w:r>
            <w:r>
              <w:rPr>
                <w:noProof/>
                <w:webHidden/>
              </w:rPr>
              <w:tab/>
            </w:r>
            <w:r>
              <w:rPr>
                <w:noProof/>
                <w:webHidden/>
              </w:rPr>
              <w:fldChar w:fldCharType="begin"/>
            </w:r>
            <w:r>
              <w:rPr>
                <w:noProof/>
                <w:webHidden/>
              </w:rPr>
              <w:instrText xml:space="preserve"> PAGEREF _Toc121151419 \h </w:instrText>
            </w:r>
            <w:r>
              <w:rPr>
                <w:noProof/>
                <w:webHidden/>
              </w:rPr>
            </w:r>
            <w:r>
              <w:rPr>
                <w:noProof/>
                <w:webHidden/>
              </w:rPr>
              <w:fldChar w:fldCharType="separate"/>
            </w:r>
            <w:r>
              <w:rPr>
                <w:noProof/>
                <w:webHidden/>
              </w:rPr>
              <w:t>26</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20" w:history="1">
            <w:r w:rsidRPr="003522B2">
              <w:rPr>
                <w:rStyle w:val="Hyperlink"/>
                <w:noProof/>
              </w:rPr>
              <w:t>Slide 38: Participants aged 0 to 14</w:t>
            </w:r>
            <w:r>
              <w:rPr>
                <w:noProof/>
                <w:webHidden/>
              </w:rPr>
              <w:tab/>
            </w:r>
            <w:r>
              <w:rPr>
                <w:noProof/>
                <w:webHidden/>
              </w:rPr>
              <w:fldChar w:fldCharType="begin"/>
            </w:r>
            <w:r>
              <w:rPr>
                <w:noProof/>
                <w:webHidden/>
              </w:rPr>
              <w:instrText xml:space="preserve"> PAGEREF _Toc121151420 \h </w:instrText>
            </w:r>
            <w:r>
              <w:rPr>
                <w:noProof/>
                <w:webHidden/>
              </w:rPr>
            </w:r>
            <w:r>
              <w:rPr>
                <w:noProof/>
                <w:webHidden/>
              </w:rPr>
              <w:fldChar w:fldCharType="separate"/>
            </w:r>
            <w:r>
              <w:rPr>
                <w:noProof/>
                <w:webHidden/>
              </w:rPr>
              <w:t>27</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21" w:history="1">
            <w:r w:rsidRPr="003522B2">
              <w:rPr>
                <w:rStyle w:val="Hyperlink"/>
                <w:noProof/>
              </w:rPr>
              <w:t>Slide 39: The adult years: Participants aged 15 and over</w:t>
            </w:r>
            <w:r>
              <w:rPr>
                <w:noProof/>
                <w:webHidden/>
              </w:rPr>
              <w:tab/>
            </w:r>
            <w:r>
              <w:rPr>
                <w:noProof/>
                <w:webHidden/>
              </w:rPr>
              <w:fldChar w:fldCharType="begin"/>
            </w:r>
            <w:r>
              <w:rPr>
                <w:noProof/>
                <w:webHidden/>
              </w:rPr>
              <w:instrText xml:space="preserve"> PAGEREF _Toc121151421 \h </w:instrText>
            </w:r>
            <w:r>
              <w:rPr>
                <w:noProof/>
                <w:webHidden/>
              </w:rPr>
            </w:r>
            <w:r>
              <w:rPr>
                <w:noProof/>
                <w:webHidden/>
              </w:rPr>
              <w:fldChar w:fldCharType="separate"/>
            </w:r>
            <w:r>
              <w:rPr>
                <w:noProof/>
                <w:webHidden/>
              </w:rPr>
              <w:t>27</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22" w:history="1">
            <w:r w:rsidRPr="003522B2">
              <w:rPr>
                <w:rStyle w:val="Hyperlink"/>
                <w:noProof/>
              </w:rPr>
              <w:t>Slide 40: Participants aged 15 and over – Domains and outcomes</w:t>
            </w:r>
            <w:r>
              <w:rPr>
                <w:noProof/>
                <w:webHidden/>
              </w:rPr>
              <w:tab/>
            </w:r>
            <w:r>
              <w:rPr>
                <w:noProof/>
                <w:webHidden/>
              </w:rPr>
              <w:fldChar w:fldCharType="begin"/>
            </w:r>
            <w:r>
              <w:rPr>
                <w:noProof/>
                <w:webHidden/>
              </w:rPr>
              <w:instrText xml:space="preserve"> PAGEREF _Toc121151422 \h </w:instrText>
            </w:r>
            <w:r>
              <w:rPr>
                <w:noProof/>
                <w:webHidden/>
              </w:rPr>
            </w:r>
            <w:r>
              <w:rPr>
                <w:noProof/>
                <w:webHidden/>
              </w:rPr>
              <w:fldChar w:fldCharType="separate"/>
            </w:r>
            <w:r>
              <w:rPr>
                <w:noProof/>
                <w:webHidden/>
              </w:rPr>
              <w:t>27</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23" w:history="1">
            <w:r w:rsidRPr="003522B2">
              <w:rPr>
                <w:rStyle w:val="Hyperlink"/>
                <w:noProof/>
              </w:rPr>
              <w:t>Slide 41: Participants aged 15 and over – Number of indicators with significant and material overall change by domain</w:t>
            </w:r>
            <w:r>
              <w:rPr>
                <w:noProof/>
                <w:webHidden/>
              </w:rPr>
              <w:tab/>
            </w:r>
            <w:r>
              <w:rPr>
                <w:noProof/>
                <w:webHidden/>
              </w:rPr>
              <w:fldChar w:fldCharType="begin"/>
            </w:r>
            <w:r>
              <w:rPr>
                <w:noProof/>
                <w:webHidden/>
              </w:rPr>
              <w:instrText xml:space="preserve"> PAGEREF _Toc121151423 \h </w:instrText>
            </w:r>
            <w:r>
              <w:rPr>
                <w:noProof/>
                <w:webHidden/>
              </w:rPr>
            </w:r>
            <w:r>
              <w:rPr>
                <w:noProof/>
                <w:webHidden/>
              </w:rPr>
              <w:fldChar w:fldCharType="separate"/>
            </w:r>
            <w:r>
              <w:rPr>
                <w:noProof/>
                <w:webHidden/>
              </w:rPr>
              <w:t>28</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24" w:history="1">
            <w:r w:rsidRPr="003522B2">
              <w:rPr>
                <w:rStyle w:val="Hyperlink"/>
                <w:noProof/>
              </w:rPr>
              <w:t>Slide 42: Participants aged 15 and over – Summary of trend by selected indicators</w:t>
            </w:r>
            <w:r>
              <w:rPr>
                <w:noProof/>
                <w:webHidden/>
              </w:rPr>
              <w:tab/>
            </w:r>
            <w:r>
              <w:rPr>
                <w:noProof/>
                <w:webHidden/>
              </w:rPr>
              <w:fldChar w:fldCharType="begin"/>
            </w:r>
            <w:r>
              <w:rPr>
                <w:noProof/>
                <w:webHidden/>
              </w:rPr>
              <w:instrText xml:space="preserve"> PAGEREF _Toc121151424 \h </w:instrText>
            </w:r>
            <w:r>
              <w:rPr>
                <w:noProof/>
                <w:webHidden/>
              </w:rPr>
            </w:r>
            <w:r>
              <w:rPr>
                <w:noProof/>
                <w:webHidden/>
              </w:rPr>
              <w:fldChar w:fldCharType="separate"/>
            </w:r>
            <w:r>
              <w:rPr>
                <w:noProof/>
                <w:webHidden/>
              </w:rPr>
              <w:t>29</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25" w:history="1">
            <w:r w:rsidRPr="003522B2">
              <w:rPr>
                <w:rStyle w:val="Hyperlink"/>
                <w:noProof/>
              </w:rPr>
              <w:t>Slide 43: Participants aged 15 and over – Summary of trend by selected indicators</w:t>
            </w:r>
            <w:r>
              <w:rPr>
                <w:noProof/>
                <w:webHidden/>
              </w:rPr>
              <w:tab/>
            </w:r>
            <w:r>
              <w:rPr>
                <w:noProof/>
                <w:webHidden/>
              </w:rPr>
              <w:fldChar w:fldCharType="begin"/>
            </w:r>
            <w:r>
              <w:rPr>
                <w:noProof/>
                <w:webHidden/>
              </w:rPr>
              <w:instrText xml:space="preserve"> PAGEREF _Toc121151425 \h </w:instrText>
            </w:r>
            <w:r>
              <w:rPr>
                <w:noProof/>
                <w:webHidden/>
              </w:rPr>
            </w:r>
            <w:r>
              <w:rPr>
                <w:noProof/>
                <w:webHidden/>
              </w:rPr>
              <w:fldChar w:fldCharType="separate"/>
            </w:r>
            <w:r>
              <w:rPr>
                <w:noProof/>
                <w:webHidden/>
              </w:rPr>
              <w:t>30</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26" w:history="1">
            <w:r w:rsidRPr="003522B2">
              <w:rPr>
                <w:rStyle w:val="Hyperlink"/>
                <w:noProof/>
              </w:rPr>
              <w:t>Slide 44: Participants aged 15 and over – Lifelong learning</w:t>
            </w:r>
            <w:r>
              <w:rPr>
                <w:noProof/>
                <w:webHidden/>
              </w:rPr>
              <w:tab/>
            </w:r>
            <w:r>
              <w:rPr>
                <w:noProof/>
                <w:webHidden/>
              </w:rPr>
              <w:fldChar w:fldCharType="begin"/>
            </w:r>
            <w:r>
              <w:rPr>
                <w:noProof/>
                <w:webHidden/>
              </w:rPr>
              <w:instrText xml:space="preserve"> PAGEREF _Toc121151426 \h </w:instrText>
            </w:r>
            <w:r>
              <w:rPr>
                <w:noProof/>
                <w:webHidden/>
              </w:rPr>
            </w:r>
            <w:r>
              <w:rPr>
                <w:noProof/>
                <w:webHidden/>
              </w:rPr>
              <w:fldChar w:fldCharType="separate"/>
            </w:r>
            <w:r>
              <w:rPr>
                <w:noProof/>
                <w:webHidden/>
              </w:rPr>
              <w:t>32</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27" w:history="1">
            <w:r w:rsidRPr="003522B2">
              <w:rPr>
                <w:rStyle w:val="Hyperlink"/>
                <w:noProof/>
              </w:rPr>
              <w:t>Slide 45: Participants aged 15 and over – Lifelong learning</w:t>
            </w:r>
            <w:r>
              <w:rPr>
                <w:noProof/>
                <w:webHidden/>
              </w:rPr>
              <w:tab/>
            </w:r>
            <w:r>
              <w:rPr>
                <w:noProof/>
                <w:webHidden/>
              </w:rPr>
              <w:fldChar w:fldCharType="begin"/>
            </w:r>
            <w:r>
              <w:rPr>
                <w:noProof/>
                <w:webHidden/>
              </w:rPr>
              <w:instrText xml:space="preserve"> PAGEREF _Toc121151427 \h </w:instrText>
            </w:r>
            <w:r>
              <w:rPr>
                <w:noProof/>
                <w:webHidden/>
              </w:rPr>
            </w:r>
            <w:r>
              <w:rPr>
                <w:noProof/>
                <w:webHidden/>
              </w:rPr>
              <w:fldChar w:fldCharType="separate"/>
            </w:r>
            <w:r>
              <w:rPr>
                <w:noProof/>
                <w:webHidden/>
              </w:rPr>
              <w:t>33</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28" w:history="1">
            <w:r w:rsidRPr="003522B2">
              <w:rPr>
                <w:rStyle w:val="Hyperlink"/>
                <w:noProof/>
              </w:rPr>
              <w:t>Slide 46: Participants aged 15 and over – Lifelong learning</w:t>
            </w:r>
            <w:r>
              <w:rPr>
                <w:noProof/>
                <w:webHidden/>
              </w:rPr>
              <w:tab/>
            </w:r>
            <w:r>
              <w:rPr>
                <w:noProof/>
                <w:webHidden/>
              </w:rPr>
              <w:fldChar w:fldCharType="begin"/>
            </w:r>
            <w:r>
              <w:rPr>
                <w:noProof/>
                <w:webHidden/>
              </w:rPr>
              <w:instrText xml:space="preserve"> PAGEREF _Toc121151428 \h </w:instrText>
            </w:r>
            <w:r>
              <w:rPr>
                <w:noProof/>
                <w:webHidden/>
              </w:rPr>
            </w:r>
            <w:r>
              <w:rPr>
                <w:noProof/>
                <w:webHidden/>
              </w:rPr>
              <w:fldChar w:fldCharType="separate"/>
            </w:r>
            <w:r>
              <w:rPr>
                <w:noProof/>
                <w:webHidden/>
              </w:rPr>
              <w:t>33</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29" w:history="1">
            <w:r w:rsidRPr="003522B2">
              <w:rPr>
                <w:rStyle w:val="Hyperlink"/>
                <w:noProof/>
              </w:rPr>
              <w:t>Slide 47: Participants aged 15 and over – Lifelong learning</w:t>
            </w:r>
            <w:r>
              <w:rPr>
                <w:noProof/>
                <w:webHidden/>
              </w:rPr>
              <w:tab/>
            </w:r>
            <w:r>
              <w:rPr>
                <w:noProof/>
                <w:webHidden/>
              </w:rPr>
              <w:fldChar w:fldCharType="begin"/>
            </w:r>
            <w:r>
              <w:rPr>
                <w:noProof/>
                <w:webHidden/>
              </w:rPr>
              <w:instrText xml:space="preserve"> PAGEREF _Toc121151429 \h </w:instrText>
            </w:r>
            <w:r>
              <w:rPr>
                <w:noProof/>
                <w:webHidden/>
              </w:rPr>
            </w:r>
            <w:r>
              <w:rPr>
                <w:noProof/>
                <w:webHidden/>
              </w:rPr>
              <w:fldChar w:fldCharType="separate"/>
            </w:r>
            <w:r>
              <w:rPr>
                <w:noProof/>
                <w:webHidden/>
              </w:rPr>
              <w:t>34</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30" w:history="1">
            <w:r w:rsidRPr="003522B2">
              <w:rPr>
                <w:rStyle w:val="Hyperlink"/>
                <w:noProof/>
              </w:rPr>
              <w:t>Slide 48: Participants aged 15 and over – Choice and control</w:t>
            </w:r>
            <w:r>
              <w:rPr>
                <w:noProof/>
                <w:webHidden/>
              </w:rPr>
              <w:tab/>
            </w:r>
            <w:r>
              <w:rPr>
                <w:noProof/>
                <w:webHidden/>
              </w:rPr>
              <w:fldChar w:fldCharType="begin"/>
            </w:r>
            <w:r>
              <w:rPr>
                <w:noProof/>
                <w:webHidden/>
              </w:rPr>
              <w:instrText xml:space="preserve"> PAGEREF _Toc121151430 \h </w:instrText>
            </w:r>
            <w:r>
              <w:rPr>
                <w:noProof/>
                <w:webHidden/>
              </w:rPr>
            </w:r>
            <w:r>
              <w:rPr>
                <w:noProof/>
                <w:webHidden/>
              </w:rPr>
              <w:fldChar w:fldCharType="separate"/>
            </w:r>
            <w:r>
              <w:rPr>
                <w:noProof/>
                <w:webHidden/>
              </w:rPr>
              <w:t>35</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31" w:history="1">
            <w:r w:rsidRPr="003522B2">
              <w:rPr>
                <w:rStyle w:val="Hyperlink"/>
                <w:noProof/>
              </w:rPr>
              <w:t>Slide 49: Participants aged 15 and over – Choice and control</w:t>
            </w:r>
            <w:r>
              <w:rPr>
                <w:noProof/>
                <w:webHidden/>
              </w:rPr>
              <w:tab/>
            </w:r>
            <w:r>
              <w:rPr>
                <w:noProof/>
                <w:webHidden/>
              </w:rPr>
              <w:fldChar w:fldCharType="begin"/>
            </w:r>
            <w:r>
              <w:rPr>
                <w:noProof/>
                <w:webHidden/>
              </w:rPr>
              <w:instrText xml:space="preserve"> PAGEREF _Toc121151431 \h </w:instrText>
            </w:r>
            <w:r>
              <w:rPr>
                <w:noProof/>
                <w:webHidden/>
              </w:rPr>
            </w:r>
            <w:r>
              <w:rPr>
                <w:noProof/>
                <w:webHidden/>
              </w:rPr>
              <w:fldChar w:fldCharType="separate"/>
            </w:r>
            <w:r>
              <w:rPr>
                <w:noProof/>
                <w:webHidden/>
              </w:rPr>
              <w:t>36</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32" w:history="1">
            <w:r w:rsidRPr="003522B2">
              <w:rPr>
                <w:rStyle w:val="Hyperlink"/>
                <w:noProof/>
              </w:rPr>
              <w:t>Slide 50: Participants aged 15 and over – Choice and control</w:t>
            </w:r>
            <w:r>
              <w:rPr>
                <w:noProof/>
                <w:webHidden/>
              </w:rPr>
              <w:tab/>
            </w:r>
            <w:r>
              <w:rPr>
                <w:noProof/>
                <w:webHidden/>
              </w:rPr>
              <w:fldChar w:fldCharType="begin"/>
            </w:r>
            <w:r>
              <w:rPr>
                <w:noProof/>
                <w:webHidden/>
              </w:rPr>
              <w:instrText xml:space="preserve"> PAGEREF _Toc121151432 \h </w:instrText>
            </w:r>
            <w:r>
              <w:rPr>
                <w:noProof/>
                <w:webHidden/>
              </w:rPr>
            </w:r>
            <w:r>
              <w:rPr>
                <w:noProof/>
                <w:webHidden/>
              </w:rPr>
              <w:fldChar w:fldCharType="separate"/>
            </w:r>
            <w:r>
              <w:rPr>
                <w:noProof/>
                <w:webHidden/>
              </w:rPr>
              <w:t>36</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33" w:history="1">
            <w:r w:rsidRPr="003522B2">
              <w:rPr>
                <w:rStyle w:val="Hyperlink"/>
                <w:noProof/>
              </w:rPr>
              <w:t>Slide 51: Participants aged 15 and over – Choice and control</w:t>
            </w:r>
            <w:r>
              <w:rPr>
                <w:noProof/>
                <w:webHidden/>
              </w:rPr>
              <w:tab/>
            </w:r>
            <w:r>
              <w:rPr>
                <w:noProof/>
                <w:webHidden/>
              </w:rPr>
              <w:fldChar w:fldCharType="begin"/>
            </w:r>
            <w:r>
              <w:rPr>
                <w:noProof/>
                <w:webHidden/>
              </w:rPr>
              <w:instrText xml:space="preserve"> PAGEREF _Toc121151433 \h </w:instrText>
            </w:r>
            <w:r>
              <w:rPr>
                <w:noProof/>
                <w:webHidden/>
              </w:rPr>
            </w:r>
            <w:r>
              <w:rPr>
                <w:noProof/>
                <w:webHidden/>
              </w:rPr>
              <w:fldChar w:fldCharType="separate"/>
            </w:r>
            <w:r>
              <w:rPr>
                <w:noProof/>
                <w:webHidden/>
              </w:rPr>
              <w:t>37</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34" w:history="1">
            <w:r w:rsidRPr="003522B2">
              <w:rPr>
                <w:rStyle w:val="Hyperlink"/>
                <w:noProof/>
              </w:rPr>
              <w:t>Slide 52: Participants aged 15 and over – Relationships: Relationships with friends and staff</w:t>
            </w:r>
            <w:r>
              <w:rPr>
                <w:noProof/>
                <w:webHidden/>
              </w:rPr>
              <w:tab/>
            </w:r>
            <w:r>
              <w:rPr>
                <w:noProof/>
                <w:webHidden/>
              </w:rPr>
              <w:fldChar w:fldCharType="begin"/>
            </w:r>
            <w:r>
              <w:rPr>
                <w:noProof/>
                <w:webHidden/>
              </w:rPr>
              <w:instrText xml:space="preserve"> PAGEREF _Toc121151434 \h </w:instrText>
            </w:r>
            <w:r>
              <w:rPr>
                <w:noProof/>
                <w:webHidden/>
              </w:rPr>
            </w:r>
            <w:r>
              <w:rPr>
                <w:noProof/>
                <w:webHidden/>
              </w:rPr>
              <w:fldChar w:fldCharType="separate"/>
            </w:r>
            <w:r>
              <w:rPr>
                <w:noProof/>
                <w:webHidden/>
              </w:rPr>
              <w:t>38</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35" w:history="1">
            <w:r w:rsidRPr="003522B2">
              <w:rPr>
                <w:rStyle w:val="Hyperlink"/>
                <w:noProof/>
              </w:rPr>
              <w:t>Slide 53: Participants aged 15 and over – Relationships</w:t>
            </w:r>
            <w:r>
              <w:rPr>
                <w:noProof/>
                <w:webHidden/>
              </w:rPr>
              <w:tab/>
            </w:r>
            <w:r>
              <w:rPr>
                <w:noProof/>
                <w:webHidden/>
              </w:rPr>
              <w:fldChar w:fldCharType="begin"/>
            </w:r>
            <w:r>
              <w:rPr>
                <w:noProof/>
                <w:webHidden/>
              </w:rPr>
              <w:instrText xml:space="preserve"> PAGEREF _Toc121151435 \h </w:instrText>
            </w:r>
            <w:r>
              <w:rPr>
                <w:noProof/>
                <w:webHidden/>
              </w:rPr>
            </w:r>
            <w:r>
              <w:rPr>
                <w:noProof/>
                <w:webHidden/>
              </w:rPr>
              <w:fldChar w:fldCharType="separate"/>
            </w:r>
            <w:r>
              <w:rPr>
                <w:noProof/>
                <w:webHidden/>
              </w:rPr>
              <w:t>39</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36" w:history="1">
            <w:r w:rsidRPr="003522B2">
              <w:rPr>
                <w:rStyle w:val="Hyperlink"/>
                <w:noProof/>
              </w:rPr>
              <w:t>Slide 54: Participants aged 15 and over – Relationships</w:t>
            </w:r>
            <w:r>
              <w:rPr>
                <w:noProof/>
                <w:webHidden/>
              </w:rPr>
              <w:tab/>
            </w:r>
            <w:r>
              <w:rPr>
                <w:noProof/>
                <w:webHidden/>
              </w:rPr>
              <w:fldChar w:fldCharType="begin"/>
            </w:r>
            <w:r>
              <w:rPr>
                <w:noProof/>
                <w:webHidden/>
              </w:rPr>
              <w:instrText xml:space="preserve"> PAGEREF _Toc121151436 \h </w:instrText>
            </w:r>
            <w:r>
              <w:rPr>
                <w:noProof/>
                <w:webHidden/>
              </w:rPr>
            </w:r>
            <w:r>
              <w:rPr>
                <w:noProof/>
                <w:webHidden/>
              </w:rPr>
              <w:fldChar w:fldCharType="separate"/>
            </w:r>
            <w:r>
              <w:rPr>
                <w:noProof/>
                <w:webHidden/>
              </w:rPr>
              <w:t>39</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37" w:history="1">
            <w:r w:rsidRPr="003522B2">
              <w:rPr>
                <w:rStyle w:val="Hyperlink"/>
                <w:noProof/>
              </w:rPr>
              <w:t>Slide 55: Participants aged 15 and over – Home: Home-related decisions</w:t>
            </w:r>
            <w:r>
              <w:rPr>
                <w:noProof/>
                <w:webHidden/>
              </w:rPr>
              <w:tab/>
            </w:r>
            <w:r>
              <w:rPr>
                <w:noProof/>
                <w:webHidden/>
              </w:rPr>
              <w:fldChar w:fldCharType="begin"/>
            </w:r>
            <w:r>
              <w:rPr>
                <w:noProof/>
                <w:webHidden/>
              </w:rPr>
              <w:instrText xml:space="preserve"> PAGEREF _Toc121151437 \h </w:instrText>
            </w:r>
            <w:r>
              <w:rPr>
                <w:noProof/>
                <w:webHidden/>
              </w:rPr>
            </w:r>
            <w:r>
              <w:rPr>
                <w:noProof/>
                <w:webHidden/>
              </w:rPr>
              <w:fldChar w:fldCharType="separate"/>
            </w:r>
            <w:r>
              <w:rPr>
                <w:noProof/>
                <w:webHidden/>
              </w:rPr>
              <w:t>40</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38" w:history="1">
            <w:r w:rsidRPr="003522B2">
              <w:rPr>
                <w:rStyle w:val="Hyperlink"/>
                <w:noProof/>
              </w:rPr>
              <w:t>Slide 56: Participants aged 15 and over – Social, community and civic participation</w:t>
            </w:r>
            <w:r>
              <w:rPr>
                <w:noProof/>
                <w:webHidden/>
              </w:rPr>
              <w:tab/>
            </w:r>
            <w:r>
              <w:rPr>
                <w:noProof/>
                <w:webHidden/>
              </w:rPr>
              <w:fldChar w:fldCharType="begin"/>
            </w:r>
            <w:r>
              <w:rPr>
                <w:noProof/>
                <w:webHidden/>
              </w:rPr>
              <w:instrText xml:space="preserve"> PAGEREF _Toc121151438 \h </w:instrText>
            </w:r>
            <w:r>
              <w:rPr>
                <w:noProof/>
                <w:webHidden/>
              </w:rPr>
            </w:r>
            <w:r>
              <w:rPr>
                <w:noProof/>
                <w:webHidden/>
              </w:rPr>
              <w:fldChar w:fldCharType="separate"/>
            </w:r>
            <w:r>
              <w:rPr>
                <w:noProof/>
                <w:webHidden/>
              </w:rPr>
              <w:t>41</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39" w:history="1">
            <w:r w:rsidRPr="003522B2">
              <w:rPr>
                <w:rStyle w:val="Hyperlink"/>
                <w:noProof/>
              </w:rPr>
              <w:t>Slide 57: Participants aged 15 and over – Social, community and civic participation</w:t>
            </w:r>
            <w:r>
              <w:rPr>
                <w:noProof/>
                <w:webHidden/>
              </w:rPr>
              <w:tab/>
            </w:r>
            <w:r>
              <w:rPr>
                <w:noProof/>
                <w:webHidden/>
              </w:rPr>
              <w:fldChar w:fldCharType="begin"/>
            </w:r>
            <w:r>
              <w:rPr>
                <w:noProof/>
                <w:webHidden/>
              </w:rPr>
              <w:instrText xml:space="preserve"> PAGEREF _Toc121151439 \h </w:instrText>
            </w:r>
            <w:r>
              <w:rPr>
                <w:noProof/>
                <w:webHidden/>
              </w:rPr>
            </w:r>
            <w:r>
              <w:rPr>
                <w:noProof/>
                <w:webHidden/>
              </w:rPr>
              <w:fldChar w:fldCharType="separate"/>
            </w:r>
            <w:r>
              <w:rPr>
                <w:noProof/>
                <w:webHidden/>
              </w:rPr>
              <w:t>42</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40" w:history="1">
            <w:r w:rsidRPr="003522B2">
              <w:rPr>
                <w:rStyle w:val="Hyperlink"/>
                <w:noProof/>
              </w:rPr>
              <w:t>Slide 58: Participants aged 15 and over – Social, community and civic participation</w:t>
            </w:r>
            <w:r>
              <w:rPr>
                <w:noProof/>
                <w:webHidden/>
              </w:rPr>
              <w:tab/>
            </w:r>
            <w:r>
              <w:rPr>
                <w:noProof/>
                <w:webHidden/>
              </w:rPr>
              <w:fldChar w:fldCharType="begin"/>
            </w:r>
            <w:r>
              <w:rPr>
                <w:noProof/>
                <w:webHidden/>
              </w:rPr>
              <w:instrText xml:space="preserve"> PAGEREF _Toc121151440 \h </w:instrText>
            </w:r>
            <w:r>
              <w:rPr>
                <w:noProof/>
                <w:webHidden/>
              </w:rPr>
            </w:r>
            <w:r>
              <w:rPr>
                <w:noProof/>
                <w:webHidden/>
              </w:rPr>
              <w:fldChar w:fldCharType="separate"/>
            </w:r>
            <w:r>
              <w:rPr>
                <w:noProof/>
                <w:webHidden/>
              </w:rPr>
              <w:t>42</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41" w:history="1">
            <w:r w:rsidRPr="003522B2">
              <w:rPr>
                <w:rStyle w:val="Hyperlink"/>
                <w:noProof/>
              </w:rPr>
              <w:t>Slide 59: Participants aged 15 and over – Social, community and civic participation</w:t>
            </w:r>
            <w:r>
              <w:rPr>
                <w:noProof/>
                <w:webHidden/>
              </w:rPr>
              <w:tab/>
            </w:r>
            <w:r>
              <w:rPr>
                <w:noProof/>
                <w:webHidden/>
              </w:rPr>
              <w:fldChar w:fldCharType="begin"/>
            </w:r>
            <w:r>
              <w:rPr>
                <w:noProof/>
                <w:webHidden/>
              </w:rPr>
              <w:instrText xml:space="preserve"> PAGEREF _Toc121151441 \h </w:instrText>
            </w:r>
            <w:r>
              <w:rPr>
                <w:noProof/>
                <w:webHidden/>
              </w:rPr>
            </w:r>
            <w:r>
              <w:rPr>
                <w:noProof/>
                <w:webHidden/>
              </w:rPr>
              <w:fldChar w:fldCharType="separate"/>
            </w:r>
            <w:r>
              <w:rPr>
                <w:noProof/>
                <w:webHidden/>
              </w:rPr>
              <w:t>43</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42" w:history="1">
            <w:r w:rsidRPr="003522B2">
              <w:rPr>
                <w:rStyle w:val="Hyperlink"/>
                <w:noProof/>
              </w:rPr>
              <w:t>Slide 60: Participants aged 15 and over – Social, community and civic participation: Leisure activities and trying new things</w:t>
            </w:r>
            <w:r>
              <w:rPr>
                <w:noProof/>
                <w:webHidden/>
              </w:rPr>
              <w:tab/>
            </w:r>
            <w:r>
              <w:rPr>
                <w:noProof/>
                <w:webHidden/>
              </w:rPr>
              <w:fldChar w:fldCharType="begin"/>
            </w:r>
            <w:r>
              <w:rPr>
                <w:noProof/>
                <w:webHidden/>
              </w:rPr>
              <w:instrText xml:space="preserve"> PAGEREF _Toc121151442 \h </w:instrText>
            </w:r>
            <w:r>
              <w:rPr>
                <w:noProof/>
                <w:webHidden/>
              </w:rPr>
            </w:r>
            <w:r>
              <w:rPr>
                <w:noProof/>
                <w:webHidden/>
              </w:rPr>
              <w:fldChar w:fldCharType="separate"/>
            </w:r>
            <w:r>
              <w:rPr>
                <w:noProof/>
                <w:webHidden/>
              </w:rPr>
              <w:t>44</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43" w:history="1">
            <w:r w:rsidRPr="003522B2">
              <w:rPr>
                <w:rStyle w:val="Hyperlink"/>
                <w:noProof/>
              </w:rPr>
              <w:t>Slide 61: Participants aged 15 and over – Social, community and civic participation: Safety and having a say (benchmark)</w:t>
            </w:r>
            <w:r>
              <w:rPr>
                <w:noProof/>
                <w:webHidden/>
              </w:rPr>
              <w:tab/>
            </w:r>
            <w:r>
              <w:rPr>
                <w:noProof/>
                <w:webHidden/>
              </w:rPr>
              <w:fldChar w:fldCharType="begin"/>
            </w:r>
            <w:r>
              <w:rPr>
                <w:noProof/>
                <w:webHidden/>
              </w:rPr>
              <w:instrText xml:space="preserve"> PAGEREF _Toc121151443 \h </w:instrText>
            </w:r>
            <w:r>
              <w:rPr>
                <w:noProof/>
                <w:webHidden/>
              </w:rPr>
            </w:r>
            <w:r>
              <w:rPr>
                <w:noProof/>
                <w:webHidden/>
              </w:rPr>
              <w:fldChar w:fldCharType="separate"/>
            </w:r>
            <w:r>
              <w:rPr>
                <w:noProof/>
                <w:webHidden/>
              </w:rPr>
              <w:t>45</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44" w:history="1">
            <w:r w:rsidRPr="003522B2">
              <w:rPr>
                <w:rStyle w:val="Hyperlink"/>
                <w:noProof/>
              </w:rPr>
              <w:t>Slide 62: Participants aged 15 and over – Social, community and civic participation</w:t>
            </w:r>
            <w:r>
              <w:rPr>
                <w:noProof/>
                <w:webHidden/>
              </w:rPr>
              <w:tab/>
            </w:r>
            <w:r>
              <w:rPr>
                <w:noProof/>
                <w:webHidden/>
              </w:rPr>
              <w:fldChar w:fldCharType="begin"/>
            </w:r>
            <w:r>
              <w:rPr>
                <w:noProof/>
                <w:webHidden/>
              </w:rPr>
              <w:instrText xml:space="preserve"> PAGEREF _Toc121151444 \h </w:instrText>
            </w:r>
            <w:r>
              <w:rPr>
                <w:noProof/>
                <w:webHidden/>
              </w:rPr>
            </w:r>
            <w:r>
              <w:rPr>
                <w:noProof/>
                <w:webHidden/>
              </w:rPr>
              <w:fldChar w:fldCharType="separate"/>
            </w:r>
            <w:r>
              <w:rPr>
                <w:noProof/>
                <w:webHidden/>
              </w:rPr>
              <w:t>46</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45" w:history="1">
            <w:r w:rsidRPr="003522B2">
              <w:rPr>
                <w:rStyle w:val="Hyperlink"/>
                <w:noProof/>
              </w:rPr>
              <w:t>Slide 63: Participants aged 15 and over – Employment (Footnote 1)</w:t>
            </w:r>
            <w:r>
              <w:rPr>
                <w:noProof/>
                <w:webHidden/>
              </w:rPr>
              <w:tab/>
            </w:r>
            <w:r>
              <w:rPr>
                <w:noProof/>
                <w:webHidden/>
              </w:rPr>
              <w:fldChar w:fldCharType="begin"/>
            </w:r>
            <w:r>
              <w:rPr>
                <w:noProof/>
                <w:webHidden/>
              </w:rPr>
              <w:instrText xml:space="preserve"> PAGEREF _Toc121151445 \h </w:instrText>
            </w:r>
            <w:r>
              <w:rPr>
                <w:noProof/>
                <w:webHidden/>
              </w:rPr>
            </w:r>
            <w:r>
              <w:rPr>
                <w:noProof/>
                <w:webHidden/>
              </w:rPr>
              <w:fldChar w:fldCharType="separate"/>
            </w:r>
            <w:r>
              <w:rPr>
                <w:noProof/>
                <w:webHidden/>
              </w:rPr>
              <w:t>47</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46" w:history="1">
            <w:r w:rsidRPr="003522B2">
              <w:rPr>
                <w:rStyle w:val="Hyperlink"/>
                <w:noProof/>
              </w:rPr>
              <w:t>Slide 64: Participants aged 15 and over – Employment (Footnote 1)</w:t>
            </w:r>
            <w:r>
              <w:rPr>
                <w:noProof/>
                <w:webHidden/>
              </w:rPr>
              <w:tab/>
            </w:r>
            <w:r>
              <w:rPr>
                <w:noProof/>
                <w:webHidden/>
              </w:rPr>
              <w:fldChar w:fldCharType="begin"/>
            </w:r>
            <w:r>
              <w:rPr>
                <w:noProof/>
                <w:webHidden/>
              </w:rPr>
              <w:instrText xml:space="preserve"> PAGEREF _Toc121151446 \h </w:instrText>
            </w:r>
            <w:r>
              <w:rPr>
                <w:noProof/>
                <w:webHidden/>
              </w:rPr>
            </w:r>
            <w:r>
              <w:rPr>
                <w:noProof/>
                <w:webHidden/>
              </w:rPr>
              <w:fldChar w:fldCharType="separate"/>
            </w:r>
            <w:r>
              <w:rPr>
                <w:noProof/>
                <w:webHidden/>
              </w:rPr>
              <w:t>47</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47" w:history="1">
            <w:r w:rsidRPr="003522B2">
              <w:rPr>
                <w:rStyle w:val="Hyperlink"/>
                <w:noProof/>
              </w:rPr>
              <w:t>Slide 65: Participants aged 15 and over – Employment</w:t>
            </w:r>
            <w:r>
              <w:rPr>
                <w:noProof/>
                <w:webHidden/>
              </w:rPr>
              <w:tab/>
            </w:r>
            <w:r>
              <w:rPr>
                <w:noProof/>
                <w:webHidden/>
              </w:rPr>
              <w:fldChar w:fldCharType="begin"/>
            </w:r>
            <w:r>
              <w:rPr>
                <w:noProof/>
                <w:webHidden/>
              </w:rPr>
              <w:instrText xml:space="preserve"> PAGEREF _Toc121151447 \h </w:instrText>
            </w:r>
            <w:r>
              <w:rPr>
                <w:noProof/>
                <w:webHidden/>
              </w:rPr>
            </w:r>
            <w:r>
              <w:rPr>
                <w:noProof/>
                <w:webHidden/>
              </w:rPr>
              <w:fldChar w:fldCharType="separate"/>
            </w:r>
            <w:r>
              <w:rPr>
                <w:noProof/>
                <w:webHidden/>
              </w:rPr>
              <w:t>48</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48" w:history="1">
            <w:r w:rsidRPr="003522B2">
              <w:rPr>
                <w:rStyle w:val="Hyperlink"/>
                <w:noProof/>
              </w:rPr>
              <w:t>Slide 66: Participants aged 15 and over – Employment (Footnote 1)</w:t>
            </w:r>
            <w:r>
              <w:rPr>
                <w:noProof/>
                <w:webHidden/>
              </w:rPr>
              <w:tab/>
            </w:r>
            <w:r>
              <w:rPr>
                <w:noProof/>
                <w:webHidden/>
              </w:rPr>
              <w:fldChar w:fldCharType="begin"/>
            </w:r>
            <w:r>
              <w:rPr>
                <w:noProof/>
                <w:webHidden/>
              </w:rPr>
              <w:instrText xml:space="preserve"> PAGEREF _Toc121151448 \h </w:instrText>
            </w:r>
            <w:r>
              <w:rPr>
                <w:noProof/>
                <w:webHidden/>
              </w:rPr>
            </w:r>
            <w:r>
              <w:rPr>
                <w:noProof/>
                <w:webHidden/>
              </w:rPr>
              <w:fldChar w:fldCharType="separate"/>
            </w:r>
            <w:r>
              <w:rPr>
                <w:noProof/>
                <w:webHidden/>
              </w:rPr>
              <w:t>49</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49" w:history="1">
            <w:r w:rsidRPr="003522B2">
              <w:rPr>
                <w:rStyle w:val="Hyperlink"/>
                <w:noProof/>
              </w:rPr>
              <w:t>Slide 67: Participants aged 15 and over – Employment (benchmarks) (Footnote 1)</w:t>
            </w:r>
            <w:r>
              <w:rPr>
                <w:noProof/>
                <w:webHidden/>
              </w:rPr>
              <w:tab/>
            </w:r>
            <w:r>
              <w:rPr>
                <w:noProof/>
                <w:webHidden/>
              </w:rPr>
              <w:fldChar w:fldCharType="begin"/>
            </w:r>
            <w:r>
              <w:rPr>
                <w:noProof/>
                <w:webHidden/>
              </w:rPr>
              <w:instrText xml:space="preserve"> PAGEREF _Toc121151449 \h </w:instrText>
            </w:r>
            <w:r>
              <w:rPr>
                <w:noProof/>
                <w:webHidden/>
              </w:rPr>
            </w:r>
            <w:r>
              <w:rPr>
                <w:noProof/>
                <w:webHidden/>
              </w:rPr>
              <w:fldChar w:fldCharType="separate"/>
            </w:r>
            <w:r>
              <w:rPr>
                <w:noProof/>
                <w:webHidden/>
              </w:rPr>
              <w:t>50</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50" w:history="1">
            <w:r w:rsidRPr="003522B2">
              <w:rPr>
                <w:rStyle w:val="Hyperlink"/>
                <w:noProof/>
              </w:rPr>
              <w:t>Slide 68: Participants aged 15 and over – Health and wellbeing (Footnote 1)</w:t>
            </w:r>
            <w:r>
              <w:rPr>
                <w:noProof/>
                <w:webHidden/>
              </w:rPr>
              <w:tab/>
            </w:r>
            <w:r>
              <w:rPr>
                <w:noProof/>
                <w:webHidden/>
              </w:rPr>
              <w:fldChar w:fldCharType="begin"/>
            </w:r>
            <w:r>
              <w:rPr>
                <w:noProof/>
                <w:webHidden/>
              </w:rPr>
              <w:instrText xml:space="preserve"> PAGEREF _Toc121151450 \h </w:instrText>
            </w:r>
            <w:r>
              <w:rPr>
                <w:noProof/>
                <w:webHidden/>
              </w:rPr>
            </w:r>
            <w:r>
              <w:rPr>
                <w:noProof/>
                <w:webHidden/>
              </w:rPr>
              <w:fldChar w:fldCharType="separate"/>
            </w:r>
            <w:r>
              <w:rPr>
                <w:noProof/>
                <w:webHidden/>
              </w:rPr>
              <w:t>51</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51" w:history="1">
            <w:r w:rsidRPr="003522B2">
              <w:rPr>
                <w:rStyle w:val="Hyperlink"/>
                <w:noProof/>
              </w:rPr>
              <w:t>Slide 69: Participants aged 15 and over – Health and wellbeing (Footnote 1)</w:t>
            </w:r>
            <w:r>
              <w:rPr>
                <w:noProof/>
                <w:webHidden/>
              </w:rPr>
              <w:tab/>
            </w:r>
            <w:r>
              <w:rPr>
                <w:noProof/>
                <w:webHidden/>
              </w:rPr>
              <w:fldChar w:fldCharType="begin"/>
            </w:r>
            <w:r>
              <w:rPr>
                <w:noProof/>
                <w:webHidden/>
              </w:rPr>
              <w:instrText xml:space="preserve"> PAGEREF _Toc121151451 \h </w:instrText>
            </w:r>
            <w:r>
              <w:rPr>
                <w:noProof/>
                <w:webHidden/>
              </w:rPr>
            </w:r>
            <w:r>
              <w:rPr>
                <w:noProof/>
                <w:webHidden/>
              </w:rPr>
              <w:fldChar w:fldCharType="separate"/>
            </w:r>
            <w:r>
              <w:rPr>
                <w:noProof/>
                <w:webHidden/>
              </w:rPr>
              <w:t>52</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52" w:history="1">
            <w:r w:rsidRPr="003522B2">
              <w:rPr>
                <w:rStyle w:val="Hyperlink"/>
                <w:noProof/>
              </w:rPr>
              <w:t>Slide 70: Participants aged 15 and over – Health and wellbeing (Footnote 1)</w:t>
            </w:r>
            <w:r>
              <w:rPr>
                <w:noProof/>
                <w:webHidden/>
              </w:rPr>
              <w:tab/>
            </w:r>
            <w:r>
              <w:rPr>
                <w:noProof/>
                <w:webHidden/>
              </w:rPr>
              <w:fldChar w:fldCharType="begin"/>
            </w:r>
            <w:r>
              <w:rPr>
                <w:noProof/>
                <w:webHidden/>
              </w:rPr>
              <w:instrText xml:space="preserve"> PAGEREF _Toc121151452 \h </w:instrText>
            </w:r>
            <w:r>
              <w:rPr>
                <w:noProof/>
                <w:webHidden/>
              </w:rPr>
            </w:r>
            <w:r>
              <w:rPr>
                <w:noProof/>
                <w:webHidden/>
              </w:rPr>
              <w:fldChar w:fldCharType="separate"/>
            </w:r>
            <w:r>
              <w:rPr>
                <w:noProof/>
                <w:webHidden/>
              </w:rPr>
              <w:t>53</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53" w:history="1">
            <w:r w:rsidRPr="003522B2">
              <w:rPr>
                <w:rStyle w:val="Hyperlink"/>
                <w:noProof/>
              </w:rPr>
              <w:t>Slide 71: Participants aged 15 and over – Health and wellbeing (Footnote 1)</w:t>
            </w:r>
            <w:r>
              <w:rPr>
                <w:noProof/>
                <w:webHidden/>
              </w:rPr>
              <w:tab/>
            </w:r>
            <w:r>
              <w:rPr>
                <w:noProof/>
                <w:webHidden/>
              </w:rPr>
              <w:fldChar w:fldCharType="begin"/>
            </w:r>
            <w:r>
              <w:rPr>
                <w:noProof/>
                <w:webHidden/>
              </w:rPr>
              <w:instrText xml:space="preserve"> PAGEREF _Toc121151453 \h </w:instrText>
            </w:r>
            <w:r>
              <w:rPr>
                <w:noProof/>
                <w:webHidden/>
              </w:rPr>
            </w:r>
            <w:r>
              <w:rPr>
                <w:noProof/>
                <w:webHidden/>
              </w:rPr>
              <w:fldChar w:fldCharType="separate"/>
            </w:r>
            <w:r>
              <w:rPr>
                <w:noProof/>
                <w:webHidden/>
              </w:rPr>
              <w:t>53</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54" w:history="1">
            <w:r w:rsidRPr="003522B2">
              <w:rPr>
                <w:rStyle w:val="Hyperlink"/>
                <w:noProof/>
              </w:rPr>
              <w:t>Slide 72: Participants aged 15 and over – Health and wellbeing (Footnote 1): Self-rated health, regular doctor and hospital visits (benchmark)</w:t>
            </w:r>
            <w:r>
              <w:rPr>
                <w:noProof/>
                <w:webHidden/>
              </w:rPr>
              <w:tab/>
            </w:r>
            <w:r>
              <w:rPr>
                <w:noProof/>
                <w:webHidden/>
              </w:rPr>
              <w:fldChar w:fldCharType="begin"/>
            </w:r>
            <w:r>
              <w:rPr>
                <w:noProof/>
                <w:webHidden/>
              </w:rPr>
              <w:instrText xml:space="preserve"> PAGEREF _Toc121151454 \h </w:instrText>
            </w:r>
            <w:r>
              <w:rPr>
                <w:noProof/>
                <w:webHidden/>
              </w:rPr>
            </w:r>
            <w:r>
              <w:rPr>
                <w:noProof/>
                <w:webHidden/>
              </w:rPr>
              <w:fldChar w:fldCharType="separate"/>
            </w:r>
            <w:r>
              <w:rPr>
                <w:noProof/>
                <w:webHidden/>
              </w:rPr>
              <w:t>54</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55" w:history="1">
            <w:r w:rsidRPr="003522B2">
              <w:rPr>
                <w:rStyle w:val="Hyperlink"/>
                <w:noProof/>
              </w:rPr>
              <w:t>Slide 73: Participants aged 15 and over – Health and wellbeing (Footnote 1): Life satisfaction, flu vaccination and dentist visits (benchmark)</w:t>
            </w:r>
            <w:r>
              <w:rPr>
                <w:noProof/>
                <w:webHidden/>
              </w:rPr>
              <w:tab/>
            </w:r>
            <w:r>
              <w:rPr>
                <w:noProof/>
                <w:webHidden/>
              </w:rPr>
              <w:fldChar w:fldCharType="begin"/>
            </w:r>
            <w:r>
              <w:rPr>
                <w:noProof/>
                <w:webHidden/>
              </w:rPr>
              <w:instrText xml:space="preserve"> PAGEREF _Toc121151455 \h </w:instrText>
            </w:r>
            <w:r>
              <w:rPr>
                <w:noProof/>
                <w:webHidden/>
              </w:rPr>
            </w:r>
            <w:r>
              <w:rPr>
                <w:noProof/>
                <w:webHidden/>
              </w:rPr>
              <w:fldChar w:fldCharType="separate"/>
            </w:r>
            <w:r>
              <w:rPr>
                <w:noProof/>
                <w:webHidden/>
              </w:rPr>
              <w:t>56</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56" w:history="1">
            <w:r w:rsidRPr="003522B2">
              <w:rPr>
                <w:rStyle w:val="Hyperlink"/>
                <w:noProof/>
              </w:rPr>
              <w:t>Slide 74: Has the NDIS helped?</w:t>
            </w:r>
            <w:r>
              <w:rPr>
                <w:noProof/>
                <w:webHidden/>
              </w:rPr>
              <w:tab/>
            </w:r>
            <w:r>
              <w:rPr>
                <w:noProof/>
                <w:webHidden/>
              </w:rPr>
              <w:fldChar w:fldCharType="begin"/>
            </w:r>
            <w:r>
              <w:rPr>
                <w:noProof/>
                <w:webHidden/>
              </w:rPr>
              <w:instrText xml:space="preserve"> PAGEREF _Toc121151456 \h </w:instrText>
            </w:r>
            <w:r>
              <w:rPr>
                <w:noProof/>
                <w:webHidden/>
              </w:rPr>
            </w:r>
            <w:r>
              <w:rPr>
                <w:noProof/>
                <w:webHidden/>
              </w:rPr>
              <w:fldChar w:fldCharType="separate"/>
            </w:r>
            <w:r>
              <w:rPr>
                <w:noProof/>
                <w:webHidden/>
              </w:rPr>
              <w:t>57</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57" w:history="1">
            <w:r w:rsidRPr="003522B2">
              <w:rPr>
                <w:rStyle w:val="Hyperlink"/>
                <w:noProof/>
              </w:rPr>
              <w:t>Slide 75: Participants from birth to before starting school</w:t>
            </w:r>
            <w:r>
              <w:rPr>
                <w:noProof/>
                <w:webHidden/>
              </w:rPr>
              <w:tab/>
            </w:r>
            <w:r>
              <w:rPr>
                <w:noProof/>
                <w:webHidden/>
              </w:rPr>
              <w:fldChar w:fldCharType="begin"/>
            </w:r>
            <w:r>
              <w:rPr>
                <w:noProof/>
                <w:webHidden/>
              </w:rPr>
              <w:instrText xml:space="preserve"> PAGEREF _Toc121151457 \h </w:instrText>
            </w:r>
            <w:r>
              <w:rPr>
                <w:noProof/>
                <w:webHidden/>
              </w:rPr>
            </w:r>
            <w:r>
              <w:rPr>
                <w:noProof/>
                <w:webHidden/>
              </w:rPr>
              <w:fldChar w:fldCharType="separate"/>
            </w:r>
            <w:r>
              <w:rPr>
                <w:noProof/>
                <w:webHidden/>
              </w:rPr>
              <w:t>57</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58" w:history="1">
            <w:r w:rsidRPr="003522B2">
              <w:rPr>
                <w:rStyle w:val="Hyperlink"/>
                <w:noProof/>
              </w:rPr>
              <w:t>Slide 76: Participants from starting school to age 14</w:t>
            </w:r>
            <w:r>
              <w:rPr>
                <w:noProof/>
                <w:webHidden/>
              </w:rPr>
              <w:tab/>
            </w:r>
            <w:r>
              <w:rPr>
                <w:noProof/>
                <w:webHidden/>
              </w:rPr>
              <w:fldChar w:fldCharType="begin"/>
            </w:r>
            <w:r>
              <w:rPr>
                <w:noProof/>
                <w:webHidden/>
              </w:rPr>
              <w:instrText xml:space="preserve"> PAGEREF _Toc121151458 \h </w:instrText>
            </w:r>
            <w:r>
              <w:rPr>
                <w:noProof/>
                <w:webHidden/>
              </w:rPr>
            </w:r>
            <w:r>
              <w:rPr>
                <w:noProof/>
                <w:webHidden/>
              </w:rPr>
              <w:fldChar w:fldCharType="separate"/>
            </w:r>
            <w:r>
              <w:rPr>
                <w:noProof/>
                <w:webHidden/>
              </w:rPr>
              <w:t>58</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59" w:history="1">
            <w:r w:rsidRPr="003522B2">
              <w:rPr>
                <w:rStyle w:val="Hyperlink"/>
                <w:noProof/>
              </w:rPr>
              <w:t>Slide 77: Participants aged 15 to 24</w:t>
            </w:r>
            <w:r>
              <w:rPr>
                <w:noProof/>
                <w:webHidden/>
              </w:rPr>
              <w:tab/>
            </w:r>
            <w:r>
              <w:rPr>
                <w:noProof/>
                <w:webHidden/>
              </w:rPr>
              <w:fldChar w:fldCharType="begin"/>
            </w:r>
            <w:r>
              <w:rPr>
                <w:noProof/>
                <w:webHidden/>
              </w:rPr>
              <w:instrText xml:space="preserve"> PAGEREF _Toc121151459 \h </w:instrText>
            </w:r>
            <w:r>
              <w:rPr>
                <w:noProof/>
                <w:webHidden/>
              </w:rPr>
            </w:r>
            <w:r>
              <w:rPr>
                <w:noProof/>
                <w:webHidden/>
              </w:rPr>
              <w:fldChar w:fldCharType="separate"/>
            </w:r>
            <w:r>
              <w:rPr>
                <w:noProof/>
                <w:webHidden/>
              </w:rPr>
              <w:t>59</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60" w:history="1">
            <w:r w:rsidRPr="003522B2">
              <w:rPr>
                <w:rStyle w:val="Hyperlink"/>
                <w:noProof/>
              </w:rPr>
              <w:t>Slide 78: Participants aged 15 to 24</w:t>
            </w:r>
            <w:r>
              <w:rPr>
                <w:noProof/>
                <w:webHidden/>
              </w:rPr>
              <w:tab/>
            </w:r>
            <w:r>
              <w:rPr>
                <w:noProof/>
                <w:webHidden/>
              </w:rPr>
              <w:fldChar w:fldCharType="begin"/>
            </w:r>
            <w:r>
              <w:rPr>
                <w:noProof/>
                <w:webHidden/>
              </w:rPr>
              <w:instrText xml:space="preserve"> PAGEREF _Toc121151460 \h </w:instrText>
            </w:r>
            <w:r>
              <w:rPr>
                <w:noProof/>
                <w:webHidden/>
              </w:rPr>
            </w:r>
            <w:r>
              <w:rPr>
                <w:noProof/>
                <w:webHidden/>
              </w:rPr>
              <w:fldChar w:fldCharType="separate"/>
            </w:r>
            <w:r>
              <w:rPr>
                <w:noProof/>
                <w:webHidden/>
              </w:rPr>
              <w:t>59</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61" w:history="1">
            <w:r w:rsidRPr="003522B2">
              <w:rPr>
                <w:rStyle w:val="Hyperlink"/>
                <w:noProof/>
              </w:rPr>
              <w:t>Slide 79: Participants aged 25 and over</w:t>
            </w:r>
            <w:r>
              <w:rPr>
                <w:noProof/>
                <w:webHidden/>
              </w:rPr>
              <w:tab/>
            </w:r>
            <w:r>
              <w:rPr>
                <w:noProof/>
                <w:webHidden/>
              </w:rPr>
              <w:fldChar w:fldCharType="begin"/>
            </w:r>
            <w:r>
              <w:rPr>
                <w:noProof/>
                <w:webHidden/>
              </w:rPr>
              <w:instrText xml:space="preserve"> PAGEREF _Toc121151461 \h </w:instrText>
            </w:r>
            <w:r>
              <w:rPr>
                <w:noProof/>
                <w:webHidden/>
              </w:rPr>
            </w:r>
            <w:r>
              <w:rPr>
                <w:noProof/>
                <w:webHidden/>
              </w:rPr>
              <w:fldChar w:fldCharType="separate"/>
            </w:r>
            <w:r>
              <w:rPr>
                <w:noProof/>
                <w:webHidden/>
              </w:rPr>
              <w:t>60</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62" w:history="1">
            <w:r w:rsidRPr="003522B2">
              <w:rPr>
                <w:rStyle w:val="Hyperlink"/>
                <w:noProof/>
              </w:rPr>
              <w:t>Slide 80: Participants aged 25 and over</w:t>
            </w:r>
            <w:r>
              <w:rPr>
                <w:noProof/>
                <w:webHidden/>
              </w:rPr>
              <w:tab/>
            </w:r>
            <w:r>
              <w:rPr>
                <w:noProof/>
                <w:webHidden/>
              </w:rPr>
              <w:fldChar w:fldCharType="begin"/>
            </w:r>
            <w:r>
              <w:rPr>
                <w:noProof/>
                <w:webHidden/>
              </w:rPr>
              <w:instrText xml:space="preserve"> PAGEREF _Toc121151462 \h </w:instrText>
            </w:r>
            <w:r>
              <w:rPr>
                <w:noProof/>
                <w:webHidden/>
              </w:rPr>
            </w:r>
            <w:r>
              <w:rPr>
                <w:noProof/>
                <w:webHidden/>
              </w:rPr>
              <w:fldChar w:fldCharType="separate"/>
            </w:r>
            <w:r>
              <w:rPr>
                <w:noProof/>
                <w:webHidden/>
              </w:rPr>
              <w:t>60</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63" w:history="1">
            <w:r w:rsidRPr="003522B2">
              <w:rPr>
                <w:rStyle w:val="Hyperlink"/>
                <w:noProof/>
              </w:rPr>
              <w:t>Slide 81: Appendix</w:t>
            </w:r>
            <w:r>
              <w:rPr>
                <w:noProof/>
                <w:webHidden/>
              </w:rPr>
              <w:tab/>
            </w:r>
            <w:r>
              <w:rPr>
                <w:noProof/>
                <w:webHidden/>
              </w:rPr>
              <w:fldChar w:fldCharType="begin"/>
            </w:r>
            <w:r>
              <w:rPr>
                <w:noProof/>
                <w:webHidden/>
              </w:rPr>
              <w:instrText xml:space="preserve"> PAGEREF _Toc121151463 \h </w:instrText>
            </w:r>
            <w:r>
              <w:rPr>
                <w:noProof/>
                <w:webHidden/>
              </w:rPr>
            </w:r>
            <w:r>
              <w:rPr>
                <w:noProof/>
                <w:webHidden/>
              </w:rPr>
              <w:fldChar w:fldCharType="separate"/>
            </w:r>
            <w:r>
              <w:rPr>
                <w:noProof/>
                <w:webHidden/>
              </w:rPr>
              <w:t>61</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64" w:history="1">
            <w:r w:rsidRPr="003522B2">
              <w:rPr>
                <w:rStyle w:val="Hyperlink"/>
                <w:noProof/>
              </w:rPr>
              <w:t>Slide 82: Age group transitions</w:t>
            </w:r>
            <w:r>
              <w:rPr>
                <w:noProof/>
                <w:webHidden/>
              </w:rPr>
              <w:tab/>
            </w:r>
            <w:r>
              <w:rPr>
                <w:noProof/>
                <w:webHidden/>
              </w:rPr>
              <w:fldChar w:fldCharType="begin"/>
            </w:r>
            <w:r>
              <w:rPr>
                <w:noProof/>
                <w:webHidden/>
              </w:rPr>
              <w:instrText xml:space="preserve"> PAGEREF _Toc121151464 \h </w:instrText>
            </w:r>
            <w:r>
              <w:rPr>
                <w:noProof/>
                <w:webHidden/>
              </w:rPr>
            </w:r>
            <w:r>
              <w:rPr>
                <w:noProof/>
                <w:webHidden/>
              </w:rPr>
              <w:fldChar w:fldCharType="separate"/>
            </w:r>
            <w:r>
              <w:rPr>
                <w:noProof/>
                <w:webHidden/>
              </w:rPr>
              <w:t>61</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65" w:history="1">
            <w:r w:rsidRPr="003522B2">
              <w:rPr>
                <w:rStyle w:val="Hyperlink"/>
                <w:noProof/>
              </w:rPr>
              <w:t>Slide 83: Age group transitions</w:t>
            </w:r>
            <w:r>
              <w:rPr>
                <w:noProof/>
                <w:webHidden/>
              </w:rPr>
              <w:tab/>
            </w:r>
            <w:r>
              <w:rPr>
                <w:noProof/>
                <w:webHidden/>
              </w:rPr>
              <w:fldChar w:fldCharType="begin"/>
            </w:r>
            <w:r>
              <w:rPr>
                <w:noProof/>
                <w:webHidden/>
              </w:rPr>
              <w:instrText xml:space="preserve"> PAGEREF _Toc121151465 \h </w:instrText>
            </w:r>
            <w:r>
              <w:rPr>
                <w:noProof/>
                <w:webHidden/>
              </w:rPr>
            </w:r>
            <w:r>
              <w:rPr>
                <w:noProof/>
                <w:webHidden/>
              </w:rPr>
              <w:fldChar w:fldCharType="separate"/>
            </w:r>
            <w:r>
              <w:rPr>
                <w:noProof/>
                <w:webHidden/>
              </w:rPr>
              <w:t>61</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66" w:history="1">
            <w:r w:rsidRPr="003522B2">
              <w:rPr>
                <w:rStyle w:val="Hyperlink"/>
                <w:noProof/>
              </w:rPr>
              <w:t>Slide 84: Age group transitions</w:t>
            </w:r>
            <w:r>
              <w:rPr>
                <w:noProof/>
                <w:webHidden/>
              </w:rPr>
              <w:tab/>
            </w:r>
            <w:r>
              <w:rPr>
                <w:noProof/>
                <w:webHidden/>
              </w:rPr>
              <w:fldChar w:fldCharType="begin"/>
            </w:r>
            <w:r>
              <w:rPr>
                <w:noProof/>
                <w:webHidden/>
              </w:rPr>
              <w:instrText xml:space="preserve"> PAGEREF _Toc121151466 \h </w:instrText>
            </w:r>
            <w:r>
              <w:rPr>
                <w:noProof/>
                <w:webHidden/>
              </w:rPr>
            </w:r>
            <w:r>
              <w:rPr>
                <w:noProof/>
                <w:webHidden/>
              </w:rPr>
              <w:fldChar w:fldCharType="separate"/>
            </w:r>
            <w:r>
              <w:rPr>
                <w:noProof/>
                <w:webHidden/>
              </w:rPr>
              <w:t>62</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67" w:history="1">
            <w:r w:rsidRPr="003522B2">
              <w:rPr>
                <w:rStyle w:val="Hyperlink"/>
                <w:noProof/>
              </w:rPr>
              <w:t>Slide 85: Age group transitions</w:t>
            </w:r>
            <w:r>
              <w:rPr>
                <w:noProof/>
                <w:webHidden/>
              </w:rPr>
              <w:tab/>
            </w:r>
            <w:r>
              <w:rPr>
                <w:noProof/>
                <w:webHidden/>
              </w:rPr>
              <w:fldChar w:fldCharType="begin"/>
            </w:r>
            <w:r>
              <w:rPr>
                <w:noProof/>
                <w:webHidden/>
              </w:rPr>
              <w:instrText xml:space="preserve"> PAGEREF _Toc121151467 \h </w:instrText>
            </w:r>
            <w:r>
              <w:rPr>
                <w:noProof/>
                <w:webHidden/>
              </w:rPr>
            </w:r>
            <w:r>
              <w:rPr>
                <w:noProof/>
                <w:webHidden/>
              </w:rPr>
              <w:fldChar w:fldCharType="separate"/>
            </w:r>
            <w:r>
              <w:rPr>
                <w:noProof/>
                <w:webHidden/>
              </w:rPr>
              <w:t>63</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68" w:history="1">
            <w:r w:rsidRPr="003522B2">
              <w:rPr>
                <w:rStyle w:val="Hyperlink"/>
                <w:noProof/>
              </w:rPr>
              <w:t>Slide 86: Treatment of “Has the NDIS helped” questions</w:t>
            </w:r>
            <w:r>
              <w:rPr>
                <w:noProof/>
                <w:webHidden/>
              </w:rPr>
              <w:tab/>
            </w:r>
            <w:r>
              <w:rPr>
                <w:noProof/>
                <w:webHidden/>
              </w:rPr>
              <w:fldChar w:fldCharType="begin"/>
            </w:r>
            <w:r>
              <w:rPr>
                <w:noProof/>
                <w:webHidden/>
              </w:rPr>
              <w:instrText xml:space="preserve"> PAGEREF _Toc121151468 \h </w:instrText>
            </w:r>
            <w:r>
              <w:rPr>
                <w:noProof/>
                <w:webHidden/>
              </w:rPr>
            </w:r>
            <w:r>
              <w:rPr>
                <w:noProof/>
                <w:webHidden/>
              </w:rPr>
              <w:fldChar w:fldCharType="separate"/>
            </w:r>
            <w:r>
              <w:rPr>
                <w:noProof/>
                <w:webHidden/>
              </w:rPr>
              <w:t>63</w:t>
            </w:r>
            <w:r>
              <w:rPr>
                <w:noProof/>
                <w:webHidden/>
              </w:rPr>
              <w:fldChar w:fldCharType="end"/>
            </w:r>
          </w:hyperlink>
        </w:p>
        <w:p w:rsidR="00C079F1" w:rsidRDefault="00C079F1">
          <w:pPr>
            <w:pStyle w:val="TOC2"/>
            <w:tabs>
              <w:tab w:val="right" w:leader="dot" w:pos="9016"/>
            </w:tabs>
            <w:rPr>
              <w:rFonts w:eastAsiaTheme="minorEastAsia"/>
              <w:noProof/>
              <w:lang w:eastAsia="en-AU"/>
            </w:rPr>
          </w:pPr>
          <w:hyperlink w:anchor="_Toc121151469" w:history="1">
            <w:r w:rsidRPr="003522B2">
              <w:rPr>
                <w:rStyle w:val="Hyperlink"/>
                <w:noProof/>
              </w:rPr>
              <w:t>Slide 87: closing slide</w:t>
            </w:r>
            <w:r>
              <w:rPr>
                <w:noProof/>
                <w:webHidden/>
              </w:rPr>
              <w:tab/>
            </w:r>
            <w:r>
              <w:rPr>
                <w:noProof/>
                <w:webHidden/>
              </w:rPr>
              <w:fldChar w:fldCharType="begin"/>
            </w:r>
            <w:r>
              <w:rPr>
                <w:noProof/>
                <w:webHidden/>
              </w:rPr>
              <w:instrText xml:space="preserve"> PAGEREF _Toc121151469 \h </w:instrText>
            </w:r>
            <w:r>
              <w:rPr>
                <w:noProof/>
                <w:webHidden/>
              </w:rPr>
            </w:r>
            <w:r>
              <w:rPr>
                <w:noProof/>
                <w:webHidden/>
              </w:rPr>
              <w:fldChar w:fldCharType="separate"/>
            </w:r>
            <w:r>
              <w:rPr>
                <w:noProof/>
                <w:webHidden/>
              </w:rPr>
              <w:t>64</w:t>
            </w:r>
            <w:r>
              <w:rPr>
                <w:noProof/>
                <w:webHidden/>
              </w:rPr>
              <w:fldChar w:fldCharType="end"/>
            </w:r>
          </w:hyperlink>
        </w:p>
        <w:p w:rsidR="00A465F8" w:rsidRDefault="00A465F8">
          <w:r>
            <w:rPr>
              <w:b/>
              <w:bCs/>
              <w:noProof/>
            </w:rPr>
            <w:fldChar w:fldCharType="end"/>
          </w:r>
        </w:p>
      </w:sdtContent>
    </w:sdt>
    <w:p w:rsidR="00947543" w:rsidRDefault="00947543" w:rsidP="00947543"/>
    <w:p w:rsidR="00947543" w:rsidRPr="00106A1A" w:rsidRDefault="00947543" w:rsidP="00B32CF4">
      <w:pPr>
        <w:pStyle w:val="Heading2"/>
      </w:pPr>
      <w:bookmarkStart w:id="1" w:name="_Toc121151383"/>
      <w:r w:rsidRPr="00106A1A">
        <w:t>Slide</w:t>
      </w:r>
      <w:r w:rsidR="0028773C" w:rsidRPr="00106A1A">
        <w:t xml:space="preserve"> </w:t>
      </w:r>
      <w:r w:rsidR="0028773C" w:rsidRPr="00106A1A">
        <w:rPr>
          <w:rFonts w:asciiTheme="minorHAnsi" w:hAnsiTheme="minorHAnsi" w:cstheme="minorBidi"/>
        </w:rPr>
        <w:fldChar w:fldCharType="begin"/>
      </w:r>
      <w:r w:rsidR="0028773C" w:rsidRPr="00106A1A">
        <w:rPr>
          <w:rFonts w:asciiTheme="minorHAnsi" w:hAnsiTheme="minorHAnsi" w:cstheme="minorBidi"/>
        </w:rPr>
        <w:instrText xml:space="preserve"> SEQ Slide \* ARABIC \s 1 </w:instrText>
      </w:r>
      <w:r w:rsidR="0028773C" w:rsidRPr="00106A1A">
        <w:rPr>
          <w:rFonts w:asciiTheme="minorHAnsi" w:hAnsiTheme="minorHAnsi" w:cstheme="minorBidi"/>
        </w:rPr>
        <w:fldChar w:fldCharType="separate"/>
      </w:r>
      <w:r w:rsidR="00FC5351">
        <w:rPr>
          <w:rFonts w:asciiTheme="minorHAnsi" w:hAnsiTheme="minorHAnsi" w:cstheme="minorBidi"/>
          <w:noProof/>
        </w:rPr>
        <w:t>1</w:t>
      </w:r>
      <w:r w:rsidR="0028773C" w:rsidRPr="00106A1A">
        <w:rPr>
          <w:rFonts w:asciiTheme="minorHAnsi" w:hAnsiTheme="minorHAnsi" w:cstheme="minorBidi"/>
        </w:rPr>
        <w:fldChar w:fldCharType="end"/>
      </w:r>
      <w:r w:rsidR="00F655B3" w:rsidRPr="00106A1A">
        <w:t>: Participant outcomes 30 June 202</w:t>
      </w:r>
      <w:r w:rsidR="00B102EF">
        <w:t>2</w:t>
      </w:r>
      <w:bookmarkEnd w:id="1"/>
    </w:p>
    <w:p w:rsidR="003979FF" w:rsidRPr="00106A1A" w:rsidRDefault="003979FF" w:rsidP="002D3E5B">
      <w:r w:rsidRPr="00106A1A">
        <w:t>This is a cover slide</w:t>
      </w:r>
      <w:r w:rsidR="00106A1A" w:rsidRPr="00106A1A">
        <w:t xml:space="preserve"> for the whole presentation.</w:t>
      </w:r>
    </w:p>
    <w:p w:rsidR="00F655B3" w:rsidRPr="00106A1A" w:rsidRDefault="00F655B3" w:rsidP="002D3E5B">
      <w:r w:rsidRPr="00106A1A">
        <w:t>P</w:t>
      </w:r>
      <w:r w:rsidR="00B102EF">
        <w:t>articipant outcomes</w:t>
      </w:r>
      <w:r w:rsidR="00DD1E2F">
        <w:t xml:space="preserve"> to</w:t>
      </w:r>
      <w:r w:rsidR="00B102EF">
        <w:t xml:space="preserve"> 30 June 2022</w:t>
      </w:r>
    </w:p>
    <w:p w:rsidR="002D3E5B" w:rsidRPr="00106A1A" w:rsidRDefault="00DD1E2F" w:rsidP="002D3E5B">
      <w:r>
        <w:t>National Disability Insurance Agency</w:t>
      </w:r>
    </w:p>
    <w:p w:rsidR="002D3E5B" w:rsidRPr="00106A1A" w:rsidRDefault="00531A1B" w:rsidP="002D3E5B">
      <w:r>
        <w:t>NDIS</w:t>
      </w:r>
    </w:p>
    <w:p w:rsidR="00947543" w:rsidRPr="00106A1A" w:rsidRDefault="00947543" w:rsidP="002D3E5B">
      <w:pPr>
        <w:pStyle w:val="Heading2"/>
      </w:pPr>
      <w:bookmarkStart w:id="2" w:name="_Toc121151384"/>
      <w:r w:rsidRPr="00106A1A">
        <w:t xml:space="preserve">Slide </w:t>
      </w:r>
      <w:r w:rsidR="0028773C" w:rsidRPr="00106A1A">
        <w:rPr>
          <w:rFonts w:asciiTheme="minorHAnsi" w:hAnsiTheme="minorHAnsi" w:cstheme="minorBidi"/>
        </w:rPr>
        <w:fldChar w:fldCharType="begin"/>
      </w:r>
      <w:r w:rsidR="0028773C" w:rsidRPr="00106A1A">
        <w:rPr>
          <w:rFonts w:asciiTheme="minorHAnsi" w:hAnsiTheme="minorHAnsi" w:cstheme="minorBidi"/>
        </w:rPr>
        <w:instrText xml:space="preserve"> SEQ Slide \* ARABIC \s 1 </w:instrText>
      </w:r>
      <w:r w:rsidR="0028773C" w:rsidRPr="00106A1A">
        <w:rPr>
          <w:rFonts w:asciiTheme="minorHAnsi" w:hAnsiTheme="minorHAnsi" w:cstheme="minorBidi"/>
        </w:rPr>
        <w:fldChar w:fldCharType="separate"/>
      </w:r>
      <w:r w:rsidR="00FC5351">
        <w:rPr>
          <w:rFonts w:asciiTheme="minorHAnsi" w:hAnsiTheme="minorHAnsi" w:cstheme="minorBidi"/>
          <w:noProof/>
        </w:rPr>
        <w:t>2</w:t>
      </w:r>
      <w:r w:rsidR="0028773C" w:rsidRPr="00106A1A">
        <w:rPr>
          <w:rFonts w:asciiTheme="minorHAnsi" w:hAnsiTheme="minorHAnsi" w:cstheme="minorBidi"/>
        </w:rPr>
        <w:fldChar w:fldCharType="end"/>
      </w:r>
      <w:r w:rsidRPr="00106A1A">
        <w:t xml:space="preserve">: </w:t>
      </w:r>
      <w:r w:rsidR="002D3E5B" w:rsidRPr="00106A1A">
        <w:t>Contents</w:t>
      </w:r>
      <w:bookmarkEnd w:id="2"/>
    </w:p>
    <w:p w:rsidR="00B102EF" w:rsidRDefault="00B102EF" w:rsidP="00B102EF">
      <w:pPr>
        <w:pStyle w:val="ListParagraph"/>
        <w:numPr>
          <w:ilvl w:val="0"/>
          <w:numId w:val="1"/>
        </w:numPr>
      </w:pPr>
      <w:r w:rsidRPr="00B102EF">
        <w:t>Summary of findings</w:t>
      </w:r>
    </w:p>
    <w:p w:rsidR="00DD1E2F" w:rsidRDefault="00DD1E2F" w:rsidP="00DD1E2F">
      <w:pPr>
        <w:pStyle w:val="ListParagraph"/>
        <w:numPr>
          <w:ilvl w:val="1"/>
          <w:numId w:val="1"/>
        </w:numPr>
      </w:pPr>
      <w:r>
        <w:t>Participants aged 0 to 14</w:t>
      </w:r>
    </w:p>
    <w:p w:rsidR="00DD1E2F" w:rsidRPr="00B102EF" w:rsidRDefault="00DD1E2F" w:rsidP="00DD1E2F">
      <w:pPr>
        <w:pStyle w:val="ListParagraph"/>
        <w:numPr>
          <w:ilvl w:val="1"/>
          <w:numId w:val="1"/>
        </w:numPr>
      </w:pPr>
      <w:r>
        <w:t>Participants aged 15 and over</w:t>
      </w:r>
    </w:p>
    <w:p w:rsidR="00B102EF" w:rsidRPr="00B102EF" w:rsidRDefault="00B102EF" w:rsidP="00B102EF">
      <w:pPr>
        <w:pStyle w:val="ListParagraph"/>
        <w:numPr>
          <w:ilvl w:val="0"/>
          <w:numId w:val="1"/>
        </w:numPr>
      </w:pPr>
      <w:r w:rsidRPr="00B102EF">
        <w:t>Background</w:t>
      </w:r>
    </w:p>
    <w:p w:rsidR="00B102EF" w:rsidRPr="00B102EF" w:rsidRDefault="00B102EF" w:rsidP="00B102EF">
      <w:pPr>
        <w:pStyle w:val="ListParagraph"/>
        <w:numPr>
          <w:ilvl w:val="1"/>
          <w:numId w:val="1"/>
        </w:numPr>
      </w:pPr>
      <w:r w:rsidRPr="00B102EF">
        <w:lastRenderedPageBreak/>
        <w:t>This report</w:t>
      </w:r>
    </w:p>
    <w:p w:rsidR="00B102EF" w:rsidRPr="00B102EF" w:rsidRDefault="00B102EF" w:rsidP="00B102EF">
      <w:pPr>
        <w:pStyle w:val="ListParagraph"/>
        <w:numPr>
          <w:ilvl w:val="1"/>
          <w:numId w:val="1"/>
        </w:numPr>
      </w:pPr>
      <w:r w:rsidRPr="00B102EF">
        <w:t>NDIS outcomes framework</w:t>
      </w:r>
    </w:p>
    <w:p w:rsidR="00B102EF" w:rsidRPr="00B102EF" w:rsidRDefault="00B102EF" w:rsidP="00B102EF">
      <w:pPr>
        <w:pStyle w:val="ListParagraph"/>
        <w:numPr>
          <w:ilvl w:val="1"/>
          <w:numId w:val="1"/>
        </w:numPr>
      </w:pPr>
      <w:r w:rsidRPr="00B102EF">
        <w:t>Short Form and Long Form</w:t>
      </w:r>
    </w:p>
    <w:p w:rsidR="00B102EF" w:rsidRPr="00B102EF" w:rsidRDefault="00B102EF" w:rsidP="00B102EF">
      <w:pPr>
        <w:pStyle w:val="ListParagraph"/>
        <w:numPr>
          <w:ilvl w:val="1"/>
          <w:numId w:val="1"/>
        </w:numPr>
      </w:pPr>
      <w:r w:rsidRPr="00B102EF">
        <w:t>Progress towards better outcomes</w:t>
      </w:r>
    </w:p>
    <w:p w:rsidR="00B102EF" w:rsidRPr="00B102EF" w:rsidRDefault="00B102EF" w:rsidP="00B102EF">
      <w:pPr>
        <w:pStyle w:val="ListParagraph"/>
        <w:numPr>
          <w:ilvl w:val="1"/>
          <w:numId w:val="1"/>
        </w:numPr>
      </w:pPr>
      <w:r w:rsidRPr="00B102EF">
        <w:t>Age group transitions</w:t>
      </w:r>
    </w:p>
    <w:p w:rsidR="00B102EF" w:rsidRDefault="00DD1E2F" w:rsidP="00B102EF">
      <w:pPr>
        <w:pStyle w:val="ListParagraph"/>
        <w:numPr>
          <w:ilvl w:val="1"/>
          <w:numId w:val="1"/>
        </w:numPr>
      </w:pPr>
      <w:r>
        <w:t>Covid-19 pandemic</w:t>
      </w:r>
    </w:p>
    <w:p w:rsidR="00DD1E2F" w:rsidRPr="00B102EF" w:rsidRDefault="00DD1E2F" w:rsidP="00B102EF">
      <w:pPr>
        <w:pStyle w:val="ListParagraph"/>
        <w:numPr>
          <w:ilvl w:val="1"/>
          <w:numId w:val="1"/>
        </w:numPr>
      </w:pPr>
      <w:r>
        <w:t>Number of respondents</w:t>
      </w:r>
    </w:p>
    <w:p w:rsidR="00B102EF" w:rsidRPr="00B102EF" w:rsidRDefault="00B102EF" w:rsidP="00B102EF">
      <w:pPr>
        <w:pStyle w:val="ListParagraph"/>
        <w:numPr>
          <w:ilvl w:val="0"/>
          <w:numId w:val="1"/>
        </w:numPr>
      </w:pPr>
      <w:r w:rsidRPr="00B102EF">
        <w:t>Summary of results for participants</w:t>
      </w:r>
      <w:r w:rsidR="00DD1E2F">
        <w:t xml:space="preserve"> aged 0 to 14 by key domain areas, including</w:t>
      </w:r>
      <w:r w:rsidRPr="00B102EF">
        <w:t>:</w:t>
      </w:r>
    </w:p>
    <w:p w:rsidR="00B102EF" w:rsidRPr="00B102EF" w:rsidRDefault="00DD1E2F" w:rsidP="00B102EF">
      <w:pPr>
        <w:pStyle w:val="ListParagraph"/>
        <w:numPr>
          <w:ilvl w:val="1"/>
          <w:numId w:val="1"/>
        </w:numPr>
      </w:pPr>
      <w:r>
        <w:t xml:space="preserve">Notable changes in indicators over one, two, three, four and </w:t>
      </w:r>
      <w:r w:rsidR="005A7C7C">
        <w:t>Five years in the Scheme</w:t>
      </w:r>
    </w:p>
    <w:p w:rsidR="00B102EF" w:rsidRDefault="00DD1E2F" w:rsidP="00B102EF">
      <w:pPr>
        <w:pStyle w:val="ListParagraph"/>
        <w:numPr>
          <w:ilvl w:val="1"/>
          <w:numId w:val="1"/>
        </w:numPr>
      </w:pPr>
      <w:r>
        <w:t>Age group variation</w:t>
      </w:r>
    </w:p>
    <w:p w:rsidR="00DD1E2F" w:rsidRDefault="00DD1E2F" w:rsidP="00B102EF">
      <w:pPr>
        <w:pStyle w:val="ListParagraph"/>
        <w:numPr>
          <w:ilvl w:val="1"/>
          <w:numId w:val="1"/>
        </w:numPr>
      </w:pPr>
      <w:r>
        <w:t>Benchmark data, where available for key indicators</w:t>
      </w:r>
    </w:p>
    <w:p w:rsidR="00DD1E2F" w:rsidRPr="00B102EF" w:rsidRDefault="00DD1E2F" w:rsidP="00DD1E2F">
      <w:pPr>
        <w:pStyle w:val="ListParagraph"/>
        <w:numPr>
          <w:ilvl w:val="0"/>
          <w:numId w:val="1"/>
        </w:numPr>
      </w:pPr>
      <w:r w:rsidRPr="00B102EF">
        <w:t>Summary of results for participants</w:t>
      </w:r>
      <w:r>
        <w:t xml:space="preserve"> aged 15 and over by key domain areas, including</w:t>
      </w:r>
      <w:r w:rsidRPr="00B102EF">
        <w:t>:</w:t>
      </w:r>
    </w:p>
    <w:p w:rsidR="00DD1E2F" w:rsidRPr="00B102EF" w:rsidRDefault="00DD1E2F" w:rsidP="00DD1E2F">
      <w:pPr>
        <w:pStyle w:val="ListParagraph"/>
        <w:numPr>
          <w:ilvl w:val="1"/>
          <w:numId w:val="1"/>
        </w:numPr>
      </w:pPr>
      <w:r>
        <w:t xml:space="preserve">Notable changes in indicators over one, two, three, four and </w:t>
      </w:r>
      <w:r w:rsidR="005A7C7C">
        <w:t>Five years in the Scheme</w:t>
      </w:r>
    </w:p>
    <w:p w:rsidR="00DD1E2F" w:rsidRDefault="00DD1E2F" w:rsidP="00DD1E2F">
      <w:pPr>
        <w:pStyle w:val="ListParagraph"/>
        <w:numPr>
          <w:ilvl w:val="1"/>
          <w:numId w:val="1"/>
        </w:numPr>
      </w:pPr>
      <w:r>
        <w:t>Age group variation</w:t>
      </w:r>
    </w:p>
    <w:p w:rsidR="00DD1E2F" w:rsidRPr="00B102EF" w:rsidRDefault="00DD1E2F" w:rsidP="00DD1E2F">
      <w:pPr>
        <w:pStyle w:val="ListParagraph"/>
        <w:numPr>
          <w:ilvl w:val="1"/>
          <w:numId w:val="1"/>
        </w:numPr>
      </w:pPr>
      <w:r>
        <w:t>Benchmark data, where available for key indicators</w:t>
      </w:r>
    </w:p>
    <w:p w:rsidR="00B102EF" w:rsidRPr="00B102EF" w:rsidRDefault="00B102EF" w:rsidP="00B102EF">
      <w:pPr>
        <w:pStyle w:val="ListParagraph"/>
        <w:numPr>
          <w:ilvl w:val="0"/>
          <w:numId w:val="1"/>
        </w:numPr>
      </w:pPr>
      <w:r w:rsidRPr="00B102EF">
        <w:t>Has the NDIS helped?</w:t>
      </w:r>
    </w:p>
    <w:p w:rsidR="00B102EF" w:rsidRPr="00B102EF" w:rsidRDefault="00B102EF" w:rsidP="00B102EF">
      <w:pPr>
        <w:pStyle w:val="ListParagraph"/>
        <w:numPr>
          <w:ilvl w:val="1"/>
          <w:numId w:val="1"/>
        </w:numPr>
      </w:pPr>
      <w:r w:rsidRPr="00B102EF">
        <w:t>Perceptions of whether the NDIS has helped</w:t>
      </w:r>
    </w:p>
    <w:p w:rsidR="00B102EF" w:rsidRDefault="00B102EF" w:rsidP="00B102EF">
      <w:pPr>
        <w:pStyle w:val="ListParagraph"/>
        <w:numPr>
          <w:ilvl w:val="0"/>
          <w:numId w:val="1"/>
        </w:numPr>
      </w:pPr>
      <w:r w:rsidRPr="00B102EF">
        <w:t>Appendix</w:t>
      </w:r>
    </w:p>
    <w:p w:rsidR="00B102EF" w:rsidRPr="00B102EF" w:rsidRDefault="00B102EF" w:rsidP="00B102EF">
      <w:pPr>
        <w:rPr>
          <w:highlight w:val="green"/>
        </w:rPr>
      </w:pPr>
    </w:p>
    <w:p w:rsidR="00B102EF" w:rsidRPr="00B102EF" w:rsidRDefault="00B102EF" w:rsidP="00B102EF">
      <w:pPr>
        <w:pStyle w:val="Heading2"/>
      </w:pPr>
      <w:bookmarkStart w:id="3" w:name="_Toc121151385"/>
      <w:r w:rsidRPr="00B102EF">
        <w:t>Slide</w:t>
      </w:r>
      <w:r w:rsidRPr="00B102EF">
        <w:rPr>
          <w:rFonts w:asciiTheme="minorHAnsi" w:hAnsiTheme="minorHAnsi" w:cstheme="minorBidi"/>
        </w:rPr>
        <w:t xml:space="preserve"> 3</w:t>
      </w:r>
      <w:r w:rsidRPr="00B102EF">
        <w:t>: Summary of findings</w:t>
      </w:r>
      <w:bookmarkEnd w:id="3"/>
    </w:p>
    <w:p w:rsidR="00B102EF" w:rsidRPr="00B102EF" w:rsidRDefault="00B102EF" w:rsidP="00B102EF">
      <w:r w:rsidRPr="00B102EF">
        <w:t>This slide is the cover slide for the summary of findings section.</w:t>
      </w:r>
    </w:p>
    <w:p w:rsidR="00B102EF" w:rsidRPr="00B102EF" w:rsidRDefault="00B102EF" w:rsidP="007223BB">
      <w:pPr>
        <w:pStyle w:val="Heading2"/>
      </w:pPr>
      <w:bookmarkStart w:id="4" w:name="_Toc121151386"/>
      <w:r w:rsidRPr="00B102EF">
        <w:t xml:space="preserve">Slide </w:t>
      </w:r>
      <w:r w:rsidRPr="007223BB">
        <w:t>4</w:t>
      </w:r>
      <w:r w:rsidRPr="00B102EF">
        <w:t>: Summary of findings</w:t>
      </w:r>
      <w:bookmarkEnd w:id="4"/>
      <w:r w:rsidRPr="00B102EF">
        <w:t xml:space="preserve"> </w:t>
      </w:r>
    </w:p>
    <w:p w:rsidR="007223BB" w:rsidRPr="00B102EF" w:rsidRDefault="007223BB" w:rsidP="007223BB">
      <w:pPr>
        <w:pStyle w:val="Heading5"/>
      </w:pPr>
      <w:r>
        <w:t>Measuring progress and change</w:t>
      </w:r>
    </w:p>
    <w:p w:rsidR="00B102EF" w:rsidRPr="009B3570" w:rsidRDefault="007223BB" w:rsidP="00B102EF">
      <w:pPr>
        <w:pStyle w:val="Heading4"/>
      </w:pPr>
      <w:r>
        <w:t>How have outcomes changed</w:t>
      </w:r>
    </w:p>
    <w:p w:rsidR="009B3570" w:rsidRPr="009B3570" w:rsidRDefault="009B3570" w:rsidP="009B3570">
      <w:r w:rsidRPr="009B3570">
        <w:t>This report summarises the number, extent and nature of changes across key outcome indicators. In total, 181 indicators were considered for the older participant age groups (15 and over), and 78 for the younger participant age groups (0 to 14). Of these:</w:t>
      </w:r>
    </w:p>
    <w:p w:rsidR="00120E67" w:rsidRPr="009B3570" w:rsidRDefault="009C5A99" w:rsidP="00B83265">
      <w:pPr>
        <w:numPr>
          <w:ilvl w:val="0"/>
          <w:numId w:val="8"/>
        </w:numPr>
      </w:pPr>
      <w:r w:rsidRPr="009B3570">
        <w:t>Overall, 29% of indicators showed significant and material change.</w:t>
      </w:r>
    </w:p>
    <w:p w:rsidR="00120E67" w:rsidRPr="009B3570" w:rsidRDefault="009C5A99" w:rsidP="00B83265">
      <w:pPr>
        <w:numPr>
          <w:ilvl w:val="0"/>
          <w:numId w:val="8"/>
        </w:numPr>
      </w:pPr>
      <w:r w:rsidRPr="009B3570">
        <w:t>Thirty-nine percent of short-form (SF) indicators showed significant and material change, compared to 2</w:t>
      </w:r>
      <w:r w:rsidR="00C079F1">
        <w:t>1</w:t>
      </w:r>
      <w:r w:rsidRPr="009B3570">
        <w:t>% of long-form (LF). The lower percentage for LF is due to smaller numbers of participants surveyed.</w:t>
      </w:r>
    </w:p>
    <w:p w:rsidR="009B3570" w:rsidRDefault="009C5A99" w:rsidP="00B83265">
      <w:pPr>
        <w:numPr>
          <w:ilvl w:val="0"/>
          <w:numId w:val="8"/>
        </w:numPr>
      </w:pPr>
      <w:r w:rsidRPr="009B3570">
        <w:t>Amongst indicators with significant and material change, the percentage showing an improvement was 57% for the 0 to 14 age group, and 6</w:t>
      </w:r>
      <w:r w:rsidR="00C079F1">
        <w:t>2</w:t>
      </w:r>
      <w:r w:rsidRPr="009B3570">
        <w:t>% for the 15 and over age group.</w:t>
      </w:r>
    </w:p>
    <w:p w:rsidR="009B3570" w:rsidRPr="009B3570" w:rsidRDefault="009B3570" w:rsidP="009B3570">
      <w:pPr>
        <w:pStyle w:val="Heading4"/>
      </w:pPr>
      <w:r w:rsidRPr="009B3570">
        <w:t>In what areas has the NDIS impacted positively?</w:t>
      </w:r>
    </w:p>
    <w:p w:rsidR="00120E67" w:rsidRPr="009B3570" w:rsidRDefault="009C5A99" w:rsidP="00B83265">
      <w:pPr>
        <w:numPr>
          <w:ilvl w:val="0"/>
          <w:numId w:val="9"/>
        </w:numPr>
      </w:pPr>
      <w:r w:rsidRPr="009B3570">
        <w:t xml:space="preserve">Over 90% of parents and carers of participants from birth to starting school said that the NDIS had helped with their child’s development and access to specialist services. Perceptions were increasingly positive the longer participants had been in the Scheme for this age group. </w:t>
      </w:r>
    </w:p>
    <w:p w:rsidR="00120E67" w:rsidRPr="009B3570" w:rsidRDefault="009C5A99" w:rsidP="00B83265">
      <w:pPr>
        <w:numPr>
          <w:ilvl w:val="0"/>
          <w:numId w:val="9"/>
        </w:numPr>
      </w:pPr>
      <w:r w:rsidRPr="009B3570">
        <w:t>Over 70% of parents and carers of participants from school to age 14 said that the NDIS helped improve their child’s independence, at latest review. Positive perceptions increased with time in Scheme, except for the latest year.</w:t>
      </w:r>
    </w:p>
    <w:p w:rsidR="00120E67" w:rsidRPr="009B3570" w:rsidRDefault="009C5A99" w:rsidP="00B83265">
      <w:pPr>
        <w:numPr>
          <w:ilvl w:val="0"/>
          <w:numId w:val="9"/>
        </w:numPr>
      </w:pPr>
      <w:r w:rsidRPr="009B3570">
        <w:lastRenderedPageBreak/>
        <w:t>Participants aged 15 and over have seen major improvement in the proportion saying the NDIS helped with choice and control, daily living, relationships, health and wellbeing, as well as social, community and civic participation.</w:t>
      </w:r>
    </w:p>
    <w:p w:rsidR="00120E67" w:rsidRPr="009B3570" w:rsidRDefault="009C5A99" w:rsidP="00B83265">
      <w:pPr>
        <w:numPr>
          <w:ilvl w:val="0"/>
          <w:numId w:val="9"/>
        </w:numPr>
      </w:pPr>
      <w:r w:rsidRPr="009B3570">
        <w:t xml:space="preserve">In most cases, higher plan utilisation is strongly associated with a positive response after </w:t>
      </w:r>
      <w:r w:rsidR="005A7C7C">
        <w:t>One year in the Scheme</w:t>
      </w:r>
      <w:r w:rsidRPr="009B3570">
        <w:t>. Improvements are typically largest between utilisation bands 0-20% and 20-40% (for most domains).</w:t>
      </w:r>
    </w:p>
    <w:p w:rsidR="00B102EF" w:rsidRPr="00B46034" w:rsidRDefault="00B102EF" w:rsidP="007223BB">
      <w:pPr>
        <w:pStyle w:val="Heading2"/>
      </w:pPr>
      <w:bookmarkStart w:id="5" w:name="_Toc121151387"/>
      <w:r w:rsidRPr="00B46034">
        <w:t xml:space="preserve">Slide </w:t>
      </w:r>
      <w:r w:rsidR="00B46034" w:rsidRPr="007223BB">
        <w:t>5</w:t>
      </w:r>
      <w:r w:rsidRPr="00B46034">
        <w:t>: Summary of findings</w:t>
      </w:r>
      <w:bookmarkEnd w:id="5"/>
      <w:r w:rsidRPr="00B46034">
        <w:t xml:space="preserve"> </w:t>
      </w:r>
    </w:p>
    <w:p w:rsidR="00B102EF" w:rsidRPr="003F0FB3" w:rsidRDefault="00B102EF" w:rsidP="00B102EF">
      <w:pPr>
        <w:pStyle w:val="Heading4"/>
      </w:pPr>
      <w:r w:rsidRPr="003F0FB3">
        <w:t>Children aged up to 14</w:t>
      </w:r>
    </w:p>
    <w:p w:rsidR="00B102EF" w:rsidRPr="003F0FB3" w:rsidRDefault="00B102EF" w:rsidP="00B102EF">
      <w:pPr>
        <w:pStyle w:val="Heading5"/>
      </w:pPr>
      <w:r w:rsidRPr="003F0FB3">
        <w:t>Outcomes that are improving for children</w:t>
      </w:r>
    </w:p>
    <w:p w:rsidR="00B102EF" w:rsidRDefault="003F0FB3" w:rsidP="00B102EF">
      <w:r w:rsidRPr="003F0FB3">
        <w:t>Improvements were observed in the areas of daily living, independence, relationships, social and community participation, and lifelong learning:</w:t>
      </w:r>
    </w:p>
    <w:p w:rsidR="007223BB" w:rsidRPr="003F0FB3" w:rsidRDefault="007223BB" w:rsidP="007223BB">
      <w:pPr>
        <w:pStyle w:val="Heading5"/>
      </w:pPr>
      <w:r>
        <w:t>Specialist services (participants from birth to starting school)</w:t>
      </w:r>
    </w:p>
    <w:p w:rsidR="00B102EF" w:rsidRDefault="0003632D" w:rsidP="00B83265">
      <w:pPr>
        <w:pStyle w:val="ListParagraph"/>
        <w:numPr>
          <w:ilvl w:val="0"/>
          <w:numId w:val="5"/>
        </w:numPr>
      </w:pPr>
      <w:r>
        <w:t>An increasing percentage of parents/carers of young children said that their child used specialist services and these services helped their child to gain everyday life skills and helped them to assist their child.</w:t>
      </w:r>
    </w:p>
    <w:p w:rsidR="001D14E1" w:rsidRDefault="001D14E1" w:rsidP="001D14E1">
      <w:pPr>
        <w:pStyle w:val="ListParagraph"/>
        <w:numPr>
          <w:ilvl w:val="1"/>
          <w:numId w:val="5"/>
        </w:numPr>
      </w:pPr>
      <w:r w:rsidRPr="001D14E1">
        <w:t>96% use specialist services (29.6 percentage point (pp) increase)</w:t>
      </w:r>
    </w:p>
    <w:p w:rsidR="001D14E1" w:rsidRDefault="001D14E1" w:rsidP="001D14E1">
      <w:pPr>
        <w:pStyle w:val="ListParagraph"/>
        <w:numPr>
          <w:ilvl w:val="1"/>
          <w:numId w:val="5"/>
        </w:numPr>
      </w:pPr>
      <w:r w:rsidRPr="001D14E1">
        <w:t>99% say services helped</w:t>
      </w:r>
    </w:p>
    <w:p w:rsidR="007223BB" w:rsidRDefault="007223BB" w:rsidP="007223BB">
      <w:pPr>
        <w:pStyle w:val="Heading5"/>
      </w:pPr>
      <w:r>
        <w:t>Daily living:</w:t>
      </w:r>
    </w:p>
    <w:p w:rsidR="007223BB" w:rsidRDefault="007223BB" w:rsidP="00B83265">
      <w:pPr>
        <w:pStyle w:val="ListParagraph"/>
        <w:numPr>
          <w:ilvl w:val="0"/>
          <w:numId w:val="5"/>
        </w:numPr>
      </w:pPr>
      <w:r>
        <w:t xml:space="preserve">Birth to starting school: </w:t>
      </w:r>
      <w:r w:rsidR="0003632D">
        <w:t>The percentage of parents/carers reporting positive outcomes in relation to their young child being able to do everyday tasks (most of the time) has increased from baseline to review 3 after being in the Scheme for three years.</w:t>
      </w:r>
    </w:p>
    <w:p w:rsidR="001D14E1" w:rsidRDefault="001D14E1" w:rsidP="001D14E1">
      <w:pPr>
        <w:pStyle w:val="ListParagraph"/>
        <w:numPr>
          <w:ilvl w:val="1"/>
          <w:numId w:val="5"/>
        </w:numPr>
      </w:pPr>
      <w:r w:rsidRPr="001D14E1">
        <w:t>67% able to do everyday tasks (14.3 pp increase over three years)</w:t>
      </w:r>
    </w:p>
    <w:p w:rsidR="001D14E1" w:rsidRDefault="007223BB" w:rsidP="00B83265">
      <w:pPr>
        <w:pStyle w:val="ListParagraph"/>
        <w:numPr>
          <w:ilvl w:val="0"/>
          <w:numId w:val="5"/>
        </w:numPr>
      </w:pPr>
      <w:r>
        <w:t xml:space="preserve">School to 14: </w:t>
      </w:r>
      <w:r w:rsidR="0003632D" w:rsidRPr="0003632D">
        <w:t>School aged children are becoming more independent.</w:t>
      </w:r>
    </w:p>
    <w:p w:rsidR="0003632D" w:rsidRDefault="001D14E1" w:rsidP="001D14E1">
      <w:pPr>
        <w:pStyle w:val="ListParagraph"/>
        <w:numPr>
          <w:ilvl w:val="1"/>
          <w:numId w:val="5"/>
        </w:numPr>
      </w:pPr>
      <w:r w:rsidRPr="001D14E1">
        <w:t>10.9 pp increase to 53%</w:t>
      </w:r>
      <w:r w:rsidR="0003632D" w:rsidRPr="0003632D">
        <w:t> </w:t>
      </w:r>
    </w:p>
    <w:p w:rsidR="007223BB" w:rsidRPr="0003632D" w:rsidRDefault="007223BB" w:rsidP="007223BB">
      <w:pPr>
        <w:pStyle w:val="Heading5"/>
      </w:pPr>
      <w:r>
        <w:t>Relationships (participants from birth to 14)</w:t>
      </w:r>
    </w:p>
    <w:p w:rsidR="0003632D" w:rsidRDefault="0003632D" w:rsidP="00B83265">
      <w:pPr>
        <w:pStyle w:val="ListParagraph"/>
        <w:numPr>
          <w:ilvl w:val="0"/>
          <w:numId w:val="5"/>
        </w:numPr>
      </w:pPr>
      <w:r w:rsidRPr="0003632D">
        <w:t>There is an increasing trend in the percentage of children who make friends with people outside the family for those in the Scheme up to three years.</w:t>
      </w:r>
    </w:p>
    <w:p w:rsidR="00DE5239" w:rsidRPr="0003632D" w:rsidRDefault="00DE5239" w:rsidP="006F2D9E">
      <w:pPr>
        <w:pStyle w:val="ListParagraph"/>
        <w:numPr>
          <w:ilvl w:val="1"/>
          <w:numId w:val="5"/>
        </w:numPr>
      </w:pPr>
      <w:r>
        <w:t>68% for participants aged 0 to before starting school (17 pp increase over three and four years)</w:t>
      </w:r>
    </w:p>
    <w:p w:rsidR="0003632D" w:rsidRDefault="0003632D" w:rsidP="00B83265">
      <w:pPr>
        <w:pStyle w:val="ListParagraph"/>
        <w:numPr>
          <w:ilvl w:val="0"/>
          <w:numId w:val="5"/>
        </w:numPr>
      </w:pPr>
      <w:r w:rsidRPr="0003632D">
        <w:t>Participants are increasingly likely to fit into family life, particularly those who have recently started school (0-S/S-14 age group).</w:t>
      </w:r>
    </w:p>
    <w:p w:rsidR="00DE5239" w:rsidRDefault="00DE5239" w:rsidP="00DE5239">
      <w:pPr>
        <w:pStyle w:val="ListParagraph"/>
        <w:numPr>
          <w:ilvl w:val="1"/>
          <w:numId w:val="5"/>
        </w:numPr>
      </w:pPr>
      <w:r>
        <w:t>88% overall (13.9 pp increase)</w:t>
      </w:r>
    </w:p>
    <w:p w:rsidR="00DE5239" w:rsidRDefault="00DE5239" w:rsidP="00DE5239">
      <w:pPr>
        <w:pStyle w:val="ListParagraph"/>
        <w:numPr>
          <w:ilvl w:val="1"/>
          <w:numId w:val="5"/>
        </w:numPr>
      </w:pPr>
      <w:r>
        <w:t>89% for those who recently started school (27.4 pp increase)</w:t>
      </w:r>
    </w:p>
    <w:p w:rsidR="007223BB" w:rsidRPr="0003632D" w:rsidRDefault="007223BB" w:rsidP="007223BB">
      <w:pPr>
        <w:pStyle w:val="Heading5"/>
      </w:pPr>
      <w:r>
        <w:t>Social, community and civic participation (participants from birth to starting school)</w:t>
      </w:r>
    </w:p>
    <w:p w:rsidR="0003632D" w:rsidRDefault="0003632D" w:rsidP="00B83265">
      <w:pPr>
        <w:pStyle w:val="ListParagraph"/>
        <w:numPr>
          <w:ilvl w:val="0"/>
          <w:numId w:val="5"/>
        </w:numPr>
      </w:pPr>
      <w:r w:rsidRPr="0003632D">
        <w:t>Children in the younger age group who participate in community activities tend to feel welcomed or actively included at these activities.</w:t>
      </w:r>
    </w:p>
    <w:p w:rsidR="00DE5239" w:rsidRDefault="00DE5239" w:rsidP="00DE5239">
      <w:pPr>
        <w:pStyle w:val="ListParagraph"/>
        <w:numPr>
          <w:ilvl w:val="1"/>
          <w:numId w:val="5"/>
        </w:numPr>
      </w:pPr>
      <w:r w:rsidRPr="00DE5239">
        <w:t>84% feel welcomed/ included (9.9 pp increase over four years)</w:t>
      </w:r>
    </w:p>
    <w:p w:rsidR="007223BB" w:rsidRDefault="007223BB" w:rsidP="007223BB">
      <w:pPr>
        <w:pStyle w:val="Heading5"/>
      </w:pPr>
      <w:r>
        <w:t>Lifelong learning (participants aged from starting school to 14)</w:t>
      </w:r>
    </w:p>
    <w:p w:rsidR="007223BB" w:rsidRDefault="007223BB" w:rsidP="00B83265">
      <w:pPr>
        <w:pStyle w:val="ListParagraph"/>
        <w:numPr>
          <w:ilvl w:val="0"/>
          <w:numId w:val="5"/>
        </w:numPr>
      </w:pPr>
      <w:r>
        <w:t>Parents/carers understanding of children’s goals at school shows an increasing trend with time in Scheme.</w:t>
      </w:r>
    </w:p>
    <w:p w:rsidR="00DE5239" w:rsidRDefault="00DE5239" w:rsidP="00DE5239">
      <w:pPr>
        <w:pStyle w:val="ListParagraph"/>
        <w:numPr>
          <w:ilvl w:val="1"/>
          <w:numId w:val="5"/>
        </w:numPr>
      </w:pPr>
      <w:r w:rsidRPr="00DE5239">
        <w:t>100% know child’s goals at school (18.4 pp increase over four years</w:t>
      </w:r>
      <w:r>
        <w:t>)</w:t>
      </w:r>
    </w:p>
    <w:p w:rsidR="00703575" w:rsidRDefault="00703575" w:rsidP="00703575">
      <w:r w:rsidRPr="00703575">
        <w:t>Unless otherwise stated, changes are over five years. Where numbers are too small to show five year results, changes are for three or four years, as stated</w:t>
      </w:r>
      <w:r>
        <w:t>.</w:t>
      </w:r>
    </w:p>
    <w:p w:rsidR="003F0FB3" w:rsidRPr="003F0FB3" w:rsidRDefault="003F0FB3" w:rsidP="007223BB">
      <w:pPr>
        <w:pStyle w:val="Heading2"/>
      </w:pPr>
      <w:bookmarkStart w:id="6" w:name="_Toc121151388"/>
      <w:r w:rsidRPr="003F0FB3">
        <w:lastRenderedPageBreak/>
        <w:t xml:space="preserve">Slide </w:t>
      </w:r>
      <w:r w:rsidRPr="007223BB">
        <w:t>6</w:t>
      </w:r>
      <w:r w:rsidRPr="003F0FB3">
        <w:t>: Summary of findings</w:t>
      </w:r>
      <w:bookmarkEnd w:id="6"/>
      <w:r w:rsidRPr="003F0FB3">
        <w:t xml:space="preserve"> </w:t>
      </w:r>
    </w:p>
    <w:p w:rsidR="009E74B5" w:rsidRDefault="009E74B5" w:rsidP="009E74B5">
      <w:pPr>
        <w:pStyle w:val="Heading4"/>
      </w:pPr>
      <w:r w:rsidRPr="003F0FB3">
        <w:t>Children aged up to 14</w:t>
      </w:r>
      <w:r w:rsidR="007479F8">
        <w:t xml:space="preserve"> </w:t>
      </w:r>
    </w:p>
    <w:p w:rsidR="009E74B5" w:rsidRDefault="009E74B5" w:rsidP="009E74B5">
      <w:pPr>
        <w:pStyle w:val="Heading5"/>
      </w:pPr>
      <w:r>
        <w:t>Area of concern/deterioration</w:t>
      </w:r>
    </w:p>
    <w:p w:rsidR="009E74B5" w:rsidRDefault="009E74B5" w:rsidP="009E74B5">
      <w:r w:rsidRPr="009E74B5">
        <w:t>Survey results highlight concerns about children’s development, social, community and civic participation and school attendance</w:t>
      </w:r>
      <w:r>
        <w:t>:</w:t>
      </w:r>
    </w:p>
    <w:p w:rsidR="005C4E91" w:rsidRDefault="005C4E91" w:rsidP="005C4E91">
      <w:pPr>
        <w:pStyle w:val="Heading5"/>
      </w:pPr>
      <w:r>
        <w:t>Daily Living:</w:t>
      </w:r>
    </w:p>
    <w:p w:rsidR="009E74B5" w:rsidRDefault="009E74B5" w:rsidP="00D079BF">
      <w:pPr>
        <w:pStyle w:val="ListParagraph"/>
        <w:numPr>
          <w:ilvl w:val="0"/>
          <w:numId w:val="10"/>
        </w:numPr>
      </w:pPr>
      <w:r w:rsidRPr="009E74B5">
        <w:t xml:space="preserve">There is an increasing trend in the percentage of parents/ carers of children in the birth to starting school age group reporting concerns in six or more areas of daily living – particularly in relation to social interaction, cognitive development, fine motor skills, self-care, and sensory processing. </w:t>
      </w:r>
      <w:r w:rsidR="00D079BF" w:rsidRPr="00D079BF">
        <w:t>The fact that this coincides with an increasing use of specialist services may reflect an increasing awareness of areas of concern and a need to seek assistance.</w:t>
      </w:r>
    </w:p>
    <w:p w:rsidR="00D079BF" w:rsidRDefault="00D079BF" w:rsidP="00D079BF">
      <w:pPr>
        <w:pStyle w:val="ListParagraph"/>
        <w:numPr>
          <w:ilvl w:val="1"/>
          <w:numId w:val="10"/>
        </w:numPr>
      </w:pPr>
      <w:r w:rsidRPr="00D079BF">
        <w:t>85% report six or more areas of concern (18.5 pp increase)</w:t>
      </w:r>
    </w:p>
    <w:p w:rsidR="005C4E91" w:rsidRDefault="005C4E91" w:rsidP="005C4E91">
      <w:pPr>
        <w:pStyle w:val="Heading5"/>
      </w:pPr>
      <w:r>
        <w:t>Social, community and civic participation</w:t>
      </w:r>
    </w:p>
    <w:p w:rsidR="009E74B5" w:rsidRDefault="009E74B5" w:rsidP="00B83265">
      <w:pPr>
        <w:pStyle w:val="ListParagraph"/>
        <w:numPr>
          <w:ilvl w:val="0"/>
          <w:numId w:val="10"/>
        </w:numPr>
      </w:pPr>
      <w:r w:rsidRPr="009E74B5">
        <w:t>There have been decreases in the percentages of school-age children who spend time after school or on weekends with friends and/or in mainstream programs. Further, parents and carers increasingly want their child to be more involved and see their child’s disability as a barrier to participation.</w:t>
      </w:r>
    </w:p>
    <w:p w:rsidR="00D079BF" w:rsidRDefault="00D079BF" w:rsidP="00D079BF">
      <w:pPr>
        <w:pStyle w:val="ListParagraph"/>
        <w:numPr>
          <w:ilvl w:val="1"/>
          <w:numId w:val="10"/>
        </w:numPr>
      </w:pPr>
      <w:r>
        <w:t>31% participate in activities (3 pp decrease)</w:t>
      </w:r>
    </w:p>
    <w:p w:rsidR="00D079BF" w:rsidRDefault="00D079BF" w:rsidP="00D079BF">
      <w:pPr>
        <w:pStyle w:val="ListParagraph"/>
        <w:numPr>
          <w:ilvl w:val="1"/>
          <w:numId w:val="10"/>
        </w:numPr>
      </w:pPr>
      <w:r>
        <w:t>72% feel welcomed/ actively included (6.8 pp decrease)</w:t>
      </w:r>
    </w:p>
    <w:p w:rsidR="005C4E91" w:rsidRPr="009E74B5" w:rsidRDefault="005C4E91" w:rsidP="005C4E91">
      <w:pPr>
        <w:pStyle w:val="Heading5"/>
      </w:pPr>
      <w:r>
        <w:t>Lifelong learning</w:t>
      </w:r>
    </w:p>
    <w:p w:rsidR="009E74B5" w:rsidRDefault="009E74B5" w:rsidP="00B83265">
      <w:pPr>
        <w:pStyle w:val="ListParagraph"/>
        <w:numPr>
          <w:ilvl w:val="0"/>
          <w:numId w:val="10"/>
        </w:numPr>
      </w:pPr>
      <w:r w:rsidRPr="009E74B5">
        <w:t>The percentage of children in a mainstream class at school decreased over time, and children who have been in the Scheme for longer as well as older participants are in general less likely to have attended school in a mainstream class.</w:t>
      </w:r>
    </w:p>
    <w:p w:rsidR="00D079BF" w:rsidRDefault="00D079BF" w:rsidP="00D079BF">
      <w:pPr>
        <w:pStyle w:val="ListParagraph"/>
        <w:numPr>
          <w:ilvl w:val="1"/>
          <w:numId w:val="10"/>
        </w:numPr>
      </w:pPr>
      <w:r>
        <w:t>Mainstream school attendance – 7.2 pp decrease to 37%</w:t>
      </w:r>
    </w:p>
    <w:p w:rsidR="00D079BF" w:rsidRDefault="00D079BF" w:rsidP="00D079BF">
      <w:pPr>
        <w:pStyle w:val="ListParagraph"/>
        <w:numPr>
          <w:ilvl w:val="1"/>
          <w:numId w:val="10"/>
        </w:numPr>
      </w:pPr>
      <w:r>
        <w:t>Cohort effect – higher levels observed for shorter duration cohorts.</w:t>
      </w:r>
    </w:p>
    <w:p w:rsidR="00703575" w:rsidRDefault="00703575" w:rsidP="00703575">
      <w:r w:rsidRPr="00703575">
        <w:t>Unless otherwise stated, changes are over five years. Where numbers are too small to show five year results, changes are for three or four years, as stated</w:t>
      </w:r>
      <w:r>
        <w:t>.</w:t>
      </w:r>
    </w:p>
    <w:p w:rsidR="00B102EF" w:rsidRDefault="00B102EF" w:rsidP="00713013">
      <w:pPr>
        <w:pStyle w:val="Heading2"/>
      </w:pPr>
      <w:bookmarkStart w:id="7" w:name="_Toc121151389"/>
      <w:r w:rsidRPr="0003632D">
        <w:t>Slide</w:t>
      </w:r>
      <w:r w:rsidR="003F0FB3" w:rsidRPr="0003632D">
        <w:t xml:space="preserve"> </w:t>
      </w:r>
      <w:r w:rsidR="003F0FB3" w:rsidRPr="00713013">
        <w:t>7</w:t>
      </w:r>
      <w:r w:rsidR="003F0FB3" w:rsidRPr="0003632D">
        <w:t>: Summary of findings</w:t>
      </w:r>
      <w:bookmarkEnd w:id="7"/>
      <w:r w:rsidR="003F0FB3" w:rsidRPr="0003632D">
        <w:t xml:space="preserve"> </w:t>
      </w:r>
    </w:p>
    <w:p w:rsidR="00941648" w:rsidRDefault="00941648" w:rsidP="00941648">
      <w:pPr>
        <w:pStyle w:val="Heading4"/>
      </w:pPr>
      <w:r>
        <w:t>Participants</w:t>
      </w:r>
      <w:r w:rsidRPr="003F0FB3">
        <w:t xml:space="preserve"> aged </w:t>
      </w:r>
      <w:r>
        <w:t xml:space="preserve">15 and over </w:t>
      </w:r>
    </w:p>
    <w:p w:rsidR="00B102EF" w:rsidRPr="005C4E91" w:rsidRDefault="00B102EF" w:rsidP="00B102EF">
      <w:pPr>
        <w:pStyle w:val="Heading5"/>
      </w:pPr>
      <w:r w:rsidRPr="005C4E91">
        <w:t xml:space="preserve">Outcomes that are improving </w:t>
      </w:r>
    </w:p>
    <w:p w:rsidR="00B102EF" w:rsidRPr="005C4E91" w:rsidRDefault="00362513" w:rsidP="00B102EF">
      <w:r w:rsidRPr="005C4E91">
        <w:t>Survey results are showing that there are significant positive changes for participants aged 15 and over since entering the Scheme (i.e. baseline) in the areas of lifelong learning, choice and control, relationships, home, social/community participation and health and wellbeing. For example</w:t>
      </w:r>
      <w:r w:rsidR="00B102EF" w:rsidRPr="005C4E91">
        <w:t>:</w:t>
      </w:r>
    </w:p>
    <w:p w:rsidR="00362513" w:rsidRPr="005C4E91" w:rsidRDefault="00362513" w:rsidP="00362513">
      <w:pPr>
        <w:pStyle w:val="Heading5"/>
      </w:pPr>
      <w:r w:rsidRPr="005C4E91">
        <w:t>Lifelong learning</w:t>
      </w:r>
    </w:p>
    <w:p w:rsidR="00362513" w:rsidRDefault="00362513" w:rsidP="00B83265">
      <w:pPr>
        <w:pStyle w:val="ListParagraph"/>
        <w:numPr>
          <w:ilvl w:val="0"/>
          <w:numId w:val="11"/>
        </w:numPr>
      </w:pPr>
      <w:r w:rsidRPr="005C4E91">
        <w:t>Participants are increasingly getting opportunities to learn new things, and completing year 12. In addition, participants are less likely to say there was a course or training they wanted to do in the last 12 months but could not.</w:t>
      </w:r>
    </w:p>
    <w:p w:rsidR="0025026C" w:rsidRDefault="0025026C" w:rsidP="0025026C">
      <w:pPr>
        <w:pStyle w:val="ListParagraph"/>
        <w:numPr>
          <w:ilvl w:val="1"/>
          <w:numId w:val="11"/>
        </w:numPr>
      </w:pPr>
      <w:r>
        <w:t>55% get opportunities to learn (4.4 pp increase)</w:t>
      </w:r>
    </w:p>
    <w:p w:rsidR="0025026C" w:rsidRDefault="0025026C" w:rsidP="0025026C">
      <w:pPr>
        <w:pStyle w:val="ListParagraph"/>
        <w:numPr>
          <w:ilvl w:val="1"/>
          <w:numId w:val="11"/>
        </w:numPr>
      </w:pPr>
      <w:r>
        <w:t>52.1% completed year 12 (5.7 pp increase)</w:t>
      </w:r>
    </w:p>
    <w:p w:rsidR="0025026C" w:rsidRPr="005C4E91" w:rsidRDefault="0025026C" w:rsidP="0025026C">
      <w:pPr>
        <w:pStyle w:val="ListParagraph"/>
        <w:numPr>
          <w:ilvl w:val="1"/>
          <w:numId w:val="11"/>
        </w:numPr>
      </w:pPr>
      <w:r>
        <w:t>29% couldn’t do a course/ training that they wanted (4.8 pp decrease)</w:t>
      </w:r>
    </w:p>
    <w:p w:rsidR="00362513" w:rsidRPr="005C4E91" w:rsidRDefault="00362513" w:rsidP="00362513">
      <w:pPr>
        <w:pStyle w:val="Heading5"/>
      </w:pPr>
      <w:r w:rsidRPr="005C4E91">
        <w:t>Choice and control</w:t>
      </w:r>
    </w:p>
    <w:p w:rsidR="00362513" w:rsidRDefault="00362513" w:rsidP="00B83265">
      <w:pPr>
        <w:pStyle w:val="ListParagraph"/>
        <w:numPr>
          <w:ilvl w:val="0"/>
          <w:numId w:val="6"/>
        </w:numPr>
      </w:pPr>
      <w:r w:rsidRPr="005C4E91">
        <w:t>An increasing percentage of participants made more decisions than they did two years ago, felt able to have a say with their support services, and chose how to spend their free time.</w:t>
      </w:r>
    </w:p>
    <w:p w:rsidR="001A663C" w:rsidRDefault="001A663C" w:rsidP="001A663C">
      <w:pPr>
        <w:pStyle w:val="ListParagraph"/>
        <w:numPr>
          <w:ilvl w:val="1"/>
          <w:numId w:val="6"/>
        </w:numPr>
      </w:pPr>
      <w:r>
        <w:lastRenderedPageBreak/>
        <w:t>9.1 pp increase over five years to 69.2% in making more decision than two years ago</w:t>
      </w:r>
    </w:p>
    <w:p w:rsidR="001A663C" w:rsidRDefault="001A663C" w:rsidP="001A663C">
      <w:pPr>
        <w:pStyle w:val="ListParagraph"/>
        <w:numPr>
          <w:ilvl w:val="1"/>
          <w:numId w:val="6"/>
        </w:numPr>
      </w:pPr>
      <w:r>
        <w:t>47% felt able to have a say (3 pp increase)</w:t>
      </w:r>
    </w:p>
    <w:p w:rsidR="001A663C" w:rsidRPr="005C4E91" w:rsidRDefault="001A663C" w:rsidP="001A663C">
      <w:pPr>
        <w:pStyle w:val="ListParagraph"/>
        <w:numPr>
          <w:ilvl w:val="1"/>
          <w:numId w:val="6"/>
        </w:numPr>
      </w:pPr>
      <w:r>
        <w:t>78% chose how they spend their free time (19.7 pp increase)</w:t>
      </w:r>
    </w:p>
    <w:p w:rsidR="00362513" w:rsidRPr="005C4E91" w:rsidRDefault="00362513" w:rsidP="00362513">
      <w:pPr>
        <w:pStyle w:val="Heading5"/>
      </w:pPr>
      <w:r w:rsidRPr="005C4E91">
        <w:t>Relationships</w:t>
      </w:r>
    </w:p>
    <w:p w:rsidR="00362513" w:rsidRDefault="00362513" w:rsidP="00B83265">
      <w:pPr>
        <w:pStyle w:val="ListParagraph"/>
        <w:numPr>
          <w:ilvl w:val="0"/>
          <w:numId w:val="6"/>
        </w:numPr>
      </w:pPr>
      <w:r w:rsidRPr="005C4E91">
        <w:t>Participants report getting more opportunities to see friends and being more satisfied with their relationship with staff. However, they expressed increasing desire to see friends and family more often.</w:t>
      </w:r>
    </w:p>
    <w:p w:rsidR="001A663C" w:rsidRDefault="001A663C" w:rsidP="001A663C">
      <w:pPr>
        <w:pStyle w:val="ListParagraph"/>
        <w:numPr>
          <w:ilvl w:val="1"/>
          <w:numId w:val="6"/>
        </w:numPr>
      </w:pPr>
      <w:r>
        <w:t>59% see friends without paid staff/ family present (17.9 pp increase over four years)</w:t>
      </w:r>
    </w:p>
    <w:p w:rsidR="001A663C" w:rsidRDefault="001A663C" w:rsidP="001A663C">
      <w:pPr>
        <w:pStyle w:val="ListParagraph"/>
        <w:numPr>
          <w:ilvl w:val="1"/>
          <w:numId w:val="6"/>
        </w:numPr>
      </w:pPr>
      <w:r>
        <w:t>97% felt happy with their relationship with staff (26.1 pp increase)</w:t>
      </w:r>
    </w:p>
    <w:p w:rsidR="00703575" w:rsidRDefault="00703575" w:rsidP="00703575">
      <w:r w:rsidRPr="00703575">
        <w:t>Unless otherwise stated, changes are over five years. Where numbers are too small to show five year results, changes are for three or four years, as stated</w:t>
      </w:r>
      <w:r>
        <w:t>.</w:t>
      </w:r>
    </w:p>
    <w:p w:rsidR="005C4E91" w:rsidRDefault="005C4E91" w:rsidP="00713013">
      <w:pPr>
        <w:pStyle w:val="Heading2"/>
      </w:pPr>
      <w:bookmarkStart w:id="8" w:name="_Toc121151390"/>
      <w:r w:rsidRPr="003F0FB3">
        <w:t xml:space="preserve">Slide </w:t>
      </w:r>
      <w:r w:rsidRPr="00713013">
        <w:t>8</w:t>
      </w:r>
      <w:r>
        <w:t>: Summary of findings</w:t>
      </w:r>
      <w:bookmarkEnd w:id="8"/>
      <w:r>
        <w:t xml:space="preserve"> </w:t>
      </w:r>
    </w:p>
    <w:p w:rsidR="00941648" w:rsidRDefault="00941648" w:rsidP="00941648">
      <w:pPr>
        <w:pStyle w:val="Heading4"/>
      </w:pPr>
      <w:r>
        <w:t>Participants</w:t>
      </w:r>
      <w:r w:rsidRPr="003F0FB3">
        <w:t xml:space="preserve"> aged </w:t>
      </w:r>
      <w:r>
        <w:t xml:space="preserve">15 and over </w:t>
      </w:r>
    </w:p>
    <w:p w:rsidR="00711C35" w:rsidRPr="005C4E91" w:rsidRDefault="00711C35" w:rsidP="00711C35">
      <w:pPr>
        <w:pStyle w:val="Heading5"/>
      </w:pPr>
      <w:r w:rsidRPr="005C4E91">
        <w:t>Outcomes that are improving for participants</w:t>
      </w:r>
      <w:r w:rsidR="00476864">
        <w:t xml:space="preserve"> </w:t>
      </w:r>
    </w:p>
    <w:p w:rsidR="005C4E91" w:rsidRDefault="00711C35" w:rsidP="000754C5">
      <w:pPr>
        <w:pStyle w:val="Heading5"/>
      </w:pPr>
      <w:r>
        <w:t>Home</w:t>
      </w:r>
    </w:p>
    <w:p w:rsidR="00711C35" w:rsidRPr="001A663C" w:rsidRDefault="00711C35" w:rsidP="00B83265">
      <w:pPr>
        <w:pStyle w:val="ListParagraph"/>
        <w:numPr>
          <w:ilvl w:val="0"/>
          <w:numId w:val="6"/>
        </w:numPr>
      </w:pPr>
      <w:r w:rsidRPr="00711C35">
        <w:t>A growing percentage of participants chose where they lived, who they lived with, and participated in making home-related decisions (i.e. making decisions in planning for a home).</w:t>
      </w:r>
      <w:r w:rsidRPr="000754C5">
        <w:rPr>
          <w:lang w:val="en-US"/>
        </w:rPr>
        <w:t> </w:t>
      </w:r>
    </w:p>
    <w:p w:rsidR="001A663C" w:rsidRDefault="001A663C" w:rsidP="001A663C">
      <w:pPr>
        <w:pStyle w:val="ListParagraph"/>
        <w:numPr>
          <w:ilvl w:val="1"/>
          <w:numId w:val="6"/>
        </w:numPr>
      </w:pPr>
      <w:r>
        <w:t>10.3 pp increase over four years in decisions on planning for a home</w:t>
      </w:r>
    </w:p>
    <w:p w:rsidR="001A663C" w:rsidRDefault="001A663C" w:rsidP="001A663C">
      <w:pPr>
        <w:pStyle w:val="ListParagraph"/>
        <w:numPr>
          <w:ilvl w:val="1"/>
          <w:numId w:val="6"/>
        </w:numPr>
      </w:pPr>
      <w:r>
        <w:t>74% chose where they lived (10.5 pp increase)</w:t>
      </w:r>
    </w:p>
    <w:p w:rsidR="001A663C" w:rsidRDefault="001A663C" w:rsidP="001A663C">
      <w:pPr>
        <w:pStyle w:val="ListParagraph"/>
        <w:numPr>
          <w:ilvl w:val="1"/>
          <w:numId w:val="6"/>
        </w:numPr>
      </w:pPr>
      <w:r>
        <w:t>86% chose whom they lived with (14.5 pp increase)</w:t>
      </w:r>
    </w:p>
    <w:p w:rsidR="00711C35" w:rsidRDefault="00711C35" w:rsidP="000754C5">
      <w:pPr>
        <w:pStyle w:val="Heading5"/>
      </w:pPr>
      <w:r>
        <w:t>Social community and civic participation</w:t>
      </w:r>
    </w:p>
    <w:p w:rsidR="00711C35" w:rsidRDefault="00711C35" w:rsidP="00B83265">
      <w:pPr>
        <w:pStyle w:val="ListParagraph"/>
        <w:numPr>
          <w:ilvl w:val="0"/>
          <w:numId w:val="6"/>
        </w:numPr>
      </w:pPr>
      <w:r w:rsidRPr="00711C35">
        <w:t>Higher proportions of participants spent their free time doing activities that interest them, were involved in community groups and leisure activities in the last 12 months, got to know people in the community, and had opportunities to try new things and have new experiences. They also felt safer walking alone in their local area after dark, and had a greater say in the community.</w:t>
      </w:r>
    </w:p>
    <w:p w:rsidR="001A663C" w:rsidRDefault="001A663C" w:rsidP="001A663C">
      <w:pPr>
        <w:pStyle w:val="ListParagraph"/>
        <w:numPr>
          <w:ilvl w:val="1"/>
          <w:numId w:val="6"/>
        </w:numPr>
      </w:pPr>
      <w:r>
        <w:t>80% participate in activities of interest (8.4 pp increase)</w:t>
      </w:r>
    </w:p>
    <w:p w:rsidR="001A663C" w:rsidRDefault="001A663C" w:rsidP="001A663C">
      <w:pPr>
        <w:pStyle w:val="ListParagraph"/>
        <w:numPr>
          <w:ilvl w:val="1"/>
          <w:numId w:val="6"/>
        </w:numPr>
      </w:pPr>
      <w:r>
        <w:t>14.3 pp increase to 49% of participants involved in a community activity, while 97% (27.6 pp increase) participated in a leisure activity</w:t>
      </w:r>
    </w:p>
    <w:p w:rsidR="001A663C" w:rsidRDefault="001A663C" w:rsidP="001A663C">
      <w:pPr>
        <w:pStyle w:val="ListParagraph"/>
        <w:numPr>
          <w:ilvl w:val="1"/>
          <w:numId w:val="6"/>
        </w:numPr>
      </w:pPr>
      <w:r>
        <w:t>65% know people in their community (6.3 pp increase)</w:t>
      </w:r>
    </w:p>
    <w:p w:rsidR="001A663C" w:rsidRDefault="001A663C" w:rsidP="001A663C">
      <w:pPr>
        <w:pStyle w:val="ListParagraph"/>
        <w:numPr>
          <w:ilvl w:val="1"/>
          <w:numId w:val="6"/>
        </w:numPr>
      </w:pPr>
      <w:r>
        <w:t>78% had opportunities to try new things (25 pp increase)</w:t>
      </w:r>
    </w:p>
    <w:p w:rsidR="001A663C" w:rsidRDefault="001A663C" w:rsidP="001A663C">
      <w:pPr>
        <w:pStyle w:val="ListParagraph"/>
        <w:numPr>
          <w:ilvl w:val="1"/>
          <w:numId w:val="6"/>
        </w:numPr>
      </w:pPr>
      <w:r>
        <w:t>15.8 pp increase in feeling safe in the local area</w:t>
      </w:r>
    </w:p>
    <w:p w:rsidR="00711C35" w:rsidRDefault="00711C35" w:rsidP="000754C5">
      <w:pPr>
        <w:pStyle w:val="Heading5"/>
      </w:pPr>
      <w:r>
        <w:t>Health and wellbeing</w:t>
      </w:r>
    </w:p>
    <w:p w:rsidR="00711C35" w:rsidRDefault="00711C35" w:rsidP="00B83265">
      <w:pPr>
        <w:pStyle w:val="ListParagraph"/>
        <w:numPr>
          <w:ilvl w:val="0"/>
          <w:numId w:val="6"/>
        </w:numPr>
      </w:pPr>
      <w:r w:rsidRPr="00711C35">
        <w:t>There have been improvements in some health and wellbeing indicators. Participants are more likely to have a doctor they see regularly, less likely to have difficulty accessing health services, less likely to have attended hospital in the last 12 months, and more likely to be vaccinated against the flu. In addition, life satisfaction improved over time.</w:t>
      </w:r>
    </w:p>
    <w:p w:rsidR="001A663C" w:rsidRDefault="001A663C" w:rsidP="001A663C">
      <w:pPr>
        <w:pStyle w:val="ListParagraph"/>
        <w:numPr>
          <w:ilvl w:val="1"/>
          <w:numId w:val="6"/>
        </w:numPr>
      </w:pPr>
      <w:r>
        <w:t>94% have a regular doctor (8.8 pp increase)</w:t>
      </w:r>
    </w:p>
    <w:p w:rsidR="001A663C" w:rsidRDefault="001A663C" w:rsidP="001A663C">
      <w:pPr>
        <w:pStyle w:val="ListParagraph"/>
        <w:numPr>
          <w:ilvl w:val="1"/>
          <w:numId w:val="6"/>
        </w:numPr>
      </w:pPr>
      <w:r>
        <w:t>75% have no difficulty accessing health services (5.4 pp increase)</w:t>
      </w:r>
    </w:p>
    <w:p w:rsidR="001A663C" w:rsidRDefault="001A663C" w:rsidP="001A663C">
      <w:pPr>
        <w:pStyle w:val="ListParagraph"/>
        <w:numPr>
          <w:ilvl w:val="1"/>
          <w:numId w:val="6"/>
        </w:numPr>
      </w:pPr>
      <w:r>
        <w:t>28% report having been to hospital in the past 12 months (8.6 pp decrease)</w:t>
      </w:r>
    </w:p>
    <w:p w:rsidR="001A663C" w:rsidRDefault="001A663C" w:rsidP="001A663C">
      <w:pPr>
        <w:pStyle w:val="ListParagraph"/>
        <w:numPr>
          <w:ilvl w:val="1"/>
          <w:numId w:val="6"/>
        </w:numPr>
      </w:pPr>
      <w:r>
        <w:t>71% received a flu vaccination (15.8 pp increase)</w:t>
      </w:r>
    </w:p>
    <w:p w:rsidR="001A663C" w:rsidRDefault="001A663C" w:rsidP="001A663C">
      <w:pPr>
        <w:pStyle w:val="ListParagraph"/>
        <w:numPr>
          <w:ilvl w:val="1"/>
          <w:numId w:val="6"/>
        </w:numPr>
      </w:pPr>
      <w:r>
        <w:t>Life satisfaction increased by 18.4 pp to 62%</w:t>
      </w:r>
    </w:p>
    <w:p w:rsidR="00703575" w:rsidRDefault="00703575" w:rsidP="00703575">
      <w:r w:rsidRPr="00703575">
        <w:lastRenderedPageBreak/>
        <w:t>Unless otherwise stated, changes are over five years. Where numbers are too small to show five year results, changes are for three or four years, as stated</w:t>
      </w:r>
      <w:r>
        <w:t>.</w:t>
      </w:r>
    </w:p>
    <w:p w:rsidR="005C4E91" w:rsidRPr="003F0FB3" w:rsidRDefault="005C4E91" w:rsidP="00713013">
      <w:pPr>
        <w:pStyle w:val="Heading2"/>
      </w:pPr>
      <w:bookmarkStart w:id="9" w:name="_Toc121151391"/>
      <w:r w:rsidRPr="003F0FB3">
        <w:t xml:space="preserve">Slide </w:t>
      </w:r>
      <w:r w:rsidRPr="00713013">
        <w:t>9</w:t>
      </w:r>
      <w:r>
        <w:t>: Summary of findings</w:t>
      </w:r>
      <w:bookmarkEnd w:id="9"/>
      <w:r>
        <w:t xml:space="preserve"> </w:t>
      </w:r>
    </w:p>
    <w:p w:rsidR="005C4E91" w:rsidRDefault="005130E9" w:rsidP="00941648">
      <w:pPr>
        <w:pStyle w:val="Heading4"/>
      </w:pPr>
      <w:r>
        <w:t xml:space="preserve">Participants aged 15 and over </w:t>
      </w:r>
    </w:p>
    <w:p w:rsidR="005C4E91" w:rsidRPr="003F0FB3" w:rsidRDefault="005C4E91" w:rsidP="005C4E91">
      <w:pPr>
        <w:pStyle w:val="Heading5"/>
      </w:pPr>
      <w:r w:rsidRPr="003F0FB3">
        <w:t>Areas of concern – opportunities for improvement</w:t>
      </w:r>
    </w:p>
    <w:p w:rsidR="005C4E91" w:rsidRDefault="005130E9" w:rsidP="005130E9">
      <w:r w:rsidRPr="005130E9">
        <w:t xml:space="preserve">There are a few areas where there has been a deteriorating trend over time for the older age cohorts –particularly in relation to advocacy, employment and self-rated </w:t>
      </w:r>
      <w:r>
        <w:t>health.</w:t>
      </w:r>
    </w:p>
    <w:p w:rsidR="004350FE" w:rsidRDefault="004350FE" w:rsidP="004350FE">
      <w:pPr>
        <w:pStyle w:val="Heading5"/>
      </w:pPr>
      <w:r>
        <w:t>Choice and control</w:t>
      </w:r>
    </w:p>
    <w:p w:rsidR="004350FE" w:rsidRDefault="004350FE" w:rsidP="00B83265">
      <w:pPr>
        <w:pStyle w:val="ListParagraph"/>
        <w:numPr>
          <w:ilvl w:val="0"/>
          <w:numId w:val="6"/>
        </w:numPr>
      </w:pPr>
      <w:r w:rsidRPr="004350FE">
        <w:t>Participants have become less likely to feel able to advocate for themselves over time in the Scheme. Younger adults are less likely than older adults to feel able to advocate for themselves. Participants continue to express an increasing desire for more choice and control.</w:t>
      </w:r>
    </w:p>
    <w:p w:rsidR="00A22CE1" w:rsidRDefault="00A22CE1" w:rsidP="00A22CE1">
      <w:pPr>
        <w:pStyle w:val="ListParagraph"/>
        <w:numPr>
          <w:ilvl w:val="1"/>
          <w:numId w:val="6"/>
        </w:numPr>
      </w:pPr>
      <w:r w:rsidRPr="00A22CE1">
        <w:t>40% feel able to advocate (4.8 pp decrease)</w:t>
      </w:r>
    </w:p>
    <w:p w:rsidR="004350FE" w:rsidRDefault="004350FE" w:rsidP="004350FE">
      <w:pPr>
        <w:pStyle w:val="Heading5"/>
      </w:pPr>
      <w:r>
        <w:t>E</w:t>
      </w:r>
      <w:r w:rsidRPr="004350FE">
        <w:t>mployment</w:t>
      </w:r>
    </w:p>
    <w:p w:rsidR="004350FE" w:rsidRDefault="00A22CE1" w:rsidP="00A22CE1">
      <w:pPr>
        <w:pStyle w:val="ListParagraph"/>
        <w:numPr>
          <w:ilvl w:val="0"/>
          <w:numId w:val="6"/>
        </w:numPr>
      </w:pPr>
      <w:r w:rsidRPr="00A22CE1">
        <w:t>Overall, for participants aged 15 and over there has been little change in the percentage in a paid job over time in the Scheme. However, the results vary considerably by age group, with younger participants showing strong increases in this employment outcome.</w:t>
      </w:r>
    </w:p>
    <w:p w:rsidR="00A22CE1" w:rsidRDefault="00A22CE1" w:rsidP="00A22CE1">
      <w:pPr>
        <w:pStyle w:val="ListParagraph"/>
        <w:numPr>
          <w:ilvl w:val="1"/>
          <w:numId w:val="6"/>
        </w:numPr>
      </w:pPr>
      <w:r>
        <w:t>Employment is steady, with 25% in a paid job (overall)</w:t>
      </w:r>
    </w:p>
    <w:p w:rsidR="00A22CE1" w:rsidRDefault="00A22CE1" w:rsidP="00A22CE1">
      <w:pPr>
        <w:pStyle w:val="ListParagraph"/>
        <w:numPr>
          <w:ilvl w:val="1"/>
          <w:numId w:val="6"/>
        </w:numPr>
      </w:pPr>
      <w:r>
        <w:t>A declining trend for the 25 and over age group, while the 15-24 age group is showing increases over time.</w:t>
      </w:r>
    </w:p>
    <w:p w:rsidR="004350FE" w:rsidRDefault="004350FE" w:rsidP="004350FE">
      <w:pPr>
        <w:pStyle w:val="Heading5"/>
      </w:pPr>
      <w:r>
        <w:t>Health and wellbeing</w:t>
      </w:r>
    </w:p>
    <w:p w:rsidR="004350FE" w:rsidRDefault="004350FE" w:rsidP="00B83265">
      <w:pPr>
        <w:pStyle w:val="ListParagraph"/>
        <w:numPr>
          <w:ilvl w:val="0"/>
          <w:numId w:val="6"/>
        </w:numPr>
      </w:pPr>
      <w:r w:rsidRPr="004350FE">
        <w:t>Self-rated health has deteriorated over time, across all age groups and duration cohorts. Older participants are typically less likely to rate their health as “Excellent”, “Very Good” or “Good”. There has also been a decline in dentist visits.</w:t>
      </w:r>
    </w:p>
    <w:p w:rsidR="00A22CE1" w:rsidRDefault="00A22CE1" w:rsidP="00A22CE1">
      <w:pPr>
        <w:pStyle w:val="ListParagraph"/>
        <w:numPr>
          <w:ilvl w:val="1"/>
          <w:numId w:val="6"/>
        </w:numPr>
      </w:pPr>
      <w:r>
        <w:t>Self-rated health – 52% (6.2 pp decrease)</w:t>
      </w:r>
    </w:p>
    <w:p w:rsidR="00A22CE1" w:rsidRDefault="00A22CE1" w:rsidP="00A22CE1">
      <w:pPr>
        <w:pStyle w:val="ListParagraph"/>
        <w:numPr>
          <w:ilvl w:val="1"/>
          <w:numId w:val="6"/>
        </w:numPr>
      </w:pPr>
      <w:r>
        <w:t>Dentist visits – 3.9 pp decrease to 50%</w:t>
      </w:r>
    </w:p>
    <w:p w:rsidR="004350FE" w:rsidRPr="004350FE" w:rsidRDefault="004350FE" w:rsidP="004350FE">
      <w:pPr>
        <w:pStyle w:val="Heading5"/>
        <w:rPr>
          <w:i/>
        </w:rPr>
      </w:pPr>
      <w:r w:rsidRPr="004350FE">
        <w:rPr>
          <w:i/>
        </w:rPr>
        <w:t>Relationships</w:t>
      </w:r>
    </w:p>
    <w:p w:rsidR="005C4E91" w:rsidRDefault="004350FE" w:rsidP="00B83265">
      <w:pPr>
        <w:pStyle w:val="ListParagraph"/>
        <w:numPr>
          <w:ilvl w:val="0"/>
          <w:numId w:val="6"/>
        </w:numPr>
      </w:pPr>
      <w:r w:rsidRPr="004350FE">
        <w:t>Increasing desire to see friends and family more often</w:t>
      </w:r>
    </w:p>
    <w:p w:rsidR="00A22CE1" w:rsidRDefault="00A22CE1" w:rsidP="00A22CE1">
      <w:pPr>
        <w:pStyle w:val="ListParagraph"/>
        <w:numPr>
          <w:ilvl w:val="1"/>
          <w:numId w:val="6"/>
        </w:numPr>
      </w:pPr>
      <w:r w:rsidRPr="00A22CE1">
        <w:t>36% would like to see family more often and 59% would like to see friends more often (a 6.6 and 9.3 percentage point increase, respectively</w:t>
      </w:r>
    </w:p>
    <w:p w:rsidR="00703575" w:rsidRDefault="00703575" w:rsidP="00703575">
      <w:r w:rsidRPr="00703575">
        <w:t>Unless otherwise stated, changes are over five years. Where numbers are too small to show five year results, changes are for three or four years, as stated</w:t>
      </w:r>
      <w:r>
        <w:t>.</w:t>
      </w:r>
    </w:p>
    <w:p w:rsidR="00106287" w:rsidRDefault="00106287" w:rsidP="00713013">
      <w:pPr>
        <w:pStyle w:val="Heading2"/>
      </w:pPr>
      <w:bookmarkStart w:id="10" w:name="_Toc121151392"/>
      <w:r w:rsidRPr="003F0FB3">
        <w:t xml:space="preserve">Slide </w:t>
      </w:r>
      <w:r w:rsidRPr="00713013">
        <w:t>10</w:t>
      </w:r>
      <w:r>
        <w:t>: Summary of findings</w:t>
      </w:r>
      <w:bookmarkEnd w:id="10"/>
    </w:p>
    <w:p w:rsidR="00A22CE1" w:rsidRPr="00A22CE1" w:rsidRDefault="00A22CE1" w:rsidP="00632614">
      <w:pPr>
        <w:pStyle w:val="Heading4"/>
      </w:pPr>
      <w:r>
        <w:t>Benchmarking and final remarks</w:t>
      </w:r>
    </w:p>
    <w:p w:rsidR="00106287" w:rsidRPr="00106287" w:rsidRDefault="00106287" w:rsidP="00106287">
      <w:pPr>
        <w:pStyle w:val="Heading5"/>
      </w:pPr>
      <w:r w:rsidRPr="00106287">
        <w:t>Benchmarking against the Australian population</w:t>
      </w:r>
    </w:p>
    <w:p w:rsidR="00106287" w:rsidRPr="00106287" w:rsidRDefault="00106287" w:rsidP="00106287">
      <w:r w:rsidRPr="00106287">
        <w:t>Overall, participants’ education, employment and health-related outcomes are generally poorer than for the Australian population. However, the trend is improving on some of these indicators and getting closer to that of the general population (e.g. completing year 12 or above, working 15 or more hours).</w:t>
      </w:r>
    </w:p>
    <w:p w:rsidR="00106287" w:rsidRPr="00106287" w:rsidRDefault="00106287" w:rsidP="00106287">
      <w:r w:rsidRPr="00106287">
        <w:t xml:space="preserve">Participants aged 15 and over are also less likely than the Australian population to rate their health positively and are more likely to have attended hospital in the past 12 months, although the trend </w:t>
      </w:r>
      <w:r w:rsidRPr="00106287">
        <w:lastRenderedPageBreak/>
        <w:t>for the latter indicator is improving. On a positive note, participants are more likely to have a regular doctor than the Australian population.</w:t>
      </w:r>
    </w:p>
    <w:p w:rsidR="00106287" w:rsidRPr="00106287" w:rsidRDefault="00106287" w:rsidP="00106287">
      <w:pPr>
        <w:pStyle w:val="Heading5"/>
      </w:pPr>
      <w:r w:rsidRPr="00106287">
        <w:t>Final remarks</w:t>
      </w:r>
    </w:p>
    <w:p w:rsidR="00106287" w:rsidRPr="00106287" w:rsidRDefault="00106287" w:rsidP="00106287">
      <w:r w:rsidRPr="00106287">
        <w:t>This report summarises longitudinal outcomes for participants entering the Scheme from 1 July 2016, and who have been in the Scheme for one year or more at 30 June 2022, providing a picture of how participants are progressing under the NDIS.</w:t>
      </w:r>
    </w:p>
    <w:p w:rsidR="00106287" w:rsidRPr="00106287" w:rsidRDefault="00106287" w:rsidP="00106287">
      <w:r w:rsidRPr="00106287">
        <w:t>For this year’s report, a new approach has been taken to dealing with participants who transition to an older age group. This approach increases the amount of data included in the analysis, and allows a continuous longitudinal view of participant outcomes at different life stages and durations within the Scheme.</w:t>
      </w:r>
    </w:p>
    <w:p w:rsidR="00106287" w:rsidRDefault="00106287" w:rsidP="00106287">
      <w:r w:rsidRPr="00106287">
        <w:t>The results provide insight into how the Scheme is making a difference and point to areas where improvements may be required.</w:t>
      </w:r>
    </w:p>
    <w:p w:rsidR="00AE7234" w:rsidRDefault="00AE7234" w:rsidP="00106287"/>
    <w:p w:rsidR="00AE7234" w:rsidRDefault="00AE7234" w:rsidP="00AE7234">
      <w:pPr>
        <w:pStyle w:val="Heading2"/>
      </w:pPr>
      <w:bookmarkStart w:id="11" w:name="_Toc121151393"/>
      <w:r w:rsidRPr="003F0FB3">
        <w:t xml:space="preserve">Slide </w:t>
      </w:r>
      <w:r w:rsidRPr="00AE7234">
        <w:t>11</w:t>
      </w:r>
      <w:r>
        <w:t>: Background</w:t>
      </w:r>
      <w:bookmarkEnd w:id="11"/>
    </w:p>
    <w:p w:rsidR="0036542B" w:rsidRDefault="0036542B" w:rsidP="0036542B">
      <w:bookmarkStart w:id="12" w:name="_Toc87632082"/>
      <w:r>
        <w:t>This slide is the cover slide for the Background section.</w:t>
      </w:r>
      <w:bookmarkEnd w:id="12"/>
    </w:p>
    <w:p w:rsidR="0036542B" w:rsidRDefault="0036542B" w:rsidP="00476864">
      <w:pPr>
        <w:pStyle w:val="Heading2"/>
      </w:pPr>
      <w:bookmarkStart w:id="13" w:name="_Toc87632083"/>
      <w:bookmarkStart w:id="14" w:name="_Toc121151394"/>
      <w:r>
        <w:t xml:space="preserve">Slide </w:t>
      </w:r>
      <w:r w:rsidRPr="00476864">
        <w:t xml:space="preserve">12: </w:t>
      </w:r>
      <w:r>
        <w:t>This report</w:t>
      </w:r>
      <w:bookmarkEnd w:id="13"/>
      <w:bookmarkEnd w:id="14"/>
    </w:p>
    <w:p w:rsidR="0036542B" w:rsidRPr="0036542B" w:rsidRDefault="0036542B" w:rsidP="0036542B">
      <w:r w:rsidRPr="0036542B">
        <w:t>This report summarises longitudinal outcomes for participants entering the Scheme from 1 July 2016, and who have been in the Scheme for one year or more at 30 June 2022, using data available as at 30 June 2022.</w:t>
      </w:r>
    </w:p>
    <w:p w:rsidR="0036542B" w:rsidRPr="0036542B" w:rsidRDefault="0036542B" w:rsidP="0036542B">
      <w:r w:rsidRPr="0036542B">
        <w:t xml:space="preserve">The purpose of the report is to provide a picture of how participants are progressing under the NDIS, based on information provided by them in interviews conducted using the NDIS outcomes framework questionnaires. </w:t>
      </w:r>
    </w:p>
    <w:p w:rsidR="0036542B" w:rsidRPr="0036542B" w:rsidRDefault="0036542B" w:rsidP="0036542B">
      <w:r w:rsidRPr="0036542B">
        <w:t>The report summarises the number, extent and nature of changes across key outcome indicators. The results are intended to provide insight into how the Scheme is making a difference, and point to any areas where improvements may be required.</w:t>
      </w:r>
    </w:p>
    <w:p w:rsidR="0036542B" w:rsidRPr="0036542B" w:rsidRDefault="0036542B" w:rsidP="0036542B">
      <w:r w:rsidRPr="0036542B">
        <w:t>The present report builds on the work of previous reports:</w:t>
      </w:r>
    </w:p>
    <w:p w:rsidR="0036542B" w:rsidRPr="0036542B" w:rsidRDefault="0036542B" w:rsidP="0036542B">
      <w:r w:rsidRPr="0036542B">
        <w:t>https://data.ndis.gov.au/reports-and-analyses/outcomes-and-goals/participant-outcomes-report</w:t>
      </w:r>
    </w:p>
    <w:p w:rsidR="0036542B" w:rsidRDefault="0036542B" w:rsidP="00476864">
      <w:pPr>
        <w:pStyle w:val="Heading2"/>
      </w:pPr>
      <w:bookmarkStart w:id="15" w:name="_Toc87632084"/>
      <w:bookmarkStart w:id="16" w:name="_Toc121151395"/>
      <w:r>
        <w:t xml:space="preserve">Slide </w:t>
      </w:r>
      <w:r w:rsidRPr="00476864">
        <w:t>13</w:t>
      </w:r>
      <w:r>
        <w:t>: Outcomes framework</w:t>
      </w:r>
      <w:bookmarkEnd w:id="15"/>
      <w:bookmarkEnd w:id="16"/>
    </w:p>
    <w:p w:rsidR="0036542B" w:rsidRDefault="0036542B" w:rsidP="0036542B">
      <w:r w:rsidRPr="00CB3257">
        <w:t>A lifespan approach to measuring participants’ goals and outcomes across main life domains has been used.</w:t>
      </w:r>
    </w:p>
    <w:p w:rsidR="0036542B" w:rsidRDefault="0036542B" w:rsidP="0036542B">
      <w:pPr>
        <w:rPr>
          <w:rFonts w:cs="FS Me Light"/>
          <w:color w:val="000000"/>
        </w:rPr>
      </w:pPr>
      <w:r w:rsidRPr="00CB3257">
        <w:rPr>
          <w:rFonts w:cs="FS Me Light"/>
          <w:color w:val="000000"/>
        </w:rPr>
        <w:t>Lifespan approach: four age-based cohorts</w:t>
      </w:r>
    </w:p>
    <w:p w:rsidR="0036542B" w:rsidRDefault="0036542B" w:rsidP="0036542B">
      <w:r>
        <w:t>There is one diagram with a long arrow denoting life stages of participants by age groups as well as relevant outcomes domains:</w:t>
      </w:r>
    </w:p>
    <w:p w:rsidR="0036542B" w:rsidRDefault="0036542B" w:rsidP="0036542B">
      <w:pPr>
        <w:pStyle w:val="ListParagraph"/>
        <w:numPr>
          <w:ilvl w:val="0"/>
          <w:numId w:val="1"/>
        </w:numPr>
      </w:pPr>
      <w:r>
        <w:t>Birth to starting school:</w:t>
      </w:r>
    </w:p>
    <w:p w:rsidR="0036542B" w:rsidRPr="00CB3257" w:rsidRDefault="0036542B" w:rsidP="0036542B">
      <w:pPr>
        <w:pStyle w:val="ListParagraph"/>
        <w:numPr>
          <w:ilvl w:val="1"/>
          <w:numId w:val="1"/>
        </w:numPr>
      </w:pPr>
      <w:r w:rsidRPr="00CB3257">
        <w:t>Domain 1: Daily living</w:t>
      </w:r>
    </w:p>
    <w:p w:rsidR="0036542B" w:rsidRPr="00CB3257" w:rsidRDefault="0036542B" w:rsidP="0036542B">
      <w:pPr>
        <w:pStyle w:val="ListParagraph"/>
        <w:numPr>
          <w:ilvl w:val="1"/>
          <w:numId w:val="1"/>
        </w:numPr>
      </w:pPr>
      <w:r w:rsidRPr="00CB3257">
        <w:t>Domain 2: Choice and control</w:t>
      </w:r>
    </w:p>
    <w:p w:rsidR="0036542B" w:rsidRPr="00CB3257" w:rsidRDefault="0036542B" w:rsidP="0036542B">
      <w:pPr>
        <w:pStyle w:val="ListParagraph"/>
        <w:numPr>
          <w:ilvl w:val="1"/>
          <w:numId w:val="1"/>
        </w:numPr>
      </w:pPr>
      <w:r w:rsidRPr="00CB3257">
        <w:t>Domain 3: Relationships</w:t>
      </w:r>
    </w:p>
    <w:p w:rsidR="0036542B" w:rsidRPr="00CB3257" w:rsidRDefault="0036542B" w:rsidP="0036542B">
      <w:pPr>
        <w:pStyle w:val="ListParagraph"/>
        <w:numPr>
          <w:ilvl w:val="1"/>
          <w:numId w:val="1"/>
        </w:numPr>
      </w:pPr>
      <w:r w:rsidRPr="00CB3257">
        <w:t>Domain 4: Social, community and civic participation</w:t>
      </w:r>
    </w:p>
    <w:p w:rsidR="0036542B" w:rsidRDefault="0036542B" w:rsidP="0036542B">
      <w:pPr>
        <w:pStyle w:val="ListParagraph"/>
        <w:numPr>
          <w:ilvl w:val="1"/>
          <w:numId w:val="1"/>
        </w:numPr>
      </w:pPr>
      <w:r w:rsidRPr="00CB3257">
        <w:t>Domain 5: Specialist services</w:t>
      </w:r>
    </w:p>
    <w:p w:rsidR="0036542B" w:rsidRDefault="0036542B" w:rsidP="0036542B">
      <w:pPr>
        <w:pStyle w:val="ListParagraph"/>
        <w:numPr>
          <w:ilvl w:val="0"/>
          <w:numId w:val="1"/>
        </w:numPr>
      </w:pPr>
      <w:r>
        <w:lastRenderedPageBreak/>
        <w:t>School to 14 years old:</w:t>
      </w:r>
    </w:p>
    <w:p w:rsidR="0036542B" w:rsidRPr="00CB3257" w:rsidRDefault="0036542B" w:rsidP="0036542B">
      <w:pPr>
        <w:pStyle w:val="ListParagraph"/>
        <w:numPr>
          <w:ilvl w:val="1"/>
          <w:numId w:val="1"/>
        </w:numPr>
      </w:pPr>
      <w:r w:rsidRPr="00CB3257">
        <w:t xml:space="preserve">Domain 1: Daily living </w:t>
      </w:r>
    </w:p>
    <w:p w:rsidR="0036542B" w:rsidRPr="00CB3257" w:rsidRDefault="0036542B" w:rsidP="0036542B">
      <w:pPr>
        <w:pStyle w:val="ListParagraph"/>
        <w:numPr>
          <w:ilvl w:val="1"/>
          <w:numId w:val="1"/>
        </w:numPr>
      </w:pPr>
      <w:r w:rsidRPr="00CB3257">
        <w:t>Domain 2: Lifelong learning</w:t>
      </w:r>
    </w:p>
    <w:p w:rsidR="0036542B" w:rsidRPr="00CB3257" w:rsidRDefault="0036542B" w:rsidP="0036542B">
      <w:pPr>
        <w:pStyle w:val="ListParagraph"/>
        <w:numPr>
          <w:ilvl w:val="1"/>
          <w:numId w:val="1"/>
        </w:numPr>
      </w:pPr>
      <w:r w:rsidRPr="00CB3257">
        <w:t>Domain 3: Relationships</w:t>
      </w:r>
    </w:p>
    <w:p w:rsidR="0036542B" w:rsidRDefault="0036542B" w:rsidP="0036542B">
      <w:pPr>
        <w:pStyle w:val="ListParagraph"/>
        <w:numPr>
          <w:ilvl w:val="1"/>
          <w:numId w:val="1"/>
        </w:numPr>
      </w:pPr>
      <w:r w:rsidRPr="00CB3257">
        <w:t>Domain 4: Social, community and civic participation</w:t>
      </w:r>
    </w:p>
    <w:p w:rsidR="0036542B" w:rsidRDefault="0036542B" w:rsidP="0036542B">
      <w:pPr>
        <w:pStyle w:val="ListParagraph"/>
        <w:numPr>
          <w:ilvl w:val="0"/>
          <w:numId w:val="1"/>
        </w:numPr>
      </w:pPr>
      <w:r>
        <w:t>15 to 24 years old:</w:t>
      </w:r>
    </w:p>
    <w:p w:rsidR="0036542B" w:rsidRPr="00CB3257" w:rsidRDefault="0036542B" w:rsidP="0036542B">
      <w:pPr>
        <w:pStyle w:val="ListParagraph"/>
        <w:numPr>
          <w:ilvl w:val="1"/>
          <w:numId w:val="1"/>
        </w:numPr>
      </w:pPr>
      <w:r w:rsidRPr="00CB3257">
        <w:t xml:space="preserve">Domain 1: Choice and control </w:t>
      </w:r>
    </w:p>
    <w:p w:rsidR="0036542B" w:rsidRPr="00CB3257" w:rsidRDefault="0036542B" w:rsidP="0036542B">
      <w:pPr>
        <w:pStyle w:val="ListParagraph"/>
        <w:numPr>
          <w:ilvl w:val="1"/>
          <w:numId w:val="1"/>
        </w:numPr>
      </w:pPr>
      <w:r w:rsidRPr="00CB3257">
        <w:t>Domain 2: Daily living</w:t>
      </w:r>
    </w:p>
    <w:p w:rsidR="0036542B" w:rsidRPr="00CB3257" w:rsidRDefault="0036542B" w:rsidP="0036542B">
      <w:pPr>
        <w:pStyle w:val="ListParagraph"/>
        <w:numPr>
          <w:ilvl w:val="1"/>
          <w:numId w:val="1"/>
        </w:numPr>
      </w:pPr>
      <w:r w:rsidRPr="00CB3257">
        <w:t>Domain 3: Relationships</w:t>
      </w:r>
    </w:p>
    <w:p w:rsidR="0036542B" w:rsidRPr="00CB3257" w:rsidRDefault="0036542B" w:rsidP="0036542B">
      <w:pPr>
        <w:pStyle w:val="ListParagraph"/>
        <w:numPr>
          <w:ilvl w:val="1"/>
          <w:numId w:val="1"/>
        </w:numPr>
      </w:pPr>
      <w:r w:rsidRPr="00CB3257">
        <w:t>Domain 4: Home</w:t>
      </w:r>
    </w:p>
    <w:p w:rsidR="0036542B" w:rsidRPr="00CB3257" w:rsidRDefault="0036542B" w:rsidP="0036542B">
      <w:pPr>
        <w:pStyle w:val="ListParagraph"/>
        <w:numPr>
          <w:ilvl w:val="1"/>
          <w:numId w:val="1"/>
        </w:numPr>
      </w:pPr>
      <w:r w:rsidRPr="00CB3257">
        <w:t>Domain 5: Health and wellbeing</w:t>
      </w:r>
    </w:p>
    <w:p w:rsidR="0036542B" w:rsidRPr="00CB3257" w:rsidRDefault="0036542B" w:rsidP="0036542B">
      <w:pPr>
        <w:pStyle w:val="ListParagraph"/>
        <w:numPr>
          <w:ilvl w:val="1"/>
          <w:numId w:val="1"/>
        </w:numPr>
      </w:pPr>
      <w:r w:rsidRPr="00CB3257">
        <w:t>Domain 6: Lifelong learning</w:t>
      </w:r>
    </w:p>
    <w:p w:rsidR="0036542B" w:rsidRPr="00CB3257" w:rsidRDefault="0036542B" w:rsidP="0036542B">
      <w:pPr>
        <w:pStyle w:val="ListParagraph"/>
        <w:numPr>
          <w:ilvl w:val="1"/>
          <w:numId w:val="1"/>
        </w:numPr>
      </w:pPr>
      <w:r w:rsidRPr="00CB3257">
        <w:t>Domain 7: Work</w:t>
      </w:r>
    </w:p>
    <w:p w:rsidR="0036542B" w:rsidRDefault="0036542B" w:rsidP="0036542B">
      <w:pPr>
        <w:pStyle w:val="ListParagraph"/>
        <w:numPr>
          <w:ilvl w:val="1"/>
          <w:numId w:val="1"/>
        </w:numPr>
      </w:pPr>
      <w:r w:rsidRPr="00CB3257">
        <w:t>Domain 8: Social, community and civic participation</w:t>
      </w:r>
    </w:p>
    <w:p w:rsidR="0036542B" w:rsidRDefault="0036542B" w:rsidP="0036542B">
      <w:pPr>
        <w:pStyle w:val="ListParagraph"/>
        <w:numPr>
          <w:ilvl w:val="0"/>
          <w:numId w:val="1"/>
        </w:numPr>
      </w:pPr>
      <w:r>
        <w:t>25 years old and over:</w:t>
      </w:r>
    </w:p>
    <w:p w:rsidR="0036542B" w:rsidRDefault="0036542B" w:rsidP="0036542B">
      <w:pPr>
        <w:pStyle w:val="ListParagraph"/>
        <w:numPr>
          <w:ilvl w:val="1"/>
          <w:numId w:val="1"/>
        </w:numPr>
      </w:pPr>
      <w:r>
        <w:t>(with the same domains as for 15 to 24 years old)</w:t>
      </w:r>
    </w:p>
    <w:p w:rsidR="0036542B" w:rsidRPr="00CB3257" w:rsidRDefault="0036542B" w:rsidP="0036542B">
      <w:pPr>
        <w:rPr>
          <w:rFonts w:cs="FS Me Light"/>
          <w:color w:val="000000"/>
        </w:rPr>
      </w:pPr>
      <w:r w:rsidRPr="00CB3257">
        <w:rPr>
          <w:rFonts w:cs="FS Me Light"/>
          <w:color w:val="000000"/>
        </w:rPr>
        <w:t xml:space="preserve">While most domains overlap, goals and outcomes may differ depending on the age group. </w:t>
      </w:r>
    </w:p>
    <w:p w:rsidR="0036542B" w:rsidRDefault="0036542B" w:rsidP="0036542B">
      <w:pPr>
        <w:rPr>
          <w:rFonts w:cs="FS Me Light"/>
          <w:color w:val="000000"/>
        </w:rPr>
      </w:pPr>
      <w:r w:rsidRPr="00CB3257">
        <w:rPr>
          <w:rFonts w:cs="FS Me Light"/>
          <w:color w:val="000000"/>
        </w:rPr>
        <w:t>This approach facilitates monitoring of participants’ progress over time, as well as benchmarking to Australians without disability and to other OECD countries.</w:t>
      </w:r>
    </w:p>
    <w:p w:rsidR="0036542B" w:rsidRDefault="0036542B" w:rsidP="00476864">
      <w:pPr>
        <w:pStyle w:val="Heading2"/>
      </w:pPr>
      <w:bookmarkStart w:id="17" w:name="_Toc87632085"/>
      <w:bookmarkStart w:id="18" w:name="_Toc121151396"/>
      <w:r>
        <w:t xml:space="preserve">Slide </w:t>
      </w:r>
      <w:r w:rsidR="008501A3" w:rsidRPr="00476864">
        <w:t>14</w:t>
      </w:r>
      <w:r>
        <w:t xml:space="preserve">: </w:t>
      </w:r>
      <w:r w:rsidRPr="00DE2F66">
        <w:t>Short Form (SF) and Long Form (LF)</w:t>
      </w:r>
      <w:bookmarkEnd w:id="17"/>
      <w:bookmarkEnd w:id="18"/>
    </w:p>
    <w:p w:rsidR="0036542B" w:rsidRPr="00112A5C" w:rsidRDefault="0036542B" w:rsidP="00B83265">
      <w:pPr>
        <w:pStyle w:val="ListParagraph"/>
        <w:numPr>
          <w:ilvl w:val="0"/>
          <w:numId w:val="7"/>
        </w:numPr>
      </w:pPr>
      <w:r w:rsidRPr="00112A5C">
        <w:t xml:space="preserve">The Short Form (SF) outcomes questionnaire is completed by all participants, and contains questions useful for planning as well as key indicators to monitor and benchmark over time. </w:t>
      </w:r>
    </w:p>
    <w:p w:rsidR="0036542B" w:rsidRPr="00112A5C" w:rsidRDefault="0036542B" w:rsidP="00B83265">
      <w:pPr>
        <w:pStyle w:val="ListParagraph"/>
        <w:numPr>
          <w:ilvl w:val="0"/>
          <w:numId w:val="7"/>
        </w:numPr>
      </w:pPr>
      <w:r w:rsidRPr="00112A5C">
        <w:t>The Long Form (LF) is completed for a subset of participants, and includes some additional questions allowing more detailed investigation of participant experience, and additional benchmarking.</w:t>
      </w:r>
    </w:p>
    <w:p w:rsidR="0036542B" w:rsidRDefault="0036542B" w:rsidP="00B83265">
      <w:pPr>
        <w:pStyle w:val="ListParagraph"/>
        <w:numPr>
          <w:ilvl w:val="0"/>
          <w:numId w:val="7"/>
        </w:numPr>
      </w:pPr>
      <w:r w:rsidRPr="00112A5C">
        <w:t>For both the SF and the LF, participants are interviewed at baseline (Scheme entry), and approximately annually thereafter. Following the same group of participants longitudinally over time allows within-individual changes in outcomes to be investigated.</w:t>
      </w:r>
    </w:p>
    <w:p w:rsidR="0036542B" w:rsidRDefault="0036542B" w:rsidP="00476864">
      <w:pPr>
        <w:pStyle w:val="Heading2"/>
      </w:pPr>
      <w:bookmarkStart w:id="19" w:name="_Toc87632086"/>
      <w:bookmarkStart w:id="20" w:name="_Toc121151397"/>
      <w:r>
        <w:t xml:space="preserve">Slide </w:t>
      </w:r>
      <w:r w:rsidR="008501A3" w:rsidRPr="00476864">
        <w:t>15</w:t>
      </w:r>
      <w:r>
        <w:t>: Progression towards better outcomes</w:t>
      </w:r>
      <w:bookmarkEnd w:id="19"/>
      <w:bookmarkEnd w:id="20"/>
    </w:p>
    <w:p w:rsidR="008501A3" w:rsidRPr="008501A3" w:rsidRDefault="008501A3" w:rsidP="008501A3">
      <w:r w:rsidRPr="008501A3">
        <w:t xml:space="preserve">Success should be measured on how far participants have come since entering the Scheme (at “baseline”), acknowledging different starting points. </w:t>
      </w:r>
    </w:p>
    <w:p w:rsidR="0036542B" w:rsidRDefault="0036542B" w:rsidP="0036542B">
      <w:r w:rsidRPr="00883B6F">
        <w:t>Whilst some outcomes should improve relatively quickly (such as assistance with daily living), others are much more long-term in nature (for example, employment), and measurable progress may take some years to emerge.</w:t>
      </w:r>
    </w:p>
    <w:p w:rsidR="0036542B" w:rsidRDefault="0036542B" w:rsidP="0036542B">
      <w:r w:rsidRPr="00883B6F">
        <w:t>Participants do not enter the Scheme on an equal footing – baseline outcomes vary by a number of factors, such as:</w:t>
      </w:r>
    </w:p>
    <w:p w:rsidR="0036542B" w:rsidRDefault="0036542B" w:rsidP="0036542B">
      <w:pPr>
        <w:pStyle w:val="ListParagraph"/>
        <w:numPr>
          <w:ilvl w:val="0"/>
          <w:numId w:val="2"/>
        </w:numPr>
      </w:pPr>
      <w:r w:rsidRPr="00883B6F">
        <w:t>the nature of the participant’s disability and how it affects their life</w:t>
      </w:r>
    </w:p>
    <w:p w:rsidR="0036542B" w:rsidRDefault="0036542B" w:rsidP="0036542B">
      <w:pPr>
        <w:pStyle w:val="ListParagraph"/>
        <w:numPr>
          <w:ilvl w:val="0"/>
          <w:numId w:val="2"/>
        </w:numPr>
      </w:pPr>
      <w:r w:rsidRPr="00883B6F">
        <w:t>the extent of support received from family and friends</w:t>
      </w:r>
    </w:p>
    <w:p w:rsidR="0036542B" w:rsidRDefault="0036542B" w:rsidP="0036542B">
      <w:pPr>
        <w:pStyle w:val="ListParagraph"/>
        <w:numPr>
          <w:ilvl w:val="0"/>
          <w:numId w:val="2"/>
        </w:numPr>
      </w:pPr>
      <w:r w:rsidRPr="00883B6F">
        <w:t>how inclusive their community is</w:t>
      </w:r>
    </w:p>
    <w:p w:rsidR="0036542B" w:rsidRDefault="0036542B" w:rsidP="0036542B">
      <w:pPr>
        <w:pStyle w:val="ListParagraph"/>
        <w:numPr>
          <w:ilvl w:val="0"/>
          <w:numId w:val="2"/>
        </w:numPr>
      </w:pPr>
      <w:r w:rsidRPr="00883B6F">
        <w:t>their h</w:t>
      </w:r>
      <w:r>
        <w:t>ealth and other personal traits</w:t>
      </w:r>
    </w:p>
    <w:p w:rsidR="0036542B" w:rsidRDefault="005A7C7C" w:rsidP="0036542B">
      <w:r>
        <w:t>E</w:t>
      </w:r>
      <w:r w:rsidR="0036542B">
        <w:t>xample of outcomes by review time point (for participants aged 25 and over)</w:t>
      </w:r>
    </w:p>
    <w:tbl>
      <w:tblPr>
        <w:tblW w:w="9094" w:type="dxa"/>
        <w:tblLook w:val="04A0" w:firstRow="1" w:lastRow="0" w:firstColumn="1" w:lastColumn="0" w:noHBand="0" w:noVBand="1"/>
      </w:tblPr>
      <w:tblGrid>
        <w:gridCol w:w="1875"/>
        <w:gridCol w:w="2791"/>
        <w:gridCol w:w="2182"/>
        <w:gridCol w:w="2246"/>
      </w:tblGrid>
      <w:tr w:rsidR="0036542B" w:rsidRPr="0058110F" w:rsidTr="008501A3">
        <w:trPr>
          <w:trHeight w:val="1032"/>
        </w:trPr>
        <w:tc>
          <w:tcPr>
            <w:tcW w:w="1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542B" w:rsidRPr="0058110F" w:rsidRDefault="0036542B" w:rsidP="008501A3">
            <w:pPr>
              <w:spacing w:after="0" w:line="240" w:lineRule="auto"/>
              <w:jc w:val="center"/>
              <w:rPr>
                <w:rFonts w:ascii="Calibri" w:eastAsia="Times New Roman" w:hAnsi="Calibri" w:cs="Calibri"/>
                <w:color w:val="000000"/>
                <w:lang w:eastAsia="zh-CN"/>
              </w:rPr>
            </w:pPr>
            <w:r w:rsidRPr="0058110F">
              <w:rPr>
                <w:rFonts w:ascii="Calibri" w:eastAsia="Times New Roman" w:hAnsi="Calibri" w:cs="Calibri"/>
                <w:color w:val="000000"/>
                <w:lang w:eastAsia="zh-CN"/>
              </w:rPr>
              <w:lastRenderedPageBreak/>
              <w:t>Example outcomes</w:t>
            </w:r>
          </w:p>
        </w:tc>
        <w:tc>
          <w:tcPr>
            <w:tcW w:w="2791" w:type="dxa"/>
            <w:tcBorders>
              <w:top w:val="single" w:sz="4" w:space="0" w:color="auto"/>
              <w:left w:val="nil"/>
              <w:bottom w:val="single" w:sz="4" w:space="0" w:color="auto"/>
              <w:right w:val="single" w:sz="4" w:space="0" w:color="auto"/>
            </w:tcBorders>
            <w:shd w:val="clear" w:color="auto" w:fill="auto"/>
            <w:vAlign w:val="center"/>
            <w:hideMark/>
          </w:tcPr>
          <w:p w:rsidR="0036542B" w:rsidRPr="0058110F" w:rsidRDefault="0036542B" w:rsidP="008501A3">
            <w:pPr>
              <w:spacing w:after="0" w:line="240" w:lineRule="auto"/>
              <w:jc w:val="center"/>
              <w:rPr>
                <w:rFonts w:ascii="Calibri" w:eastAsia="Times New Roman" w:hAnsi="Calibri" w:cs="Calibri"/>
                <w:color w:val="000000"/>
                <w:lang w:eastAsia="zh-CN"/>
              </w:rPr>
            </w:pPr>
            <w:r w:rsidRPr="0058110F">
              <w:rPr>
                <w:rFonts w:ascii="Calibri" w:eastAsia="Times New Roman" w:hAnsi="Calibri" w:cs="Calibri"/>
                <w:color w:val="000000"/>
                <w:lang w:eastAsia="zh-CN"/>
              </w:rPr>
              <w:t xml:space="preserve">% who </w:t>
            </w:r>
            <w:r>
              <w:rPr>
                <w:rFonts w:ascii="Calibri" w:eastAsia="Times New Roman" w:hAnsi="Calibri" w:cs="Calibri"/>
                <w:color w:val="000000"/>
                <w:lang w:eastAsia="zh-CN"/>
              </w:rPr>
              <w:t>get support for domestic tasks</w:t>
            </w:r>
          </w:p>
        </w:tc>
        <w:tc>
          <w:tcPr>
            <w:tcW w:w="2182" w:type="dxa"/>
            <w:tcBorders>
              <w:top w:val="single" w:sz="4" w:space="0" w:color="auto"/>
              <w:left w:val="nil"/>
              <w:bottom w:val="single" w:sz="4" w:space="0" w:color="auto"/>
              <w:right w:val="single" w:sz="4" w:space="0" w:color="auto"/>
            </w:tcBorders>
            <w:shd w:val="clear" w:color="auto" w:fill="auto"/>
            <w:vAlign w:val="center"/>
            <w:hideMark/>
          </w:tcPr>
          <w:p w:rsidR="0036542B" w:rsidRPr="0058110F" w:rsidRDefault="0036542B" w:rsidP="008501A3">
            <w:pPr>
              <w:spacing w:after="0" w:line="240" w:lineRule="auto"/>
              <w:jc w:val="center"/>
              <w:rPr>
                <w:rFonts w:ascii="Calibri" w:eastAsia="Times New Roman" w:hAnsi="Calibri" w:cs="Calibri"/>
                <w:color w:val="000000"/>
                <w:lang w:eastAsia="zh-CN"/>
              </w:rPr>
            </w:pPr>
            <w:r w:rsidRPr="0058110F">
              <w:rPr>
                <w:rFonts w:ascii="Calibri" w:eastAsia="Times New Roman" w:hAnsi="Calibri" w:cs="Calibri"/>
                <w:color w:val="000000"/>
                <w:lang w:eastAsia="zh-CN"/>
              </w:rPr>
              <w:t xml:space="preserve">% who </w:t>
            </w:r>
            <w:r>
              <w:rPr>
                <w:rFonts w:ascii="Calibri" w:eastAsia="Times New Roman" w:hAnsi="Calibri" w:cs="Calibri"/>
                <w:color w:val="000000"/>
                <w:lang w:eastAsia="zh-CN"/>
              </w:rPr>
              <w:t>spend free time doing activities that interest them</w:t>
            </w:r>
          </w:p>
        </w:tc>
        <w:tc>
          <w:tcPr>
            <w:tcW w:w="2246" w:type="dxa"/>
            <w:tcBorders>
              <w:top w:val="single" w:sz="4" w:space="0" w:color="auto"/>
              <w:left w:val="nil"/>
              <w:bottom w:val="single" w:sz="4" w:space="0" w:color="auto"/>
              <w:right w:val="single" w:sz="4" w:space="0" w:color="auto"/>
            </w:tcBorders>
            <w:shd w:val="clear" w:color="auto" w:fill="auto"/>
            <w:vAlign w:val="center"/>
            <w:hideMark/>
          </w:tcPr>
          <w:p w:rsidR="0036542B" w:rsidRPr="0058110F" w:rsidRDefault="0036542B" w:rsidP="008501A3">
            <w:pPr>
              <w:spacing w:after="0" w:line="240" w:lineRule="auto"/>
              <w:jc w:val="center"/>
              <w:rPr>
                <w:rFonts w:ascii="Calibri" w:eastAsia="Times New Roman" w:hAnsi="Calibri" w:cs="Calibri"/>
                <w:color w:val="000000"/>
                <w:lang w:eastAsia="zh-CN"/>
              </w:rPr>
            </w:pPr>
            <w:r w:rsidRPr="0058110F">
              <w:rPr>
                <w:rFonts w:ascii="Calibri" w:eastAsia="Times New Roman" w:hAnsi="Calibri" w:cs="Calibri"/>
                <w:color w:val="000000"/>
                <w:lang w:eastAsia="zh-CN"/>
              </w:rPr>
              <w:t>% who are</w:t>
            </w:r>
            <w:r>
              <w:rPr>
                <w:rFonts w:ascii="Calibri" w:eastAsia="Times New Roman" w:hAnsi="Calibri" w:cs="Calibri"/>
                <w:color w:val="000000"/>
                <w:lang w:eastAsia="zh-CN"/>
              </w:rPr>
              <w:t xml:space="preserve"> currently in a paid job</w:t>
            </w:r>
          </w:p>
        </w:tc>
      </w:tr>
      <w:tr w:rsidR="0036542B" w:rsidRPr="0058110F" w:rsidTr="008501A3">
        <w:trPr>
          <w:trHeight w:val="169"/>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36542B" w:rsidRPr="0058110F" w:rsidRDefault="0036542B" w:rsidP="008501A3">
            <w:pPr>
              <w:spacing w:after="0" w:line="240" w:lineRule="auto"/>
              <w:jc w:val="center"/>
              <w:rPr>
                <w:rFonts w:ascii="Calibri" w:eastAsia="Times New Roman" w:hAnsi="Calibri" w:cs="Calibri"/>
                <w:color w:val="000000"/>
                <w:lang w:eastAsia="zh-CN"/>
              </w:rPr>
            </w:pPr>
            <w:r w:rsidRPr="0058110F">
              <w:rPr>
                <w:rFonts w:ascii="Calibri" w:eastAsia="Times New Roman" w:hAnsi="Calibri" w:cs="Calibri"/>
                <w:color w:val="000000"/>
                <w:lang w:eastAsia="zh-CN"/>
              </w:rPr>
              <w:t>Baseline</w:t>
            </w:r>
          </w:p>
        </w:tc>
        <w:tc>
          <w:tcPr>
            <w:tcW w:w="2791" w:type="dxa"/>
            <w:tcBorders>
              <w:top w:val="nil"/>
              <w:left w:val="nil"/>
              <w:bottom w:val="single" w:sz="4" w:space="0" w:color="auto"/>
              <w:right w:val="single" w:sz="4" w:space="0" w:color="auto"/>
            </w:tcBorders>
            <w:shd w:val="clear" w:color="auto" w:fill="auto"/>
            <w:noWrap/>
            <w:vAlign w:val="bottom"/>
            <w:hideMark/>
          </w:tcPr>
          <w:p w:rsidR="0036542B" w:rsidRPr="0058110F" w:rsidRDefault="0036542B" w:rsidP="008501A3">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79</w:t>
            </w:r>
            <w:r w:rsidR="008501A3">
              <w:rPr>
                <w:rFonts w:ascii="Calibri" w:eastAsia="Times New Roman" w:hAnsi="Calibri" w:cs="Calibri"/>
                <w:color w:val="000000"/>
                <w:lang w:eastAsia="zh-CN"/>
              </w:rPr>
              <w:t>.9</w:t>
            </w:r>
            <w:r w:rsidRPr="0058110F">
              <w:rPr>
                <w:rFonts w:ascii="Calibri" w:eastAsia="Times New Roman" w:hAnsi="Calibri" w:cs="Calibri"/>
                <w:color w:val="000000"/>
                <w:lang w:eastAsia="zh-CN"/>
              </w:rPr>
              <w:t>%</w:t>
            </w:r>
          </w:p>
        </w:tc>
        <w:tc>
          <w:tcPr>
            <w:tcW w:w="2182" w:type="dxa"/>
            <w:tcBorders>
              <w:top w:val="nil"/>
              <w:left w:val="nil"/>
              <w:bottom w:val="single" w:sz="4" w:space="0" w:color="auto"/>
              <w:right w:val="single" w:sz="4" w:space="0" w:color="auto"/>
            </w:tcBorders>
            <w:shd w:val="clear" w:color="auto" w:fill="auto"/>
            <w:noWrap/>
            <w:vAlign w:val="bottom"/>
            <w:hideMark/>
          </w:tcPr>
          <w:p w:rsidR="0036542B" w:rsidRPr="0058110F" w:rsidRDefault="008501A3" w:rsidP="008501A3">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71.9</w:t>
            </w:r>
            <w:r w:rsidR="0036542B">
              <w:rPr>
                <w:rFonts w:ascii="Calibri" w:eastAsia="Times New Roman" w:hAnsi="Calibri" w:cs="Calibri"/>
                <w:color w:val="000000"/>
                <w:lang w:eastAsia="zh-CN"/>
              </w:rPr>
              <w:t>%</w:t>
            </w:r>
          </w:p>
        </w:tc>
        <w:tc>
          <w:tcPr>
            <w:tcW w:w="2246" w:type="dxa"/>
            <w:tcBorders>
              <w:top w:val="nil"/>
              <w:left w:val="nil"/>
              <w:bottom w:val="single" w:sz="4" w:space="0" w:color="auto"/>
              <w:right w:val="single" w:sz="4" w:space="0" w:color="auto"/>
            </w:tcBorders>
            <w:shd w:val="clear" w:color="auto" w:fill="auto"/>
            <w:noWrap/>
            <w:vAlign w:val="bottom"/>
            <w:hideMark/>
          </w:tcPr>
          <w:p w:rsidR="0036542B" w:rsidRPr="0058110F" w:rsidRDefault="008501A3" w:rsidP="008501A3">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24.7</w:t>
            </w:r>
            <w:r w:rsidR="0036542B" w:rsidRPr="0058110F">
              <w:rPr>
                <w:rFonts w:ascii="Calibri" w:eastAsia="Times New Roman" w:hAnsi="Calibri" w:cs="Calibri"/>
                <w:color w:val="000000"/>
                <w:lang w:eastAsia="zh-CN"/>
              </w:rPr>
              <w:t>%</w:t>
            </w:r>
          </w:p>
        </w:tc>
      </w:tr>
      <w:tr w:rsidR="0036542B" w:rsidRPr="0058110F" w:rsidTr="008501A3">
        <w:trPr>
          <w:trHeight w:val="169"/>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36542B" w:rsidRPr="0058110F" w:rsidRDefault="0036542B" w:rsidP="008501A3">
            <w:pPr>
              <w:spacing w:after="0" w:line="240" w:lineRule="auto"/>
              <w:jc w:val="center"/>
              <w:rPr>
                <w:rFonts w:ascii="Calibri" w:eastAsia="Times New Roman" w:hAnsi="Calibri" w:cs="Calibri"/>
                <w:color w:val="000000"/>
                <w:lang w:eastAsia="zh-CN"/>
              </w:rPr>
            </w:pPr>
            <w:r w:rsidRPr="0058110F">
              <w:rPr>
                <w:rFonts w:ascii="Calibri" w:eastAsia="Times New Roman" w:hAnsi="Calibri" w:cs="Calibri"/>
                <w:color w:val="000000"/>
                <w:lang w:eastAsia="zh-CN"/>
              </w:rPr>
              <w:t>Review 1</w:t>
            </w:r>
          </w:p>
        </w:tc>
        <w:tc>
          <w:tcPr>
            <w:tcW w:w="2791" w:type="dxa"/>
            <w:tcBorders>
              <w:top w:val="nil"/>
              <w:left w:val="nil"/>
              <w:bottom w:val="single" w:sz="4" w:space="0" w:color="auto"/>
              <w:right w:val="single" w:sz="4" w:space="0" w:color="auto"/>
            </w:tcBorders>
            <w:shd w:val="clear" w:color="auto" w:fill="auto"/>
            <w:noWrap/>
            <w:vAlign w:val="bottom"/>
            <w:hideMark/>
          </w:tcPr>
          <w:p w:rsidR="0036542B" w:rsidRPr="0058110F" w:rsidRDefault="008501A3" w:rsidP="008501A3">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84.1</w:t>
            </w:r>
            <w:r w:rsidR="0036542B" w:rsidRPr="0058110F">
              <w:rPr>
                <w:rFonts w:ascii="Calibri" w:eastAsia="Times New Roman" w:hAnsi="Calibri" w:cs="Calibri"/>
                <w:color w:val="000000"/>
                <w:lang w:eastAsia="zh-CN"/>
              </w:rPr>
              <w:t>%</w:t>
            </w:r>
          </w:p>
        </w:tc>
        <w:tc>
          <w:tcPr>
            <w:tcW w:w="2182" w:type="dxa"/>
            <w:tcBorders>
              <w:top w:val="nil"/>
              <w:left w:val="nil"/>
              <w:bottom w:val="single" w:sz="4" w:space="0" w:color="auto"/>
              <w:right w:val="single" w:sz="4" w:space="0" w:color="auto"/>
            </w:tcBorders>
            <w:shd w:val="clear" w:color="auto" w:fill="auto"/>
            <w:noWrap/>
            <w:vAlign w:val="bottom"/>
            <w:hideMark/>
          </w:tcPr>
          <w:p w:rsidR="0036542B" w:rsidRPr="0058110F" w:rsidRDefault="008501A3" w:rsidP="008501A3">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76.3</w:t>
            </w:r>
            <w:r w:rsidR="0036542B" w:rsidRPr="0058110F">
              <w:rPr>
                <w:rFonts w:ascii="Calibri" w:eastAsia="Times New Roman" w:hAnsi="Calibri" w:cs="Calibri"/>
                <w:color w:val="000000"/>
                <w:lang w:eastAsia="zh-CN"/>
              </w:rPr>
              <w:t>%</w:t>
            </w:r>
          </w:p>
        </w:tc>
        <w:tc>
          <w:tcPr>
            <w:tcW w:w="2246" w:type="dxa"/>
            <w:tcBorders>
              <w:top w:val="nil"/>
              <w:left w:val="nil"/>
              <w:bottom w:val="single" w:sz="4" w:space="0" w:color="auto"/>
              <w:right w:val="single" w:sz="4" w:space="0" w:color="auto"/>
            </w:tcBorders>
            <w:shd w:val="clear" w:color="auto" w:fill="auto"/>
            <w:noWrap/>
            <w:vAlign w:val="bottom"/>
            <w:hideMark/>
          </w:tcPr>
          <w:p w:rsidR="0036542B" w:rsidRPr="0058110F" w:rsidRDefault="008501A3" w:rsidP="008501A3">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26.0</w:t>
            </w:r>
            <w:r w:rsidR="0036542B" w:rsidRPr="0058110F">
              <w:rPr>
                <w:rFonts w:ascii="Calibri" w:eastAsia="Times New Roman" w:hAnsi="Calibri" w:cs="Calibri"/>
                <w:color w:val="000000"/>
                <w:lang w:eastAsia="zh-CN"/>
              </w:rPr>
              <w:t>%</w:t>
            </w:r>
          </w:p>
        </w:tc>
      </w:tr>
      <w:tr w:rsidR="0036542B" w:rsidRPr="0058110F" w:rsidTr="008501A3">
        <w:trPr>
          <w:trHeight w:val="169"/>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36542B" w:rsidRPr="0058110F" w:rsidRDefault="0036542B" w:rsidP="008501A3">
            <w:pPr>
              <w:spacing w:after="0" w:line="240" w:lineRule="auto"/>
              <w:jc w:val="center"/>
              <w:rPr>
                <w:rFonts w:ascii="Calibri" w:eastAsia="Times New Roman" w:hAnsi="Calibri" w:cs="Calibri"/>
                <w:color w:val="000000"/>
                <w:lang w:eastAsia="zh-CN"/>
              </w:rPr>
            </w:pPr>
            <w:r w:rsidRPr="0058110F">
              <w:rPr>
                <w:rFonts w:ascii="Calibri" w:eastAsia="Times New Roman" w:hAnsi="Calibri" w:cs="Calibri"/>
                <w:color w:val="000000"/>
                <w:lang w:eastAsia="zh-CN"/>
              </w:rPr>
              <w:t>Review 2</w:t>
            </w:r>
          </w:p>
        </w:tc>
        <w:tc>
          <w:tcPr>
            <w:tcW w:w="2791" w:type="dxa"/>
            <w:tcBorders>
              <w:top w:val="nil"/>
              <w:left w:val="nil"/>
              <w:bottom w:val="single" w:sz="4" w:space="0" w:color="auto"/>
              <w:right w:val="single" w:sz="4" w:space="0" w:color="auto"/>
            </w:tcBorders>
            <w:shd w:val="clear" w:color="auto" w:fill="auto"/>
            <w:noWrap/>
            <w:vAlign w:val="bottom"/>
            <w:hideMark/>
          </w:tcPr>
          <w:p w:rsidR="0036542B" w:rsidRPr="0058110F" w:rsidRDefault="008501A3" w:rsidP="008501A3">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86.7</w:t>
            </w:r>
            <w:r w:rsidR="0036542B" w:rsidRPr="0058110F">
              <w:rPr>
                <w:rFonts w:ascii="Calibri" w:eastAsia="Times New Roman" w:hAnsi="Calibri" w:cs="Calibri"/>
                <w:color w:val="000000"/>
                <w:lang w:eastAsia="zh-CN"/>
              </w:rPr>
              <w:t>%</w:t>
            </w:r>
          </w:p>
        </w:tc>
        <w:tc>
          <w:tcPr>
            <w:tcW w:w="2182" w:type="dxa"/>
            <w:tcBorders>
              <w:top w:val="nil"/>
              <w:left w:val="nil"/>
              <w:bottom w:val="single" w:sz="4" w:space="0" w:color="auto"/>
              <w:right w:val="single" w:sz="4" w:space="0" w:color="auto"/>
            </w:tcBorders>
            <w:shd w:val="clear" w:color="auto" w:fill="auto"/>
            <w:noWrap/>
            <w:vAlign w:val="bottom"/>
            <w:hideMark/>
          </w:tcPr>
          <w:p w:rsidR="0036542B" w:rsidRPr="0058110F" w:rsidRDefault="008501A3" w:rsidP="008501A3">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78.1</w:t>
            </w:r>
            <w:r w:rsidR="0036542B" w:rsidRPr="0058110F">
              <w:rPr>
                <w:rFonts w:ascii="Calibri" w:eastAsia="Times New Roman" w:hAnsi="Calibri" w:cs="Calibri"/>
                <w:color w:val="000000"/>
                <w:lang w:eastAsia="zh-CN"/>
              </w:rPr>
              <w:t>%</w:t>
            </w:r>
          </w:p>
        </w:tc>
        <w:tc>
          <w:tcPr>
            <w:tcW w:w="2246" w:type="dxa"/>
            <w:tcBorders>
              <w:top w:val="nil"/>
              <w:left w:val="nil"/>
              <w:bottom w:val="single" w:sz="4" w:space="0" w:color="auto"/>
              <w:right w:val="single" w:sz="4" w:space="0" w:color="auto"/>
            </w:tcBorders>
            <w:shd w:val="clear" w:color="auto" w:fill="auto"/>
            <w:noWrap/>
            <w:vAlign w:val="bottom"/>
            <w:hideMark/>
          </w:tcPr>
          <w:p w:rsidR="0036542B" w:rsidRPr="0058110F" w:rsidRDefault="008501A3" w:rsidP="008501A3">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24.4</w:t>
            </w:r>
            <w:r w:rsidR="0036542B" w:rsidRPr="0058110F">
              <w:rPr>
                <w:rFonts w:ascii="Calibri" w:eastAsia="Times New Roman" w:hAnsi="Calibri" w:cs="Calibri"/>
                <w:color w:val="000000"/>
                <w:lang w:eastAsia="zh-CN"/>
              </w:rPr>
              <w:t>%</w:t>
            </w:r>
          </w:p>
        </w:tc>
      </w:tr>
      <w:tr w:rsidR="0036542B" w:rsidRPr="0058110F" w:rsidTr="008501A3">
        <w:trPr>
          <w:trHeight w:val="169"/>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36542B" w:rsidRPr="0058110F" w:rsidRDefault="0036542B" w:rsidP="008501A3">
            <w:pPr>
              <w:spacing w:after="0" w:line="240" w:lineRule="auto"/>
              <w:jc w:val="center"/>
              <w:rPr>
                <w:rFonts w:ascii="Calibri" w:eastAsia="Times New Roman" w:hAnsi="Calibri" w:cs="Calibri"/>
                <w:color w:val="000000"/>
                <w:lang w:eastAsia="zh-CN"/>
              </w:rPr>
            </w:pPr>
            <w:r w:rsidRPr="0058110F">
              <w:rPr>
                <w:rFonts w:ascii="Calibri" w:eastAsia="Times New Roman" w:hAnsi="Calibri" w:cs="Calibri"/>
                <w:color w:val="000000"/>
                <w:lang w:eastAsia="zh-CN"/>
              </w:rPr>
              <w:t>Review 3</w:t>
            </w:r>
          </w:p>
        </w:tc>
        <w:tc>
          <w:tcPr>
            <w:tcW w:w="2791" w:type="dxa"/>
            <w:tcBorders>
              <w:top w:val="nil"/>
              <w:left w:val="nil"/>
              <w:bottom w:val="single" w:sz="4" w:space="0" w:color="auto"/>
              <w:right w:val="single" w:sz="4" w:space="0" w:color="auto"/>
            </w:tcBorders>
            <w:shd w:val="clear" w:color="auto" w:fill="auto"/>
            <w:noWrap/>
            <w:vAlign w:val="bottom"/>
            <w:hideMark/>
          </w:tcPr>
          <w:p w:rsidR="0036542B" w:rsidRPr="0058110F" w:rsidRDefault="008501A3" w:rsidP="008501A3">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86.6</w:t>
            </w:r>
            <w:r w:rsidR="0036542B" w:rsidRPr="0058110F">
              <w:rPr>
                <w:rFonts w:ascii="Calibri" w:eastAsia="Times New Roman" w:hAnsi="Calibri" w:cs="Calibri"/>
                <w:color w:val="000000"/>
                <w:lang w:eastAsia="zh-CN"/>
              </w:rPr>
              <w:t>%</w:t>
            </w:r>
          </w:p>
        </w:tc>
        <w:tc>
          <w:tcPr>
            <w:tcW w:w="2182" w:type="dxa"/>
            <w:tcBorders>
              <w:top w:val="nil"/>
              <w:left w:val="nil"/>
              <w:bottom w:val="single" w:sz="4" w:space="0" w:color="auto"/>
              <w:right w:val="single" w:sz="4" w:space="0" w:color="auto"/>
            </w:tcBorders>
            <w:shd w:val="clear" w:color="auto" w:fill="auto"/>
            <w:noWrap/>
            <w:vAlign w:val="bottom"/>
            <w:hideMark/>
          </w:tcPr>
          <w:p w:rsidR="0036542B" w:rsidRPr="0058110F" w:rsidRDefault="008501A3" w:rsidP="008501A3">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79.0</w:t>
            </w:r>
            <w:r w:rsidR="0036542B" w:rsidRPr="0058110F">
              <w:rPr>
                <w:rFonts w:ascii="Calibri" w:eastAsia="Times New Roman" w:hAnsi="Calibri" w:cs="Calibri"/>
                <w:color w:val="000000"/>
                <w:lang w:eastAsia="zh-CN"/>
              </w:rPr>
              <w:t>%</w:t>
            </w:r>
          </w:p>
        </w:tc>
        <w:tc>
          <w:tcPr>
            <w:tcW w:w="2246" w:type="dxa"/>
            <w:tcBorders>
              <w:top w:val="nil"/>
              <w:left w:val="nil"/>
              <w:bottom w:val="single" w:sz="4" w:space="0" w:color="auto"/>
              <w:right w:val="single" w:sz="4" w:space="0" w:color="auto"/>
            </w:tcBorders>
            <w:shd w:val="clear" w:color="auto" w:fill="auto"/>
            <w:noWrap/>
            <w:vAlign w:val="bottom"/>
            <w:hideMark/>
          </w:tcPr>
          <w:p w:rsidR="0036542B" w:rsidRPr="0058110F" w:rsidRDefault="008F3C4A" w:rsidP="008501A3">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26.4</w:t>
            </w:r>
            <w:r w:rsidR="0036542B" w:rsidRPr="0058110F">
              <w:rPr>
                <w:rFonts w:ascii="Calibri" w:eastAsia="Times New Roman" w:hAnsi="Calibri" w:cs="Calibri"/>
                <w:color w:val="000000"/>
                <w:lang w:eastAsia="zh-CN"/>
              </w:rPr>
              <w:t>%</w:t>
            </w:r>
          </w:p>
        </w:tc>
      </w:tr>
      <w:tr w:rsidR="0036542B" w:rsidRPr="0058110F" w:rsidTr="008501A3">
        <w:trPr>
          <w:trHeight w:val="169"/>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36542B" w:rsidRPr="0058110F" w:rsidRDefault="0036542B" w:rsidP="008501A3">
            <w:pPr>
              <w:spacing w:after="0" w:line="240" w:lineRule="auto"/>
              <w:jc w:val="center"/>
              <w:rPr>
                <w:rFonts w:ascii="Calibri" w:eastAsia="Times New Roman" w:hAnsi="Calibri" w:cs="Calibri"/>
                <w:color w:val="000000"/>
                <w:lang w:eastAsia="zh-CN"/>
              </w:rPr>
            </w:pPr>
            <w:r w:rsidRPr="0058110F">
              <w:rPr>
                <w:rFonts w:ascii="Calibri" w:eastAsia="Times New Roman" w:hAnsi="Calibri" w:cs="Calibri"/>
                <w:color w:val="000000"/>
                <w:lang w:eastAsia="zh-CN"/>
              </w:rPr>
              <w:t>Review 4</w:t>
            </w:r>
          </w:p>
        </w:tc>
        <w:tc>
          <w:tcPr>
            <w:tcW w:w="2791" w:type="dxa"/>
            <w:tcBorders>
              <w:top w:val="nil"/>
              <w:left w:val="nil"/>
              <w:bottom w:val="single" w:sz="4" w:space="0" w:color="auto"/>
              <w:right w:val="single" w:sz="4" w:space="0" w:color="auto"/>
            </w:tcBorders>
            <w:shd w:val="clear" w:color="auto" w:fill="auto"/>
            <w:noWrap/>
            <w:vAlign w:val="bottom"/>
            <w:hideMark/>
          </w:tcPr>
          <w:p w:rsidR="0036542B" w:rsidRPr="0058110F" w:rsidRDefault="008501A3" w:rsidP="008501A3">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88.1</w:t>
            </w:r>
            <w:r w:rsidR="0036542B">
              <w:rPr>
                <w:rFonts w:ascii="Calibri" w:eastAsia="Times New Roman" w:hAnsi="Calibri" w:cs="Calibri"/>
                <w:color w:val="000000"/>
                <w:lang w:eastAsia="zh-CN"/>
              </w:rPr>
              <w:t>%</w:t>
            </w:r>
          </w:p>
        </w:tc>
        <w:tc>
          <w:tcPr>
            <w:tcW w:w="2182" w:type="dxa"/>
            <w:tcBorders>
              <w:top w:val="nil"/>
              <w:left w:val="nil"/>
              <w:bottom w:val="single" w:sz="4" w:space="0" w:color="auto"/>
              <w:right w:val="single" w:sz="4" w:space="0" w:color="auto"/>
            </w:tcBorders>
            <w:shd w:val="clear" w:color="auto" w:fill="auto"/>
            <w:noWrap/>
            <w:vAlign w:val="bottom"/>
            <w:hideMark/>
          </w:tcPr>
          <w:p w:rsidR="0036542B" w:rsidRPr="0058110F" w:rsidRDefault="008501A3" w:rsidP="008501A3">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78.5</w:t>
            </w:r>
            <w:r w:rsidR="0036542B">
              <w:rPr>
                <w:rFonts w:ascii="Calibri" w:eastAsia="Times New Roman" w:hAnsi="Calibri" w:cs="Calibri"/>
                <w:color w:val="000000"/>
                <w:lang w:eastAsia="zh-CN"/>
              </w:rPr>
              <w:t>%</w:t>
            </w:r>
          </w:p>
        </w:tc>
        <w:tc>
          <w:tcPr>
            <w:tcW w:w="2246" w:type="dxa"/>
            <w:tcBorders>
              <w:top w:val="nil"/>
              <w:left w:val="nil"/>
              <w:bottom w:val="single" w:sz="4" w:space="0" w:color="auto"/>
              <w:right w:val="single" w:sz="4" w:space="0" w:color="auto"/>
            </w:tcBorders>
            <w:shd w:val="clear" w:color="auto" w:fill="auto"/>
            <w:noWrap/>
            <w:vAlign w:val="bottom"/>
            <w:hideMark/>
          </w:tcPr>
          <w:p w:rsidR="0036542B" w:rsidRPr="0058110F" w:rsidRDefault="008F3C4A" w:rsidP="008501A3">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22.7</w:t>
            </w:r>
            <w:r w:rsidR="0036542B" w:rsidRPr="0058110F">
              <w:rPr>
                <w:rFonts w:ascii="Calibri" w:eastAsia="Times New Roman" w:hAnsi="Calibri" w:cs="Calibri"/>
                <w:color w:val="000000"/>
                <w:lang w:eastAsia="zh-CN"/>
              </w:rPr>
              <w:t>%</w:t>
            </w:r>
          </w:p>
        </w:tc>
      </w:tr>
      <w:tr w:rsidR="008501A3" w:rsidRPr="0058110F" w:rsidTr="008501A3">
        <w:trPr>
          <w:trHeight w:val="169"/>
        </w:trPr>
        <w:tc>
          <w:tcPr>
            <w:tcW w:w="18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01A3" w:rsidRPr="0058110F" w:rsidRDefault="008501A3" w:rsidP="008501A3">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Review 5</w:t>
            </w:r>
          </w:p>
        </w:tc>
        <w:tc>
          <w:tcPr>
            <w:tcW w:w="2791" w:type="dxa"/>
            <w:tcBorders>
              <w:top w:val="single" w:sz="4" w:space="0" w:color="auto"/>
              <w:left w:val="nil"/>
              <w:bottom w:val="single" w:sz="4" w:space="0" w:color="auto"/>
              <w:right w:val="single" w:sz="4" w:space="0" w:color="auto"/>
            </w:tcBorders>
            <w:shd w:val="clear" w:color="auto" w:fill="auto"/>
            <w:noWrap/>
            <w:vAlign w:val="bottom"/>
          </w:tcPr>
          <w:p w:rsidR="008501A3" w:rsidRDefault="008501A3" w:rsidP="008501A3">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90.4%</w:t>
            </w:r>
          </w:p>
        </w:tc>
        <w:tc>
          <w:tcPr>
            <w:tcW w:w="2182" w:type="dxa"/>
            <w:tcBorders>
              <w:top w:val="single" w:sz="4" w:space="0" w:color="auto"/>
              <w:left w:val="nil"/>
              <w:bottom w:val="single" w:sz="4" w:space="0" w:color="auto"/>
              <w:right w:val="single" w:sz="4" w:space="0" w:color="auto"/>
            </w:tcBorders>
            <w:shd w:val="clear" w:color="auto" w:fill="auto"/>
            <w:noWrap/>
            <w:vAlign w:val="bottom"/>
          </w:tcPr>
          <w:p w:rsidR="008501A3" w:rsidRDefault="008501A3" w:rsidP="008501A3">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80.3%</w:t>
            </w:r>
          </w:p>
        </w:tc>
        <w:tc>
          <w:tcPr>
            <w:tcW w:w="2246" w:type="dxa"/>
            <w:tcBorders>
              <w:top w:val="single" w:sz="4" w:space="0" w:color="auto"/>
              <w:left w:val="nil"/>
              <w:bottom w:val="single" w:sz="4" w:space="0" w:color="auto"/>
              <w:right w:val="single" w:sz="4" w:space="0" w:color="auto"/>
            </w:tcBorders>
            <w:shd w:val="clear" w:color="auto" w:fill="auto"/>
            <w:noWrap/>
            <w:vAlign w:val="bottom"/>
          </w:tcPr>
          <w:p w:rsidR="008501A3" w:rsidRDefault="008F3C4A" w:rsidP="008501A3">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2</w:t>
            </w:r>
            <w:r w:rsidR="008501A3">
              <w:rPr>
                <w:rFonts w:ascii="Calibri" w:eastAsia="Times New Roman" w:hAnsi="Calibri" w:cs="Calibri"/>
                <w:color w:val="000000"/>
                <w:lang w:eastAsia="zh-CN"/>
              </w:rPr>
              <w:t>5</w:t>
            </w:r>
            <w:r>
              <w:rPr>
                <w:rFonts w:ascii="Calibri" w:eastAsia="Times New Roman" w:hAnsi="Calibri" w:cs="Calibri"/>
                <w:color w:val="000000"/>
                <w:lang w:eastAsia="zh-CN"/>
              </w:rPr>
              <w:t>.2%</w:t>
            </w:r>
          </w:p>
        </w:tc>
      </w:tr>
    </w:tbl>
    <w:p w:rsidR="00AE7234" w:rsidRPr="00106287" w:rsidRDefault="00AE7234" w:rsidP="00106287"/>
    <w:p w:rsidR="002B0423" w:rsidRDefault="002B0423" w:rsidP="00476864">
      <w:pPr>
        <w:pStyle w:val="Heading2"/>
      </w:pPr>
      <w:bookmarkStart w:id="21" w:name="_Toc121151398"/>
      <w:r>
        <w:t xml:space="preserve">Slide </w:t>
      </w:r>
      <w:r w:rsidRPr="00476864">
        <w:t>16</w:t>
      </w:r>
      <w:r>
        <w:t>: Age group transitions</w:t>
      </w:r>
      <w:bookmarkEnd w:id="21"/>
    </w:p>
    <w:p w:rsidR="002B0423" w:rsidRPr="002B0423" w:rsidRDefault="002B0423" w:rsidP="002B0423">
      <w:pPr>
        <w:pStyle w:val="Heading5"/>
      </w:pPr>
      <w:r>
        <w:t>Moving to a different survey form</w:t>
      </w:r>
    </w:p>
    <w:p w:rsidR="00FD057A" w:rsidRPr="00DC24B8" w:rsidRDefault="003756C2" w:rsidP="00B83265">
      <w:pPr>
        <w:numPr>
          <w:ilvl w:val="0"/>
          <w:numId w:val="12"/>
        </w:numPr>
      </w:pPr>
      <w:r w:rsidRPr="00DC24B8">
        <w:t>Previous annual outcomes reports were structured with separate sections for each of the four participant age groups.</w:t>
      </w:r>
    </w:p>
    <w:p w:rsidR="00FD057A" w:rsidRPr="00DC24B8" w:rsidRDefault="003756C2" w:rsidP="00B83265">
      <w:pPr>
        <w:numPr>
          <w:ilvl w:val="0"/>
          <w:numId w:val="12"/>
        </w:numPr>
      </w:pPr>
      <w:r w:rsidRPr="00DC24B8">
        <w:t>Participants were tracked in the age group to which they belonged when they entered the Scheme until they left that age group, after which they were excluded from the analysis.</w:t>
      </w:r>
    </w:p>
    <w:p w:rsidR="00FD057A" w:rsidRPr="00DC24B8" w:rsidRDefault="003756C2" w:rsidP="00B83265">
      <w:pPr>
        <w:numPr>
          <w:ilvl w:val="0"/>
          <w:numId w:val="12"/>
        </w:numPr>
      </w:pPr>
      <w:r w:rsidRPr="00DC24B8">
        <w:t>This year’s report has been restructured in order to increase the amount of data included in the analysis, as described in the following slides. </w:t>
      </w:r>
    </w:p>
    <w:p w:rsidR="00FD057A" w:rsidRPr="00DC24B8" w:rsidRDefault="003756C2" w:rsidP="00B83265">
      <w:pPr>
        <w:numPr>
          <w:ilvl w:val="0"/>
          <w:numId w:val="12"/>
        </w:numPr>
      </w:pPr>
      <w:r w:rsidRPr="00DC24B8">
        <w:t>This is done by moving from an analysis by age group, to an analysis by indicator.</w:t>
      </w:r>
    </w:p>
    <w:p w:rsidR="00FD057A" w:rsidRPr="00DC24B8" w:rsidRDefault="003756C2" w:rsidP="00B83265">
      <w:pPr>
        <w:numPr>
          <w:ilvl w:val="0"/>
          <w:numId w:val="12"/>
        </w:numPr>
      </w:pPr>
      <w:r w:rsidRPr="00DC24B8">
        <w:t xml:space="preserve">The approach effectively relaxes the strict segregation by age group, enabling progress to be viewed across the wider life course. </w:t>
      </w:r>
    </w:p>
    <w:p w:rsidR="00FD057A" w:rsidRPr="00DC24B8" w:rsidRDefault="003756C2" w:rsidP="00B83265">
      <w:pPr>
        <w:numPr>
          <w:ilvl w:val="0"/>
          <w:numId w:val="12"/>
        </w:numPr>
      </w:pPr>
      <w:r w:rsidRPr="00DC24B8">
        <w:t>Analysis is still presented in two groups more loosely based on age:</w:t>
      </w:r>
    </w:p>
    <w:p w:rsidR="00FD057A" w:rsidRPr="00DC24B8" w:rsidRDefault="003756C2" w:rsidP="00B83265">
      <w:pPr>
        <w:numPr>
          <w:ilvl w:val="1"/>
          <w:numId w:val="12"/>
        </w:numPr>
      </w:pPr>
      <w:r w:rsidRPr="00DC24B8">
        <w:t>The early years (participants aged 0 to 14)</w:t>
      </w:r>
    </w:p>
    <w:p w:rsidR="00FD057A" w:rsidRPr="00DC24B8" w:rsidRDefault="003756C2" w:rsidP="00B83265">
      <w:pPr>
        <w:numPr>
          <w:ilvl w:val="1"/>
          <w:numId w:val="12"/>
        </w:numPr>
      </w:pPr>
      <w:r w:rsidRPr="00DC24B8">
        <w:t>The adult years (participants aged 15 and over).</w:t>
      </w:r>
    </w:p>
    <w:p w:rsidR="00FD057A" w:rsidRPr="00DC24B8" w:rsidRDefault="003756C2" w:rsidP="00476864">
      <w:r w:rsidRPr="00DC24B8">
        <w:t>Refer to the Appendix for further details of the age transition approach.</w:t>
      </w:r>
    </w:p>
    <w:p w:rsidR="00F22FC1" w:rsidRDefault="00F22FC1" w:rsidP="00476864">
      <w:pPr>
        <w:pStyle w:val="Heading2"/>
      </w:pPr>
      <w:bookmarkStart w:id="22" w:name="_Toc121151399"/>
      <w:r>
        <w:t xml:space="preserve">Slide </w:t>
      </w:r>
      <w:r w:rsidRPr="00476864">
        <w:t>17</w:t>
      </w:r>
      <w:r>
        <w:t>: Age group transitions</w:t>
      </w:r>
      <w:bookmarkEnd w:id="22"/>
    </w:p>
    <w:p w:rsidR="005F5480" w:rsidRPr="002B0423" w:rsidRDefault="005F5480" w:rsidP="005F5480">
      <w:pPr>
        <w:pStyle w:val="Heading5"/>
      </w:pPr>
      <w:r>
        <w:t>Graphical presentation of results</w:t>
      </w:r>
    </w:p>
    <w:p w:rsidR="005F5480" w:rsidRPr="005F5480" w:rsidRDefault="005F5480" w:rsidP="005F5480">
      <w:r w:rsidRPr="005F5480">
        <w:t>Results are presented in this report using two key types of graphs:</w:t>
      </w:r>
    </w:p>
    <w:p w:rsidR="00FD057A" w:rsidRPr="005F5480" w:rsidRDefault="003756C2" w:rsidP="00B83265">
      <w:pPr>
        <w:numPr>
          <w:ilvl w:val="0"/>
          <w:numId w:val="13"/>
        </w:numPr>
      </w:pPr>
      <w:r w:rsidRPr="005F5480">
        <w:t>One that is broken down by cohort or years since baseline (refer to appendix for more information on the longitudinal cohorts)</w:t>
      </w:r>
    </w:p>
    <w:p w:rsidR="00FD057A" w:rsidRPr="005F5480" w:rsidRDefault="003756C2" w:rsidP="00B83265">
      <w:pPr>
        <w:numPr>
          <w:ilvl w:val="0"/>
          <w:numId w:val="13"/>
        </w:numPr>
      </w:pPr>
      <w:r w:rsidRPr="005F5480">
        <w:t xml:space="preserve">Another that provides additional detail in the form of an age group breakdown. </w:t>
      </w:r>
    </w:p>
    <w:p w:rsidR="005F5480" w:rsidRPr="005F5480" w:rsidRDefault="005F5480" w:rsidP="005F5480">
      <w:r w:rsidRPr="005F5480">
        <w:t>For those graphs presented by age group, age transition information is shown in the legend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5F5480" w:rsidTr="009B241D">
        <w:tc>
          <w:tcPr>
            <w:tcW w:w="2122" w:type="dxa"/>
          </w:tcPr>
          <w:p w:rsidR="005F5480" w:rsidRDefault="005F5480" w:rsidP="00F305F7">
            <w:r>
              <w:t>Age group</w:t>
            </w:r>
          </w:p>
        </w:tc>
        <w:tc>
          <w:tcPr>
            <w:tcW w:w="6894" w:type="dxa"/>
          </w:tcPr>
          <w:p w:rsidR="005F5480" w:rsidRDefault="005F5480" w:rsidP="00F305F7">
            <w:r>
              <w:t>Description</w:t>
            </w:r>
          </w:p>
        </w:tc>
      </w:tr>
      <w:tr w:rsidR="005F5480" w:rsidTr="009B241D">
        <w:tc>
          <w:tcPr>
            <w:tcW w:w="2122" w:type="dxa"/>
          </w:tcPr>
          <w:p w:rsidR="005F5480" w:rsidRDefault="005F5480" w:rsidP="00F305F7">
            <w:r>
              <w:t>0-S</w:t>
            </w:r>
          </w:p>
        </w:tc>
        <w:tc>
          <w:tcPr>
            <w:tcW w:w="6894" w:type="dxa"/>
          </w:tcPr>
          <w:p w:rsidR="005F5480" w:rsidRDefault="009973EC" w:rsidP="00F305F7">
            <w:r>
              <w:t>Participant has ONLY answered the P0toSS form since entering the Scheme</w:t>
            </w:r>
          </w:p>
        </w:tc>
      </w:tr>
      <w:tr w:rsidR="005F5480" w:rsidTr="009B241D">
        <w:tc>
          <w:tcPr>
            <w:tcW w:w="2122" w:type="dxa"/>
          </w:tcPr>
          <w:p w:rsidR="005F5480" w:rsidRDefault="009973EC" w:rsidP="00F305F7">
            <w:r>
              <w:t>0-S/S-14</w:t>
            </w:r>
          </w:p>
        </w:tc>
        <w:tc>
          <w:tcPr>
            <w:tcW w:w="6894" w:type="dxa"/>
          </w:tcPr>
          <w:p w:rsidR="005F5480" w:rsidRDefault="009973EC" w:rsidP="00F305F7">
            <w:r>
              <w:t>Participant has AGED UP into the PSto14 form since entering the Scheme</w:t>
            </w:r>
          </w:p>
        </w:tc>
      </w:tr>
      <w:tr w:rsidR="005F5480" w:rsidTr="009B241D">
        <w:tc>
          <w:tcPr>
            <w:tcW w:w="2122" w:type="dxa"/>
          </w:tcPr>
          <w:p w:rsidR="005F5480" w:rsidRDefault="009973EC" w:rsidP="00F305F7">
            <w:r>
              <w:lastRenderedPageBreak/>
              <w:t>S-14</w:t>
            </w:r>
          </w:p>
        </w:tc>
        <w:tc>
          <w:tcPr>
            <w:tcW w:w="6894" w:type="dxa"/>
          </w:tcPr>
          <w:p w:rsidR="005F5480" w:rsidRDefault="009973EC" w:rsidP="00F305F7">
            <w:r>
              <w:t>Participant has ONLY answered the PSto14 form since entering the Scheme</w:t>
            </w:r>
          </w:p>
        </w:tc>
      </w:tr>
      <w:tr w:rsidR="005F5480" w:rsidTr="009B241D">
        <w:tc>
          <w:tcPr>
            <w:tcW w:w="2122" w:type="dxa"/>
          </w:tcPr>
          <w:p w:rsidR="005F5480" w:rsidRDefault="009973EC" w:rsidP="00F305F7">
            <w:r>
              <w:t>S-14/15-24</w:t>
            </w:r>
          </w:p>
        </w:tc>
        <w:tc>
          <w:tcPr>
            <w:tcW w:w="6894" w:type="dxa"/>
          </w:tcPr>
          <w:p w:rsidR="005F5480" w:rsidRDefault="009973EC" w:rsidP="00F305F7">
            <w:r>
              <w:t>Participant has AGED UP into the P15TO24 form since entering the Scheme</w:t>
            </w:r>
          </w:p>
        </w:tc>
      </w:tr>
      <w:tr w:rsidR="005F5480" w:rsidTr="009B241D">
        <w:tc>
          <w:tcPr>
            <w:tcW w:w="2122" w:type="dxa"/>
          </w:tcPr>
          <w:p w:rsidR="005F5480" w:rsidRDefault="009973EC" w:rsidP="00F305F7">
            <w:r>
              <w:t>15-24</w:t>
            </w:r>
          </w:p>
        </w:tc>
        <w:tc>
          <w:tcPr>
            <w:tcW w:w="6894" w:type="dxa"/>
          </w:tcPr>
          <w:p w:rsidR="005F5480" w:rsidRDefault="009973EC" w:rsidP="00F305F7">
            <w:r>
              <w:t>Participant has ONLY answered the P15to24 form since entering the Scheme</w:t>
            </w:r>
          </w:p>
        </w:tc>
      </w:tr>
      <w:tr w:rsidR="005F5480" w:rsidTr="009B241D">
        <w:tc>
          <w:tcPr>
            <w:tcW w:w="2122" w:type="dxa"/>
          </w:tcPr>
          <w:p w:rsidR="005F5480" w:rsidRDefault="009973EC" w:rsidP="00F305F7">
            <w:r>
              <w:t>15-24/25+</w:t>
            </w:r>
          </w:p>
        </w:tc>
        <w:tc>
          <w:tcPr>
            <w:tcW w:w="6894" w:type="dxa"/>
          </w:tcPr>
          <w:p w:rsidR="005F5480" w:rsidRDefault="009973EC" w:rsidP="00F305F7">
            <w:r>
              <w:t>Participant has AGED UP into the 25+ form since entering the Scheme</w:t>
            </w:r>
          </w:p>
        </w:tc>
      </w:tr>
      <w:tr w:rsidR="005F5480" w:rsidTr="009B241D">
        <w:tc>
          <w:tcPr>
            <w:tcW w:w="2122" w:type="dxa"/>
          </w:tcPr>
          <w:p w:rsidR="005F5480" w:rsidRDefault="009973EC" w:rsidP="00F305F7">
            <w:r>
              <w:t>25+</w:t>
            </w:r>
          </w:p>
        </w:tc>
        <w:tc>
          <w:tcPr>
            <w:tcW w:w="6894" w:type="dxa"/>
          </w:tcPr>
          <w:p w:rsidR="005F5480" w:rsidRDefault="009973EC" w:rsidP="00F305F7">
            <w:r>
              <w:t>Participant has ONLY answered the P25+ form since entering the Scheme</w:t>
            </w:r>
          </w:p>
        </w:tc>
      </w:tr>
    </w:tbl>
    <w:p w:rsidR="00F305F7" w:rsidRDefault="00F305F7" w:rsidP="00F305F7"/>
    <w:p w:rsidR="00BD6372" w:rsidRDefault="00BD6372" w:rsidP="00476864">
      <w:pPr>
        <w:pStyle w:val="Heading2"/>
      </w:pPr>
      <w:bookmarkStart w:id="23" w:name="_Toc121151400"/>
      <w:r>
        <w:t xml:space="preserve">Slide </w:t>
      </w:r>
      <w:r w:rsidR="00476864">
        <w:t>18</w:t>
      </w:r>
      <w:r>
        <w:t>: COVID-19 pandemic</w:t>
      </w:r>
      <w:bookmarkEnd w:id="23"/>
    </w:p>
    <w:p w:rsidR="00D32806" w:rsidRPr="00D32806" w:rsidRDefault="00D32806" w:rsidP="00D32806">
      <w:r w:rsidRPr="00D32806">
        <w:t>As noted in the previous two years’ reports, the global pandemic that took hold from early 2020 is likely to have had an impact on at least some participant outcomes, such as community participation, and for older age groups, employment.</w:t>
      </w:r>
    </w:p>
    <w:p w:rsidR="00D32806" w:rsidRPr="00D32806" w:rsidRDefault="00D32806" w:rsidP="00D32806">
      <w:r w:rsidRPr="00D32806">
        <w:t>For more information on the potential impact of the COVID-19 pandemic on outcomes to 30 June 2020, see:</w:t>
      </w:r>
    </w:p>
    <w:p w:rsidR="00D32806" w:rsidRPr="00D32806" w:rsidRDefault="00D32806" w:rsidP="00D32806">
      <w:r w:rsidRPr="00D32806">
        <w:t xml:space="preserve">https://data.ndis.gov.au/reports-and-analyses/outcomes-and-goals/covid-19-impact-participant-and-familycarer-outcomes-30-june-2020  </w:t>
      </w:r>
    </w:p>
    <w:p w:rsidR="00D32806" w:rsidRPr="00D32806" w:rsidRDefault="00D32806" w:rsidP="00D32806">
      <w:r w:rsidRPr="00D32806">
        <w:t>The impact of the COVID-19 pandemic has also been considered as part of the analysis of employment outcomes at 31 December 2020:</w:t>
      </w:r>
    </w:p>
    <w:p w:rsidR="00D32806" w:rsidRPr="00D32806" w:rsidRDefault="00D32806" w:rsidP="00D32806">
      <w:r w:rsidRPr="00D32806">
        <w:t xml:space="preserve">https://data.ndis.gov.au/reports-and-analyses/outcomes-and-goals/employment-outcomes-participants-their-families-and-carers </w:t>
      </w:r>
    </w:p>
    <w:p w:rsidR="005559EA" w:rsidRDefault="005559EA" w:rsidP="00476864">
      <w:pPr>
        <w:pStyle w:val="Heading2"/>
      </w:pPr>
      <w:bookmarkStart w:id="24" w:name="_Toc121151401"/>
      <w:r>
        <w:t xml:space="preserve">Slide </w:t>
      </w:r>
      <w:r w:rsidR="00476864">
        <w:t>19</w:t>
      </w:r>
      <w:r>
        <w:t>: Number of respondents</w:t>
      </w:r>
      <w:bookmarkEnd w:id="24"/>
    </w:p>
    <w:p w:rsidR="005559EA" w:rsidRPr="005559EA" w:rsidRDefault="005559EA" w:rsidP="005559EA">
      <w:r w:rsidRPr="005559EA">
        <w:t>The table below summarises the number of total respondents by question type in each longitudinal cohort, for both SF and 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854"/>
        <w:gridCol w:w="786"/>
        <w:gridCol w:w="786"/>
        <w:gridCol w:w="786"/>
        <w:gridCol w:w="786"/>
        <w:gridCol w:w="785"/>
        <w:gridCol w:w="785"/>
        <w:gridCol w:w="785"/>
        <w:gridCol w:w="785"/>
        <w:gridCol w:w="785"/>
      </w:tblGrid>
      <w:tr w:rsidR="00732679" w:rsidRPr="00E86C1D" w:rsidTr="00556BBE">
        <w:tc>
          <w:tcPr>
            <w:tcW w:w="1093" w:type="dxa"/>
          </w:tcPr>
          <w:p w:rsidR="00732679" w:rsidRPr="00E86C1D" w:rsidRDefault="00732679" w:rsidP="00732679">
            <w:pPr>
              <w:rPr>
                <w:b/>
                <w:sz w:val="20"/>
                <w:szCs w:val="20"/>
              </w:rPr>
            </w:pPr>
            <w:r w:rsidRPr="00E86C1D">
              <w:rPr>
                <w:b/>
                <w:sz w:val="20"/>
                <w:szCs w:val="20"/>
              </w:rPr>
              <w:t>Forms covered</w:t>
            </w:r>
          </w:p>
          <w:p w:rsidR="00732679" w:rsidRPr="00E86C1D" w:rsidRDefault="00732679" w:rsidP="00732679">
            <w:pPr>
              <w:rPr>
                <w:sz w:val="20"/>
                <w:szCs w:val="20"/>
              </w:rPr>
            </w:pPr>
            <w:r w:rsidRPr="00E86C1D">
              <w:rPr>
                <w:b/>
                <w:sz w:val="20"/>
                <w:szCs w:val="20"/>
              </w:rPr>
              <w:t>(P0toSS*, PSto14*, P15to24*, P25plus*)</w:t>
            </w:r>
          </w:p>
        </w:tc>
        <w:tc>
          <w:tcPr>
            <w:tcW w:w="854" w:type="dxa"/>
          </w:tcPr>
          <w:p w:rsidR="00732679" w:rsidRPr="00E86C1D" w:rsidRDefault="00732679" w:rsidP="00732679">
            <w:pPr>
              <w:rPr>
                <w:b/>
                <w:sz w:val="20"/>
                <w:szCs w:val="20"/>
              </w:rPr>
            </w:pPr>
            <w:r>
              <w:rPr>
                <w:b/>
                <w:sz w:val="20"/>
                <w:szCs w:val="20"/>
              </w:rPr>
              <w:t xml:space="preserve">SF </w:t>
            </w:r>
            <w:r w:rsidRPr="00E86C1D">
              <w:rPr>
                <w:b/>
                <w:sz w:val="20"/>
                <w:szCs w:val="20"/>
              </w:rPr>
              <w:t>C1 Cohort</w:t>
            </w:r>
          </w:p>
        </w:tc>
        <w:tc>
          <w:tcPr>
            <w:tcW w:w="786" w:type="dxa"/>
          </w:tcPr>
          <w:p w:rsidR="00732679" w:rsidRPr="00E86C1D" w:rsidRDefault="00732679" w:rsidP="00732679">
            <w:pPr>
              <w:rPr>
                <w:b/>
                <w:sz w:val="20"/>
                <w:szCs w:val="20"/>
              </w:rPr>
            </w:pPr>
            <w:r>
              <w:rPr>
                <w:b/>
                <w:sz w:val="20"/>
                <w:szCs w:val="20"/>
              </w:rPr>
              <w:t xml:space="preserve">SF </w:t>
            </w:r>
            <w:r w:rsidRPr="00E86C1D">
              <w:rPr>
                <w:b/>
                <w:sz w:val="20"/>
                <w:szCs w:val="20"/>
              </w:rPr>
              <w:t xml:space="preserve">C2 </w:t>
            </w:r>
            <w:r>
              <w:rPr>
                <w:b/>
                <w:sz w:val="20"/>
                <w:szCs w:val="20"/>
              </w:rPr>
              <w:t>Cohort</w:t>
            </w:r>
          </w:p>
        </w:tc>
        <w:tc>
          <w:tcPr>
            <w:tcW w:w="786" w:type="dxa"/>
          </w:tcPr>
          <w:p w:rsidR="00732679" w:rsidRPr="00E86C1D" w:rsidRDefault="00732679" w:rsidP="00732679">
            <w:pPr>
              <w:rPr>
                <w:b/>
                <w:sz w:val="20"/>
                <w:szCs w:val="20"/>
              </w:rPr>
            </w:pPr>
            <w:r>
              <w:rPr>
                <w:b/>
                <w:sz w:val="20"/>
                <w:szCs w:val="20"/>
              </w:rPr>
              <w:t xml:space="preserve">SF </w:t>
            </w:r>
            <w:r w:rsidRPr="00E86C1D">
              <w:rPr>
                <w:b/>
                <w:sz w:val="20"/>
                <w:szCs w:val="20"/>
              </w:rPr>
              <w:t>C3 Cohort</w:t>
            </w:r>
          </w:p>
        </w:tc>
        <w:tc>
          <w:tcPr>
            <w:tcW w:w="786" w:type="dxa"/>
          </w:tcPr>
          <w:p w:rsidR="00732679" w:rsidRPr="00E86C1D" w:rsidRDefault="00732679" w:rsidP="00732679">
            <w:pPr>
              <w:rPr>
                <w:b/>
                <w:sz w:val="20"/>
                <w:szCs w:val="20"/>
              </w:rPr>
            </w:pPr>
            <w:r>
              <w:rPr>
                <w:b/>
                <w:sz w:val="20"/>
                <w:szCs w:val="20"/>
              </w:rPr>
              <w:t xml:space="preserve">SF </w:t>
            </w:r>
            <w:r w:rsidRPr="00E86C1D">
              <w:rPr>
                <w:b/>
                <w:sz w:val="20"/>
                <w:szCs w:val="20"/>
              </w:rPr>
              <w:t>C4 Cohort</w:t>
            </w:r>
          </w:p>
        </w:tc>
        <w:tc>
          <w:tcPr>
            <w:tcW w:w="786" w:type="dxa"/>
          </w:tcPr>
          <w:p w:rsidR="00732679" w:rsidRPr="00E86C1D" w:rsidRDefault="00732679" w:rsidP="00732679">
            <w:pPr>
              <w:rPr>
                <w:b/>
                <w:sz w:val="20"/>
                <w:szCs w:val="20"/>
              </w:rPr>
            </w:pPr>
            <w:r>
              <w:rPr>
                <w:b/>
                <w:sz w:val="20"/>
                <w:szCs w:val="20"/>
              </w:rPr>
              <w:t xml:space="preserve">SF </w:t>
            </w:r>
            <w:r w:rsidRPr="00E86C1D">
              <w:rPr>
                <w:b/>
                <w:sz w:val="20"/>
                <w:szCs w:val="20"/>
              </w:rPr>
              <w:t>C5 Cohort</w:t>
            </w:r>
          </w:p>
        </w:tc>
        <w:tc>
          <w:tcPr>
            <w:tcW w:w="785" w:type="dxa"/>
          </w:tcPr>
          <w:p w:rsidR="00732679" w:rsidRPr="00E86C1D" w:rsidRDefault="00732679" w:rsidP="00732679">
            <w:pPr>
              <w:rPr>
                <w:b/>
                <w:sz w:val="20"/>
                <w:szCs w:val="20"/>
              </w:rPr>
            </w:pPr>
            <w:r>
              <w:rPr>
                <w:b/>
                <w:sz w:val="20"/>
                <w:szCs w:val="20"/>
              </w:rPr>
              <w:t xml:space="preserve">LF </w:t>
            </w:r>
            <w:r w:rsidRPr="00E86C1D">
              <w:rPr>
                <w:b/>
                <w:sz w:val="20"/>
                <w:szCs w:val="20"/>
              </w:rPr>
              <w:t>C1 Cohort</w:t>
            </w:r>
          </w:p>
        </w:tc>
        <w:tc>
          <w:tcPr>
            <w:tcW w:w="785" w:type="dxa"/>
          </w:tcPr>
          <w:p w:rsidR="00732679" w:rsidRPr="00E86C1D" w:rsidRDefault="00732679" w:rsidP="00732679">
            <w:pPr>
              <w:rPr>
                <w:b/>
                <w:sz w:val="20"/>
                <w:szCs w:val="20"/>
              </w:rPr>
            </w:pPr>
            <w:r>
              <w:rPr>
                <w:b/>
                <w:sz w:val="20"/>
                <w:szCs w:val="20"/>
              </w:rPr>
              <w:t xml:space="preserve">LF </w:t>
            </w:r>
            <w:r w:rsidRPr="00E86C1D">
              <w:rPr>
                <w:b/>
                <w:sz w:val="20"/>
                <w:szCs w:val="20"/>
              </w:rPr>
              <w:t>C2 Cohort</w:t>
            </w:r>
          </w:p>
        </w:tc>
        <w:tc>
          <w:tcPr>
            <w:tcW w:w="785" w:type="dxa"/>
          </w:tcPr>
          <w:p w:rsidR="00732679" w:rsidRPr="00E86C1D" w:rsidRDefault="00732679" w:rsidP="00732679">
            <w:pPr>
              <w:rPr>
                <w:b/>
                <w:sz w:val="20"/>
                <w:szCs w:val="20"/>
              </w:rPr>
            </w:pPr>
            <w:r>
              <w:rPr>
                <w:b/>
                <w:sz w:val="20"/>
                <w:szCs w:val="20"/>
              </w:rPr>
              <w:t xml:space="preserve">LF </w:t>
            </w:r>
            <w:r w:rsidRPr="00E86C1D">
              <w:rPr>
                <w:b/>
                <w:sz w:val="20"/>
                <w:szCs w:val="20"/>
              </w:rPr>
              <w:t>C3 Cohort</w:t>
            </w:r>
          </w:p>
        </w:tc>
        <w:tc>
          <w:tcPr>
            <w:tcW w:w="785" w:type="dxa"/>
          </w:tcPr>
          <w:p w:rsidR="00732679" w:rsidRPr="00E86C1D" w:rsidRDefault="00732679" w:rsidP="00732679">
            <w:pPr>
              <w:rPr>
                <w:b/>
                <w:sz w:val="20"/>
                <w:szCs w:val="20"/>
              </w:rPr>
            </w:pPr>
            <w:r>
              <w:rPr>
                <w:b/>
                <w:sz w:val="20"/>
                <w:szCs w:val="20"/>
              </w:rPr>
              <w:t xml:space="preserve">LF </w:t>
            </w:r>
            <w:r w:rsidRPr="00E86C1D">
              <w:rPr>
                <w:b/>
                <w:sz w:val="20"/>
                <w:szCs w:val="20"/>
              </w:rPr>
              <w:t>C4 Cohort</w:t>
            </w:r>
          </w:p>
        </w:tc>
        <w:tc>
          <w:tcPr>
            <w:tcW w:w="785" w:type="dxa"/>
          </w:tcPr>
          <w:p w:rsidR="00732679" w:rsidRPr="00E86C1D" w:rsidRDefault="00732679" w:rsidP="00732679">
            <w:pPr>
              <w:rPr>
                <w:b/>
                <w:sz w:val="20"/>
                <w:szCs w:val="20"/>
              </w:rPr>
            </w:pPr>
            <w:r>
              <w:rPr>
                <w:b/>
                <w:sz w:val="20"/>
                <w:szCs w:val="20"/>
              </w:rPr>
              <w:t xml:space="preserve">LF </w:t>
            </w:r>
            <w:r w:rsidRPr="00E86C1D">
              <w:rPr>
                <w:b/>
                <w:sz w:val="20"/>
                <w:szCs w:val="20"/>
              </w:rPr>
              <w:t>C5 Cohort</w:t>
            </w:r>
          </w:p>
        </w:tc>
      </w:tr>
      <w:tr w:rsidR="00DA1979" w:rsidRPr="00E86C1D" w:rsidTr="00556BBE">
        <w:tc>
          <w:tcPr>
            <w:tcW w:w="1093" w:type="dxa"/>
          </w:tcPr>
          <w:p w:rsidR="00DA1979" w:rsidRPr="00E86C1D" w:rsidRDefault="00DA1979" w:rsidP="00DA1979">
            <w:pPr>
              <w:rPr>
                <w:sz w:val="20"/>
                <w:szCs w:val="20"/>
              </w:rPr>
            </w:pPr>
            <w:r w:rsidRPr="00E86C1D">
              <w:rPr>
                <w:sz w:val="20"/>
                <w:szCs w:val="20"/>
              </w:rPr>
              <w:t>1XXX</w:t>
            </w:r>
          </w:p>
        </w:tc>
        <w:tc>
          <w:tcPr>
            <w:tcW w:w="854" w:type="dxa"/>
          </w:tcPr>
          <w:p w:rsidR="00DA1979" w:rsidRPr="00E86C1D" w:rsidRDefault="00DA1979" w:rsidP="00DA1979">
            <w:pPr>
              <w:rPr>
                <w:sz w:val="20"/>
                <w:szCs w:val="20"/>
              </w:rPr>
            </w:pPr>
            <w:r w:rsidRPr="00E86C1D">
              <w:rPr>
                <w:sz w:val="20"/>
                <w:szCs w:val="20"/>
              </w:rPr>
              <w:t>30335</w:t>
            </w:r>
          </w:p>
        </w:tc>
        <w:tc>
          <w:tcPr>
            <w:tcW w:w="786" w:type="dxa"/>
          </w:tcPr>
          <w:p w:rsidR="00DA1979" w:rsidRPr="00E86C1D" w:rsidRDefault="00DA1979" w:rsidP="00DA1979">
            <w:pPr>
              <w:rPr>
                <w:sz w:val="20"/>
                <w:szCs w:val="20"/>
              </w:rPr>
            </w:pPr>
            <w:r w:rsidRPr="00E86C1D">
              <w:rPr>
                <w:sz w:val="20"/>
                <w:szCs w:val="20"/>
              </w:rPr>
              <w:t>10217</w:t>
            </w:r>
          </w:p>
        </w:tc>
        <w:tc>
          <w:tcPr>
            <w:tcW w:w="786" w:type="dxa"/>
          </w:tcPr>
          <w:p w:rsidR="00DA1979" w:rsidRPr="00E86C1D" w:rsidRDefault="00DA1979" w:rsidP="00DA1979">
            <w:pPr>
              <w:rPr>
                <w:sz w:val="20"/>
                <w:szCs w:val="20"/>
              </w:rPr>
            </w:pPr>
            <w:r w:rsidRPr="00E86C1D">
              <w:rPr>
                <w:sz w:val="20"/>
                <w:szCs w:val="20"/>
              </w:rPr>
              <w:t>2336</w:t>
            </w:r>
          </w:p>
        </w:tc>
        <w:tc>
          <w:tcPr>
            <w:tcW w:w="786" w:type="dxa"/>
          </w:tcPr>
          <w:p w:rsidR="00DA1979" w:rsidRPr="00E86C1D" w:rsidRDefault="00DA1979" w:rsidP="00DA1979">
            <w:pPr>
              <w:rPr>
                <w:sz w:val="20"/>
                <w:szCs w:val="20"/>
              </w:rPr>
            </w:pPr>
            <w:r w:rsidRPr="00E86C1D">
              <w:rPr>
                <w:sz w:val="20"/>
                <w:szCs w:val="20"/>
              </w:rPr>
              <w:t>366</w:t>
            </w:r>
          </w:p>
        </w:tc>
        <w:tc>
          <w:tcPr>
            <w:tcW w:w="786" w:type="dxa"/>
          </w:tcPr>
          <w:p w:rsidR="00DA1979" w:rsidRPr="00E86C1D" w:rsidRDefault="00DA1979" w:rsidP="00DA1979">
            <w:pPr>
              <w:rPr>
                <w:sz w:val="20"/>
                <w:szCs w:val="20"/>
              </w:rPr>
            </w:pPr>
            <w:r w:rsidRPr="00E86C1D">
              <w:rPr>
                <w:sz w:val="20"/>
                <w:szCs w:val="20"/>
              </w:rPr>
              <w:t>27</w:t>
            </w:r>
          </w:p>
        </w:tc>
        <w:tc>
          <w:tcPr>
            <w:tcW w:w="785" w:type="dxa"/>
          </w:tcPr>
          <w:p w:rsidR="00DA1979" w:rsidRPr="00E86C1D" w:rsidRDefault="00DA1979" w:rsidP="00DA1979">
            <w:pPr>
              <w:rPr>
                <w:sz w:val="20"/>
                <w:szCs w:val="20"/>
              </w:rPr>
            </w:pPr>
            <w:r w:rsidRPr="00E86C1D">
              <w:rPr>
                <w:sz w:val="20"/>
                <w:szCs w:val="20"/>
              </w:rPr>
              <w:t>872</w:t>
            </w:r>
          </w:p>
        </w:tc>
        <w:tc>
          <w:tcPr>
            <w:tcW w:w="785" w:type="dxa"/>
          </w:tcPr>
          <w:p w:rsidR="00DA1979" w:rsidRPr="00E86C1D" w:rsidRDefault="00DA1979" w:rsidP="00DA1979">
            <w:pPr>
              <w:rPr>
                <w:sz w:val="20"/>
                <w:szCs w:val="20"/>
              </w:rPr>
            </w:pPr>
            <w:r w:rsidRPr="00E86C1D">
              <w:rPr>
                <w:sz w:val="20"/>
                <w:szCs w:val="20"/>
              </w:rPr>
              <w:t>225</w:t>
            </w:r>
          </w:p>
        </w:tc>
        <w:tc>
          <w:tcPr>
            <w:tcW w:w="785" w:type="dxa"/>
          </w:tcPr>
          <w:p w:rsidR="00DA1979" w:rsidRPr="00E86C1D" w:rsidRDefault="00DA1979" w:rsidP="00DA1979">
            <w:pPr>
              <w:rPr>
                <w:sz w:val="20"/>
                <w:szCs w:val="20"/>
              </w:rPr>
            </w:pPr>
            <w:r w:rsidRPr="00E86C1D">
              <w:rPr>
                <w:sz w:val="20"/>
                <w:szCs w:val="20"/>
              </w:rPr>
              <w:t>42</w:t>
            </w:r>
          </w:p>
        </w:tc>
        <w:tc>
          <w:tcPr>
            <w:tcW w:w="785" w:type="dxa"/>
          </w:tcPr>
          <w:p w:rsidR="00DA1979" w:rsidRPr="00E86C1D" w:rsidRDefault="00DA1979" w:rsidP="00DA1979">
            <w:pPr>
              <w:rPr>
                <w:sz w:val="20"/>
                <w:szCs w:val="20"/>
              </w:rPr>
            </w:pPr>
            <w:r w:rsidRPr="00E86C1D">
              <w:rPr>
                <w:sz w:val="20"/>
                <w:szCs w:val="20"/>
              </w:rPr>
              <w:t>&lt;20</w:t>
            </w:r>
            <w:r w:rsidR="00556BBE">
              <w:rPr>
                <w:sz w:val="20"/>
                <w:szCs w:val="20"/>
              </w:rPr>
              <w:t>**</w:t>
            </w:r>
          </w:p>
        </w:tc>
        <w:tc>
          <w:tcPr>
            <w:tcW w:w="785" w:type="dxa"/>
          </w:tcPr>
          <w:p w:rsidR="00DA1979" w:rsidRPr="00E86C1D" w:rsidRDefault="00DA1979" w:rsidP="00DA1979">
            <w:pPr>
              <w:rPr>
                <w:sz w:val="20"/>
                <w:szCs w:val="20"/>
              </w:rPr>
            </w:pPr>
            <w:r w:rsidRPr="00E86C1D">
              <w:rPr>
                <w:sz w:val="20"/>
                <w:szCs w:val="20"/>
              </w:rPr>
              <w:t>&lt;20</w:t>
            </w:r>
            <w:r w:rsidR="00556BBE">
              <w:rPr>
                <w:sz w:val="20"/>
                <w:szCs w:val="20"/>
              </w:rPr>
              <w:t>**</w:t>
            </w:r>
          </w:p>
        </w:tc>
      </w:tr>
      <w:tr w:rsidR="00DA1979" w:rsidRPr="00E86C1D" w:rsidTr="00556BBE">
        <w:tc>
          <w:tcPr>
            <w:tcW w:w="1093" w:type="dxa"/>
          </w:tcPr>
          <w:p w:rsidR="00DA1979" w:rsidRPr="00E86C1D" w:rsidRDefault="00DA1979" w:rsidP="00DA1979">
            <w:pPr>
              <w:rPr>
                <w:sz w:val="20"/>
                <w:szCs w:val="20"/>
              </w:rPr>
            </w:pPr>
            <w:r w:rsidRPr="00E86C1D">
              <w:rPr>
                <w:sz w:val="20"/>
                <w:szCs w:val="20"/>
              </w:rPr>
              <w:t>12XX</w:t>
            </w:r>
          </w:p>
        </w:tc>
        <w:tc>
          <w:tcPr>
            <w:tcW w:w="854" w:type="dxa"/>
          </w:tcPr>
          <w:p w:rsidR="00DA1979" w:rsidRPr="00E86C1D" w:rsidRDefault="00DA1979" w:rsidP="00DA1979">
            <w:pPr>
              <w:rPr>
                <w:sz w:val="20"/>
                <w:szCs w:val="20"/>
              </w:rPr>
            </w:pPr>
            <w:r w:rsidRPr="00E86C1D">
              <w:rPr>
                <w:sz w:val="20"/>
                <w:szCs w:val="20"/>
              </w:rPr>
              <w:t>61816</w:t>
            </w:r>
          </w:p>
        </w:tc>
        <w:tc>
          <w:tcPr>
            <w:tcW w:w="786" w:type="dxa"/>
          </w:tcPr>
          <w:p w:rsidR="00DA1979" w:rsidRPr="00E86C1D" w:rsidRDefault="00DA1979" w:rsidP="00DA1979">
            <w:pPr>
              <w:rPr>
                <w:sz w:val="20"/>
                <w:szCs w:val="20"/>
              </w:rPr>
            </w:pPr>
            <w:r w:rsidRPr="00E86C1D">
              <w:rPr>
                <w:sz w:val="20"/>
                <w:szCs w:val="20"/>
              </w:rPr>
              <w:t>43721</w:t>
            </w:r>
          </w:p>
        </w:tc>
        <w:tc>
          <w:tcPr>
            <w:tcW w:w="786" w:type="dxa"/>
          </w:tcPr>
          <w:p w:rsidR="00DA1979" w:rsidRPr="00E86C1D" w:rsidRDefault="00DA1979" w:rsidP="00DA1979">
            <w:pPr>
              <w:rPr>
                <w:sz w:val="20"/>
                <w:szCs w:val="20"/>
              </w:rPr>
            </w:pPr>
            <w:r w:rsidRPr="00E86C1D">
              <w:rPr>
                <w:sz w:val="20"/>
                <w:szCs w:val="20"/>
              </w:rPr>
              <w:t>26702</w:t>
            </w:r>
          </w:p>
        </w:tc>
        <w:tc>
          <w:tcPr>
            <w:tcW w:w="786" w:type="dxa"/>
          </w:tcPr>
          <w:p w:rsidR="00DA1979" w:rsidRPr="00E86C1D" w:rsidRDefault="00DA1979" w:rsidP="00DA1979">
            <w:pPr>
              <w:rPr>
                <w:sz w:val="20"/>
                <w:szCs w:val="20"/>
              </w:rPr>
            </w:pPr>
            <w:r w:rsidRPr="00E86C1D">
              <w:rPr>
                <w:sz w:val="20"/>
                <w:szCs w:val="20"/>
              </w:rPr>
              <w:t>14558</w:t>
            </w:r>
          </w:p>
        </w:tc>
        <w:tc>
          <w:tcPr>
            <w:tcW w:w="786" w:type="dxa"/>
          </w:tcPr>
          <w:p w:rsidR="00DA1979" w:rsidRPr="00E86C1D" w:rsidRDefault="00DA1979" w:rsidP="00DA1979">
            <w:pPr>
              <w:rPr>
                <w:sz w:val="20"/>
                <w:szCs w:val="20"/>
              </w:rPr>
            </w:pPr>
            <w:r w:rsidRPr="00E86C1D">
              <w:rPr>
                <w:sz w:val="20"/>
                <w:szCs w:val="20"/>
              </w:rPr>
              <w:t>4618</w:t>
            </w:r>
          </w:p>
        </w:tc>
        <w:tc>
          <w:tcPr>
            <w:tcW w:w="785" w:type="dxa"/>
          </w:tcPr>
          <w:p w:rsidR="00DA1979" w:rsidRPr="00E86C1D" w:rsidRDefault="00DA1979" w:rsidP="00DA1979">
            <w:pPr>
              <w:rPr>
                <w:sz w:val="20"/>
                <w:szCs w:val="20"/>
              </w:rPr>
            </w:pPr>
            <w:r w:rsidRPr="00E86C1D">
              <w:rPr>
                <w:sz w:val="20"/>
                <w:szCs w:val="20"/>
              </w:rPr>
              <w:t>1958</w:t>
            </w:r>
          </w:p>
        </w:tc>
        <w:tc>
          <w:tcPr>
            <w:tcW w:w="785" w:type="dxa"/>
          </w:tcPr>
          <w:p w:rsidR="00DA1979" w:rsidRPr="00E86C1D" w:rsidRDefault="00DA1979" w:rsidP="00DA1979">
            <w:pPr>
              <w:rPr>
                <w:sz w:val="20"/>
                <w:szCs w:val="20"/>
              </w:rPr>
            </w:pPr>
            <w:r w:rsidRPr="00E86C1D">
              <w:rPr>
                <w:sz w:val="20"/>
                <w:szCs w:val="20"/>
              </w:rPr>
              <w:t>950</w:t>
            </w:r>
          </w:p>
        </w:tc>
        <w:tc>
          <w:tcPr>
            <w:tcW w:w="785" w:type="dxa"/>
          </w:tcPr>
          <w:p w:rsidR="00DA1979" w:rsidRPr="00E86C1D" w:rsidRDefault="00DA1979" w:rsidP="00DA1979">
            <w:pPr>
              <w:rPr>
                <w:sz w:val="20"/>
                <w:szCs w:val="20"/>
              </w:rPr>
            </w:pPr>
            <w:r w:rsidRPr="00E86C1D">
              <w:rPr>
                <w:sz w:val="20"/>
                <w:szCs w:val="20"/>
              </w:rPr>
              <w:t>425</w:t>
            </w:r>
          </w:p>
        </w:tc>
        <w:tc>
          <w:tcPr>
            <w:tcW w:w="785" w:type="dxa"/>
          </w:tcPr>
          <w:p w:rsidR="00DA1979" w:rsidRPr="00E86C1D" w:rsidRDefault="00DA1979" w:rsidP="00DA1979">
            <w:pPr>
              <w:rPr>
                <w:sz w:val="20"/>
                <w:szCs w:val="20"/>
              </w:rPr>
            </w:pPr>
            <w:r w:rsidRPr="00E86C1D">
              <w:rPr>
                <w:sz w:val="20"/>
                <w:szCs w:val="20"/>
              </w:rPr>
              <w:t>165</w:t>
            </w:r>
          </w:p>
        </w:tc>
        <w:tc>
          <w:tcPr>
            <w:tcW w:w="785" w:type="dxa"/>
          </w:tcPr>
          <w:p w:rsidR="00DA1979" w:rsidRPr="00E86C1D" w:rsidRDefault="00DA1979" w:rsidP="00DA1979">
            <w:pPr>
              <w:rPr>
                <w:sz w:val="20"/>
                <w:szCs w:val="20"/>
              </w:rPr>
            </w:pPr>
            <w:r w:rsidRPr="00E86C1D">
              <w:rPr>
                <w:sz w:val="20"/>
                <w:szCs w:val="20"/>
              </w:rPr>
              <w:t>33</w:t>
            </w:r>
          </w:p>
        </w:tc>
      </w:tr>
      <w:tr w:rsidR="00DA1979" w:rsidRPr="00E86C1D" w:rsidTr="00556BBE">
        <w:tc>
          <w:tcPr>
            <w:tcW w:w="1093" w:type="dxa"/>
          </w:tcPr>
          <w:p w:rsidR="00DA1979" w:rsidRPr="00E86C1D" w:rsidRDefault="00DA1979" w:rsidP="00DA1979">
            <w:pPr>
              <w:rPr>
                <w:sz w:val="20"/>
                <w:szCs w:val="20"/>
              </w:rPr>
            </w:pPr>
            <w:r w:rsidRPr="00E86C1D">
              <w:rPr>
                <w:sz w:val="20"/>
                <w:szCs w:val="20"/>
              </w:rPr>
              <w:t>X2XX</w:t>
            </w:r>
          </w:p>
        </w:tc>
        <w:tc>
          <w:tcPr>
            <w:tcW w:w="854" w:type="dxa"/>
          </w:tcPr>
          <w:p w:rsidR="00DA1979" w:rsidRPr="00E86C1D" w:rsidRDefault="00DA1979" w:rsidP="00DA1979">
            <w:pPr>
              <w:rPr>
                <w:sz w:val="20"/>
                <w:szCs w:val="20"/>
              </w:rPr>
            </w:pPr>
            <w:r w:rsidRPr="00E86C1D">
              <w:rPr>
                <w:sz w:val="20"/>
                <w:szCs w:val="20"/>
              </w:rPr>
              <w:t>44847</w:t>
            </w:r>
          </w:p>
        </w:tc>
        <w:tc>
          <w:tcPr>
            <w:tcW w:w="786" w:type="dxa"/>
          </w:tcPr>
          <w:p w:rsidR="00DA1979" w:rsidRPr="00E86C1D" w:rsidRDefault="00DA1979" w:rsidP="00DA1979">
            <w:pPr>
              <w:rPr>
                <w:sz w:val="20"/>
                <w:szCs w:val="20"/>
              </w:rPr>
            </w:pPr>
            <w:r w:rsidRPr="00E86C1D">
              <w:rPr>
                <w:sz w:val="20"/>
                <w:szCs w:val="20"/>
              </w:rPr>
              <w:t>30744</w:t>
            </w:r>
          </w:p>
        </w:tc>
        <w:tc>
          <w:tcPr>
            <w:tcW w:w="786" w:type="dxa"/>
          </w:tcPr>
          <w:p w:rsidR="00DA1979" w:rsidRPr="00E86C1D" w:rsidRDefault="00DA1979" w:rsidP="00DA1979">
            <w:pPr>
              <w:rPr>
                <w:sz w:val="20"/>
                <w:szCs w:val="20"/>
              </w:rPr>
            </w:pPr>
            <w:r w:rsidRPr="00E86C1D">
              <w:rPr>
                <w:sz w:val="20"/>
                <w:szCs w:val="20"/>
              </w:rPr>
              <w:t>18600</w:t>
            </w:r>
          </w:p>
        </w:tc>
        <w:tc>
          <w:tcPr>
            <w:tcW w:w="786" w:type="dxa"/>
          </w:tcPr>
          <w:p w:rsidR="00DA1979" w:rsidRPr="00E86C1D" w:rsidRDefault="00DA1979" w:rsidP="00DA1979">
            <w:pPr>
              <w:rPr>
                <w:sz w:val="20"/>
                <w:szCs w:val="20"/>
              </w:rPr>
            </w:pPr>
            <w:r w:rsidRPr="00E86C1D">
              <w:rPr>
                <w:sz w:val="20"/>
                <w:szCs w:val="20"/>
              </w:rPr>
              <w:t>8459</w:t>
            </w:r>
          </w:p>
        </w:tc>
        <w:tc>
          <w:tcPr>
            <w:tcW w:w="786" w:type="dxa"/>
          </w:tcPr>
          <w:p w:rsidR="00DA1979" w:rsidRPr="00E86C1D" w:rsidRDefault="00DA1979" w:rsidP="00DA1979">
            <w:pPr>
              <w:rPr>
                <w:sz w:val="20"/>
                <w:szCs w:val="20"/>
              </w:rPr>
            </w:pPr>
            <w:r w:rsidRPr="00E86C1D">
              <w:rPr>
                <w:sz w:val="20"/>
                <w:szCs w:val="20"/>
              </w:rPr>
              <w:t>2172</w:t>
            </w:r>
          </w:p>
        </w:tc>
        <w:tc>
          <w:tcPr>
            <w:tcW w:w="785" w:type="dxa"/>
          </w:tcPr>
          <w:p w:rsidR="00DA1979" w:rsidRPr="00E86C1D" w:rsidRDefault="00DA1979" w:rsidP="00DA1979">
            <w:pPr>
              <w:rPr>
                <w:sz w:val="20"/>
                <w:szCs w:val="20"/>
              </w:rPr>
            </w:pPr>
            <w:r w:rsidRPr="00E86C1D">
              <w:rPr>
                <w:sz w:val="20"/>
                <w:szCs w:val="20"/>
              </w:rPr>
              <w:t>1278</w:t>
            </w:r>
          </w:p>
        </w:tc>
        <w:tc>
          <w:tcPr>
            <w:tcW w:w="785" w:type="dxa"/>
          </w:tcPr>
          <w:p w:rsidR="00DA1979" w:rsidRPr="00E86C1D" w:rsidRDefault="00DA1979" w:rsidP="00DA1979">
            <w:pPr>
              <w:rPr>
                <w:sz w:val="20"/>
                <w:szCs w:val="20"/>
              </w:rPr>
            </w:pPr>
            <w:r w:rsidRPr="00E86C1D">
              <w:rPr>
                <w:sz w:val="20"/>
                <w:szCs w:val="20"/>
              </w:rPr>
              <w:t>577</w:t>
            </w:r>
          </w:p>
        </w:tc>
        <w:tc>
          <w:tcPr>
            <w:tcW w:w="785" w:type="dxa"/>
          </w:tcPr>
          <w:p w:rsidR="00DA1979" w:rsidRPr="00E86C1D" w:rsidRDefault="00DA1979" w:rsidP="00DA1979">
            <w:pPr>
              <w:rPr>
                <w:sz w:val="20"/>
                <w:szCs w:val="20"/>
              </w:rPr>
            </w:pPr>
            <w:r w:rsidRPr="00E86C1D">
              <w:rPr>
                <w:sz w:val="20"/>
                <w:szCs w:val="20"/>
              </w:rPr>
              <w:t>256</w:t>
            </w:r>
          </w:p>
        </w:tc>
        <w:tc>
          <w:tcPr>
            <w:tcW w:w="785" w:type="dxa"/>
          </w:tcPr>
          <w:p w:rsidR="00DA1979" w:rsidRPr="00E86C1D" w:rsidRDefault="00DA1979" w:rsidP="00DA1979">
            <w:pPr>
              <w:rPr>
                <w:sz w:val="20"/>
                <w:szCs w:val="20"/>
              </w:rPr>
            </w:pPr>
            <w:r w:rsidRPr="00E86C1D">
              <w:rPr>
                <w:sz w:val="20"/>
                <w:szCs w:val="20"/>
              </w:rPr>
              <w:t>101</w:t>
            </w:r>
          </w:p>
        </w:tc>
        <w:tc>
          <w:tcPr>
            <w:tcW w:w="785" w:type="dxa"/>
          </w:tcPr>
          <w:p w:rsidR="00DA1979" w:rsidRPr="00E86C1D" w:rsidRDefault="00DA1979" w:rsidP="00DA1979">
            <w:pPr>
              <w:rPr>
                <w:sz w:val="20"/>
                <w:szCs w:val="20"/>
              </w:rPr>
            </w:pPr>
            <w:r w:rsidRPr="00E86C1D">
              <w:rPr>
                <w:sz w:val="20"/>
                <w:szCs w:val="20"/>
              </w:rPr>
              <w:t>27</w:t>
            </w:r>
          </w:p>
        </w:tc>
      </w:tr>
      <w:tr w:rsidR="00DA1979" w:rsidRPr="00E86C1D" w:rsidTr="00556BBE">
        <w:tc>
          <w:tcPr>
            <w:tcW w:w="1093" w:type="dxa"/>
          </w:tcPr>
          <w:p w:rsidR="00DA1979" w:rsidRPr="00E86C1D" w:rsidRDefault="00DA1979" w:rsidP="00DA1979">
            <w:pPr>
              <w:rPr>
                <w:sz w:val="20"/>
                <w:szCs w:val="20"/>
              </w:rPr>
            </w:pPr>
            <w:r w:rsidRPr="00E86C1D">
              <w:rPr>
                <w:sz w:val="20"/>
                <w:szCs w:val="20"/>
              </w:rPr>
              <w:t>X23X</w:t>
            </w:r>
          </w:p>
        </w:tc>
        <w:tc>
          <w:tcPr>
            <w:tcW w:w="854" w:type="dxa"/>
          </w:tcPr>
          <w:p w:rsidR="00DA1979" w:rsidRPr="00E86C1D" w:rsidRDefault="00DA1979" w:rsidP="00DA1979">
            <w:pPr>
              <w:rPr>
                <w:sz w:val="20"/>
                <w:szCs w:val="20"/>
              </w:rPr>
            </w:pPr>
            <w:r w:rsidRPr="00E86C1D">
              <w:rPr>
                <w:sz w:val="20"/>
                <w:szCs w:val="20"/>
              </w:rPr>
              <w:t>57406</w:t>
            </w:r>
          </w:p>
        </w:tc>
        <w:tc>
          <w:tcPr>
            <w:tcW w:w="786" w:type="dxa"/>
          </w:tcPr>
          <w:p w:rsidR="00DA1979" w:rsidRPr="00E86C1D" w:rsidRDefault="00DA1979" w:rsidP="00DA1979">
            <w:pPr>
              <w:rPr>
                <w:sz w:val="20"/>
                <w:szCs w:val="20"/>
              </w:rPr>
            </w:pPr>
            <w:r w:rsidRPr="00E86C1D">
              <w:rPr>
                <w:sz w:val="20"/>
                <w:szCs w:val="20"/>
              </w:rPr>
              <w:t>43184</w:t>
            </w:r>
          </w:p>
        </w:tc>
        <w:tc>
          <w:tcPr>
            <w:tcW w:w="786" w:type="dxa"/>
          </w:tcPr>
          <w:p w:rsidR="00DA1979" w:rsidRPr="00E86C1D" w:rsidRDefault="00DA1979" w:rsidP="00DA1979">
            <w:pPr>
              <w:rPr>
                <w:sz w:val="20"/>
                <w:szCs w:val="20"/>
              </w:rPr>
            </w:pPr>
            <w:r w:rsidRPr="00E86C1D">
              <w:rPr>
                <w:sz w:val="20"/>
                <w:szCs w:val="20"/>
              </w:rPr>
              <w:t>29948</w:t>
            </w:r>
          </w:p>
        </w:tc>
        <w:tc>
          <w:tcPr>
            <w:tcW w:w="786" w:type="dxa"/>
          </w:tcPr>
          <w:p w:rsidR="00DA1979" w:rsidRPr="00E86C1D" w:rsidRDefault="00DA1979" w:rsidP="00DA1979">
            <w:pPr>
              <w:rPr>
                <w:sz w:val="20"/>
                <w:szCs w:val="20"/>
              </w:rPr>
            </w:pPr>
            <w:r w:rsidRPr="00E86C1D">
              <w:rPr>
                <w:sz w:val="20"/>
                <w:szCs w:val="20"/>
              </w:rPr>
              <w:t>17289</w:t>
            </w:r>
          </w:p>
        </w:tc>
        <w:tc>
          <w:tcPr>
            <w:tcW w:w="786" w:type="dxa"/>
          </w:tcPr>
          <w:p w:rsidR="00DA1979" w:rsidRPr="00E86C1D" w:rsidRDefault="00DA1979" w:rsidP="00DA1979">
            <w:pPr>
              <w:rPr>
                <w:sz w:val="20"/>
                <w:szCs w:val="20"/>
              </w:rPr>
            </w:pPr>
            <w:r w:rsidRPr="00E86C1D">
              <w:rPr>
                <w:sz w:val="20"/>
                <w:szCs w:val="20"/>
              </w:rPr>
              <w:t>7123</w:t>
            </w:r>
          </w:p>
        </w:tc>
        <w:tc>
          <w:tcPr>
            <w:tcW w:w="785" w:type="dxa"/>
          </w:tcPr>
          <w:p w:rsidR="00DA1979" w:rsidRPr="00E86C1D" w:rsidRDefault="00DA1979" w:rsidP="00DA1979">
            <w:pPr>
              <w:rPr>
                <w:sz w:val="20"/>
                <w:szCs w:val="20"/>
              </w:rPr>
            </w:pPr>
            <w:r w:rsidRPr="00E86C1D">
              <w:rPr>
                <w:sz w:val="20"/>
                <w:szCs w:val="20"/>
              </w:rPr>
              <w:t>1699</w:t>
            </w:r>
          </w:p>
        </w:tc>
        <w:tc>
          <w:tcPr>
            <w:tcW w:w="785" w:type="dxa"/>
          </w:tcPr>
          <w:p w:rsidR="00DA1979" w:rsidRPr="00E86C1D" w:rsidRDefault="00DA1979" w:rsidP="00DA1979">
            <w:pPr>
              <w:rPr>
                <w:sz w:val="20"/>
                <w:szCs w:val="20"/>
              </w:rPr>
            </w:pPr>
            <w:r w:rsidRPr="00E86C1D">
              <w:rPr>
                <w:sz w:val="20"/>
                <w:szCs w:val="20"/>
              </w:rPr>
              <w:t>845</w:t>
            </w:r>
          </w:p>
        </w:tc>
        <w:tc>
          <w:tcPr>
            <w:tcW w:w="785" w:type="dxa"/>
          </w:tcPr>
          <w:p w:rsidR="00DA1979" w:rsidRPr="00E86C1D" w:rsidRDefault="00DA1979" w:rsidP="00DA1979">
            <w:pPr>
              <w:rPr>
                <w:sz w:val="20"/>
                <w:szCs w:val="20"/>
              </w:rPr>
            </w:pPr>
            <w:r w:rsidRPr="00E86C1D">
              <w:rPr>
                <w:sz w:val="20"/>
                <w:szCs w:val="20"/>
              </w:rPr>
              <w:t>413</w:t>
            </w:r>
          </w:p>
        </w:tc>
        <w:tc>
          <w:tcPr>
            <w:tcW w:w="785" w:type="dxa"/>
          </w:tcPr>
          <w:p w:rsidR="00DA1979" w:rsidRPr="00E86C1D" w:rsidRDefault="00DA1979" w:rsidP="00DA1979">
            <w:pPr>
              <w:rPr>
                <w:sz w:val="20"/>
                <w:szCs w:val="20"/>
              </w:rPr>
            </w:pPr>
            <w:r w:rsidRPr="00E86C1D">
              <w:rPr>
                <w:sz w:val="20"/>
                <w:szCs w:val="20"/>
              </w:rPr>
              <w:t>185</w:t>
            </w:r>
          </w:p>
        </w:tc>
        <w:tc>
          <w:tcPr>
            <w:tcW w:w="785" w:type="dxa"/>
          </w:tcPr>
          <w:p w:rsidR="00DA1979" w:rsidRPr="00E86C1D" w:rsidRDefault="00DA1979" w:rsidP="00DA1979">
            <w:pPr>
              <w:rPr>
                <w:sz w:val="20"/>
                <w:szCs w:val="20"/>
              </w:rPr>
            </w:pPr>
            <w:r w:rsidRPr="00E86C1D">
              <w:rPr>
                <w:sz w:val="20"/>
                <w:szCs w:val="20"/>
              </w:rPr>
              <w:t>87</w:t>
            </w:r>
          </w:p>
        </w:tc>
      </w:tr>
      <w:tr w:rsidR="00DA1979" w:rsidRPr="00E86C1D" w:rsidTr="00556BBE">
        <w:tc>
          <w:tcPr>
            <w:tcW w:w="1093" w:type="dxa"/>
          </w:tcPr>
          <w:p w:rsidR="00DA1979" w:rsidRPr="00E86C1D" w:rsidRDefault="00DA1979" w:rsidP="00DA1979">
            <w:pPr>
              <w:rPr>
                <w:sz w:val="20"/>
                <w:szCs w:val="20"/>
              </w:rPr>
            </w:pPr>
            <w:r w:rsidRPr="00E86C1D">
              <w:rPr>
                <w:sz w:val="20"/>
                <w:szCs w:val="20"/>
              </w:rPr>
              <w:t>XX3X</w:t>
            </w:r>
          </w:p>
        </w:tc>
        <w:tc>
          <w:tcPr>
            <w:tcW w:w="854" w:type="dxa"/>
          </w:tcPr>
          <w:p w:rsidR="00DA1979" w:rsidRPr="00E86C1D" w:rsidRDefault="00DA1979" w:rsidP="00DA1979">
            <w:pPr>
              <w:rPr>
                <w:sz w:val="20"/>
                <w:szCs w:val="20"/>
              </w:rPr>
            </w:pPr>
            <w:r w:rsidRPr="00E86C1D">
              <w:rPr>
                <w:sz w:val="20"/>
                <w:szCs w:val="20"/>
              </w:rPr>
              <w:t>19502</w:t>
            </w:r>
          </w:p>
        </w:tc>
        <w:tc>
          <w:tcPr>
            <w:tcW w:w="786" w:type="dxa"/>
          </w:tcPr>
          <w:p w:rsidR="00DA1979" w:rsidRPr="00E86C1D" w:rsidRDefault="00DA1979" w:rsidP="00DA1979">
            <w:pPr>
              <w:rPr>
                <w:sz w:val="20"/>
                <w:szCs w:val="20"/>
              </w:rPr>
            </w:pPr>
            <w:r w:rsidRPr="00E86C1D">
              <w:rPr>
                <w:sz w:val="20"/>
                <w:szCs w:val="20"/>
              </w:rPr>
              <w:t>14728</w:t>
            </w:r>
          </w:p>
        </w:tc>
        <w:tc>
          <w:tcPr>
            <w:tcW w:w="786" w:type="dxa"/>
          </w:tcPr>
          <w:p w:rsidR="00DA1979" w:rsidRPr="00E86C1D" w:rsidRDefault="00DA1979" w:rsidP="00DA1979">
            <w:pPr>
              <w:rPr>
                <w:sz w:val="20"/>
                <w:szCs w:val="20"/>
              </w:rPr>
            </w:pPr>
            <w:r w:rsidRPr="00E86C1D">
              <w:rPr>
                <w:sz w:val="20"/>
                <w:szCs w:val="20"/>
              </w:rPr>
              <w:t>9936</w:t>
            </w:r>
          </w:p>
        </w:tc>
        <w:tc>
          <w:tcPr>
            <w:tcW w:w="786" w:type="dxa"/>
          </w:tcPr>
          <w:p w:rsidR="00DA1979" w:rsidRPr="00E86C1D" w:rsidRDefault="00DA1979" w:rsidP="00DA1979">
            <w:pPr>
              <w:rPr>
                <w:sz w:val="20"/>
                <w:szCs w:val="20"/>
              </w:rPr>
            </w:pPr>
            <w:r w:rsidRPr="00E86C1D">
              <w:rPr>
                <w:sz w:val="20"/>
                <w:szCs w:val="20"/>
              </w:rPr>
              <w:t>4931</w:t>
            </w:r>
          </w:p>
        </w:tc>
        <w:tc>
          <w:tcPr>
            <w:tcW w:w="786" w:type="dxa"/>
          </w:tcPr>
          <w:p w:rsidR="00DA1979" w:rsidRPr="00E86C1D" w:rsidRDefault="00DA1979" w:rsidP="00DA1979">
            <w:pPr>
              <w:rPr>
                <w:sz w:val="20"/>
                <w:szCs w:val="20"/>
              </w:rPr>
            </w:pPr>
            <w:r w:rsidRPr="00E86C1D">
              <w:rPr>
                <w:sz w:val="20"/>
                <w:szCs w:val="20"/>
              </w:rPr>
              <w:t>1632</w:t>
            </w:r>
          </w:p>
        </w:tc>
        <w:tc>
          <w:tcPr>
            <w:tcW w:w="785" w:type="dxa"/>
          </w:tcPr>
          <w:p w:rsidR="00DA1979" w:rsidRPr="00E86C1D" w:rsidRDefault="00DA1979" w:rsidP="00DA1979">
            <w:pPr>
              <w:rPr>
                <w:sz w:val="20"/>
                <w:szCs w:val="20"/>
              </w:rPr>
            </w:pPr>
            <w:r w:rsidRPr="00E86C1D">
              <w:rPr>
                <w:sz w:val="20"/>
                <w:szCs w:val="20"/>
              </w:rPr>
              <w:t>550</w:t>
            </w:r>
          </w:p>
        </w:tc>
        <w:tc>
          <w:tcPr>
            <w:tcW w:w="785" w:type="dxa"/>
          </w:tcPr>
          <w:p w:rsidR="00DA1979" w:rsidRPr="00E86C1D" w:rsidRDefault="00DA1979" w:rsidP="00DA1979">
            <w:pPr>
              <w:rPr>
                <w:sz w:val="20"/>
                <w:szCs w:val="20"/>
              </w:rPr>
            </w:pPr>
            <w:r w:rsidRPr="00E86C1D">
              <w:rPr>
                <w:sz w:val="20"/>
                <w:szCs w:val="20"/>
              </w:rPr>
              <w:t>313</w:t>
            </w:r>
          </w:p>
        </w:tc>
        <w:tc>
          <w:tcPr>
            <w:tcW w:w="785" w:type="dxa"/>
          </w:tcPr>
          <w:p w:rsidR="00DA1979" w:rsidRPr="00E86C1D" w:rsidRDefault="00DA1979" w:rsidP="00DA1979">
            <w:pPr>
              <w:rPr>
                <w:sz w:val="20"/>
                <w:szCs w:val="20"/>
              </w:rPr>
            </w:pPr>
            <w:r w:rsidRPr="00E86C1D">
              <w:rPr>
                <w:sz w:val="20"/>
                <w:szCs w:val="20"/>
              </w:rPr>
              <w:t>105</w:t>
            </w:r>
          </w:p>
        </w:tc>
        <w:tc>
          <w:tcPr>
            <w:tcW w:w="785" w:type="dxa"/>
          </w:tcPr>
          <w:p w:rsidR="00DA1979" w:rsidRPr="00E86C1D" w:rsidRDefault="00DA1979" w:rsidP="00DA1979">
            <w:pPr>
              <w:rPr>
                <w:sz w:val="20"/>
                <w:szCs w:val="20"/>
              </w:rPr>
            </w:pPr>
            <w:r w:rsidRPr="00E86C1D">
              <w:rPr>
                <w:sz w:val="20"/>
                <w:szCs w:val="20"/>
              </w:rPr>
              <w:t>39</w:t>
            </w:r>
          </w:p>
        </w:tc>
        <w:tc>
          <w:tcPr>
            <w:tcW w:w="785" w:type="dxa"/>
          </w:tcPr>
          <w:p w:rsidR="00DA1979" w:rsidRPr="00E86C1D" w:rsidRDefault="00DA1979" w:rsidP="00DA1979">
            <w:pPr>
              <w:rPr>
                <w:sz w:val="20"/>
                <w:szCs w:val="20"/>
              </w:rPr>
            </w:pPr>
            <w:r w:rsidRPr="00E86C1D">
              <w:rPr>
                <w:sz w:val="20"/>
                <w:szCs w:val="20"/>
              </w:rPr>
              <w:t>&lt;20</w:t>
            </w:r>
          </w:p>
        </w:tc>
      </w:tr>
      <w:tr w:rsidR="00DA1979" w:rsidRPr="00E86C1D" w:rsidTr="00556BBE">
        <w:tc>
          <w:tcPr>
            <w:tcW w:w="1093" w:type="dxa"/>
          </w:tcPr>
          <w:p w:rsidR="00DA1979" w:rsidRPr="00E86C1D" w:rsidRDefault="00DA1979" w:rsidP="00DA1979">
            <w:pPr>
              <w:rPr>
                <w:sz w:val="20"/>
                <w:szCs w:val="20"/>
              </w:rPr>
            </w:pPr>
            <w:r w:rsidRPr="00E86C1D">
              <w:rPr>
                <w:sz w:val="20"/>
                <w:szCs w:val="20"/>
              </w:rPr>
              <w:t>XX34</w:t>
            </w:r>
          </w:p>
        </w:tc>
        <w:tc>
          <w:tcPr>
            <w:tcW w:w="854" w:type="dxa"/>
          </w:tcPr>
          <w:p w:rsidR="00DA1979" w:rsidRPr="00E86C1D" w:rsidRDefault="00DA1979" w:rsidP="00DA1979">
            <w:pPr>
              <w:rPr>
                <w:sz w:val="20"/>
                <w:szCs w:val="20"/>
              </w:rPr>
            </w:pPr>
            <w:r w:rsidRPr="00E86C1D">
              <w:rPr>
                <w:sz w:val="20"/>
                <w:szCs w:val="20"/>
              </w:rPr>
              <w:t>69248</w:t>
            </w:r>
          </w:p>
        </w:tc>
        <w:tc>
          <w:tcPr>
            <w:tcW w:w="786" w:type="dxa"/>
          </w:tcPr>
          <w:p w:rsidR="00DA1979" w:rsidRPr="00E86C1D" w:rsidRDefault="00DA1979" w:rsidP="00DA1979">
            <w:pPr>
              <w:rPr>
                <w:sz w:val="20"/>
                <w:szCs w:val="20"/>
              </w:rPr>
            </w:pPr>
            <w:r w:rsidRPr="00E86C1D">
              <w:rPr>
                <w:sz w:val="20"/>
                <w:szCs w:val="20"/>
              </w:rPr>
              <w:t>52244</w:t>
            </w:r>
          </w:p>
        </w:tc>
        <w:tc>
          <w:tcPr>
            <w:tcW w:w="786" w:type="dxa"/>
          </w:tcPr>
          <w:p w:rsidR="00DA1979" w:rsidRPr="00E86C1D" w:rsidRDefault="00DA1979" w:rsidP="00DA1979">
            <w:pPr>
              <w:rPr>
                <w:sz w:val="20"/>
                <w:szCs w:val="20"/>
              </w:rPr>
            </w:pPr>
            <w:r w:rsidRPr="00E86C1D">
              <w:rPr>
                <w:sz w:val="20"/>
                <w:szCs w:val="20"/>
              </w:rPr>
              <w:t>40105</w:t>
            </w:r>
          </w:p>
        </w:tc>
        <w:tc>
          <w:tcPr>
            <w:tcW w:w="786" w:type="dxa"/>
          </w:tcPr>
          <w:p w:rsidR="00DA1979" w:rsidRPr="00E86C1D" w:rsidRDefault="00DA1979" w:rsidP="00DA1979">
            <w:pPr>
              <w:rPr>
                <w:sz w:val="20"/>
                <w:szCs w:val="20"/>
              </w:rPr>
            </w:pPr>
            <w:r w:rsidRPr="00E86C1D">
              <w:rPr>
                <w:sz w:val="20"/>
                <w:szCs w:val="20"/>
              </w:rPr>
              <w:t>22842</w:t>
            </w:r>
          </w:p>
        </w:tc>
        <w:tc>
          <w:tcPr>
            <w:tcW w:w="786" w:type="dxa"/>
          </w:tcPr>
          <w:p w:rsidR="00DA1979" w:rsidRPr="00E86C1D" w:rsidRDefault="00DA1979" w:rsidP="00DA1979">
            <w:pPr>
              <w:rPr>
                <w:sz w:val="20"/>
                <w:szCs w:val="20"/>
              </w:rPr>
            </w:pPr>
            <w:r w:rsidRPr="00E86C1D">
              <w:rPr>
                <w:sz w:val="20"/>
                <w:szCs w:val="20"/>
              </w:rPr>
              <w:t>9674</w:t>
            </w:r>
          </w:p>
        </w:tc>
        <w:tc>
          <w:tcPr>
            <w:tcW w:w="785" w:type="dxa"/>
          </w:tcPr>
          <w:p w:rsidR="00DA1979" w:rsidRPr="00E86C1D" w:rsidRDefault="00DA1979" w:rsidP="00DA1979">
            <w:pPr>
              <w:rPr>
                <w:sz w:val="20"/>
                <w:szCs w:val="20"/>
              </w:rPr>
            </w:pPr>
            <w:r w:rsidRPr="00E86C1D">
              <w:rPr>
                <w:sz w:val="20"/>
                <w:szCs w:val="20"/>
              </w:rPr>
              <w:t>2052</w:t>
            </w:r>
          </w:p>
        </w:tc>
        <w:tc>
          <w:tcPr>
            <w:tcW w:w="785" w:type="dxa"/>
          </w:tcPr>
          <w:p w:rsidR="00DA1979" w:rsidRPr="00E86C1D" w:rsidRDefault="00DA1979" w:rsidP="00DA1979">
            <w:pPr>
              <w:rPr>
                <w:sz w:val="20"/>
                <w:szCs w:val="20"/>
              </w:rPr>
            </w:pPr>
            <w:r w:rsidRPr="00E86C1D">
              <w:rPr>
                <w:sz w:val="20"/>
                <w:szCs w:val="20"/>
              </w:rPr>
              <w:t>1089</w:t>
            </w:r>
          </w:p>
        </w:tc>
        <w:tc>
          <w:tcPr>
            <w:tcW w:w="785" w:type="dxa"/>
          </w:tcPr>
          <w:p w:rsidR="00DA1979" w:rsidRPr="00E86C1D" w:rsidRDefault="00DA1979" w:rsidP="00DA1979">
            <w:pPr>
              <w:rPr>
                <w:sz w:val="20"/>
                <w:szCs w:val="20"/>
              </w:rPr>
            </w:pPr>
            <w:r w:rsidRPr="00E86C1D">
              <w:rPr>
                <w:sz w:val="20"/>
                <w:szCs w:val="20"/>
              </w:rPr>
              <w:t>566</w:t>
            </w:r>
          </w:p>
        </w:tc>
        <w:tc>
          <w:tcPr>
            <w:tcW w:w="785" w:type="dxa"/>
          </w:tcPr>
          <w:p w:rsidR="00DA1979" w:rsidRPr="00E86C1D" w:rsidRDefault="00DA1979" w:rsidP="00DA1979">
            <w:pPr>
              <w:rPr>
                <w:sz w:val="20"/>
                <w:szCs w:val="20"/>
              </w:rPr>
            </w:pPr>
            <w:r w:rsidRPr="00E86C1D">
              <w:rPr>
                <w:sz w:val="20"/>
                <w:szCs w:val="20"/>
              </w:rPr>
              <w:t>264</w:t>
            </w:r>
          </w:p>
        </w:tc>
        <w:tc>
          <w:tcPr>
            <w:tcW w:w="785" w:type="dxa"/>
          </w:tcPr>
          <w:p w:rsidR="00DA1979" w:rsidRPr="00E86C1D" w:rsidRDefault="00DA1979" w:rsidP="00DA1979">
            <w:pPr>
              <w:rPr>
                <w:sz w:val="20"/>
                <w:szCs w:val="20"/>
              </w:rPr>
            </w:pPr>
            <w:r w:rsidRPr="00E86C1D">
              <w:rPr>
                <w:sz w:val="20"/>
                <w:szCs w:val="20"/>
              </w:rPr>
              <w:t>76</w:t>
            </w:r>
          </w:p>
        </w:tc>
      </w:tr>
      <w:tr w:rsidR="00DA1979" w:rsidRPr="00E86C1D" w:rsidTr="00556BBE">
        <w:tc>
          <w:tcPr>
            <w:tcW w:w="1093" w:type="dxa"/>
          </w:tcPr>
          <w:p w:rsidR="00DA1979" w:rsidRPr="00E86C1D" w:rsidRDefault="00DA1979" w:rsidP="00DA1979">
            <w:pPr>
              <w:rPr>
                <w:sz w:val="20"/>
                <w:szCs w:val="20"/>
              </w:rPr>
            </w:pPr>
            <w:r w:rsidRPr="00E86C1D">
              <w:rPr>
                <w:sz w:val="20"/>
                <w:szCs w:val="20"/>
              </w:rPr>
              <w:lastRenderedPageBreak/>
              <w:t>1234</w:t>
            </w:r>
          </w:p>
        </w:tc>
        <w:tc>
          <w:tcPr>
            <w:tcW w:w="854" w:type="dxa"/>
          </w:tcPr>
          <w:p w:rsidR="00DA1979" w:rsidRPr="00E86C1D" w:rsidRDefault="00DA1979" w:rsidP="00DA1979">
            <w:pPr>
              <w:rPr>
                <w:sz w:val="20"/>
                <w:szCs w:val="20"/>
              </w:rPr>
            </w:pPr>
            <w:r w:rsidRPr="00E86C1D">
              <w:rPr>
                <w:sz w:val="20"/>
                <w:szCs w:val="20"/>
              </w:rPr>
              <w:t>124121</w:t>
            </w:r>
          </w:p>
        </w:tc>
        <w:tc>
          <w:tcPr>
            <w:tcW w:w="786" w:type="dxa"/>
          </w:tcPr>
          <w:p w:rsidR="00DA1979" w:rsidRPr="00E86C1D" w:rsidRDefault="00DA1979" w:rsidP="00DA1979">
            <w:pPr>
              <w:rPr>
                <w:sz w:val="20"/>
                <w:szCs w:val="20"/>
              </w:rPr>
            </w:pPr>
            <w:r w:rsidRPr="00E86C1D">
              <w:rPr>
                <w:sz w:val="20"/>
                <w:szCs w:val="20"/>
              </w:rPr>
              <w:t>93677</w:t>
            </w:r>
          </w:p>
        </w:tc>
        <w:tc>
          <w:tcPr>
            <w:tcW w:w="786" w:type="dxa"/>
          </w:tcPr>
          <w:p w:rsidR="00DA1979" w:rsidRPr="00E86C1D" w:rsidRDefault="00DA1979" w:rsidP="00DA1979">
            <w:pPr>
              <w:rPr>
                <w:sz w:val="20"/>
                <w:szCs w:val="20"/>
              </w:rPr>
            </w:pPr>
            <w:r w:rsidRPr="00E86C1D">
              <w:rPr>
                <w:sz w:val="20"/>
                <w:szCs w:val="20"/>
              </w:rPr>
              <w:t>68219</w:t>
            </w:r>
          </w:p>
        </w:tc>
        <w:tc>
          <w:tcPr>
            <w:tcW w:w="786" w:type="dxa"/>
          </w:tcPr>
          <w:p w:rsidR="00DA1979" w:rsidRPr="00E86C1D" w:rsidRDefault="00DA1979" w:rsidP="00DA1979">
            <w:pPr>
              <w:rPr>
                <w:sz w:val="20"/>
                <w:szCs w:val="20"/>
              </w:rPr>
            </w:pPr>
            <w:r w:rsidRPr="00E86C1D">
              <w:rPr>
                <w:sz w:val="20"/>
                <w:szCs w:val="20"/>
              </w:rPr>
              <w:t>41299</w:t>
            </w:r>
          </w:p>
        </w:tc>
        <w:tc>
          <w:tcPr>
            <w:tcW w:w="786" w:type="dxa"/>
          </w:tcPr>
          <w:p w:rsidR="00DA1979" w:rsidRPr="00E86C1D" w:rsidRDefault="00DA1979" w:rsidP="00DA1979">
            <w:pPr>
              <w:rPr>
                <w:sz w:val="20"/>
                <w:szCs w:val="20"/>
              </w:rPr>
            </w:pPr>
            <w:r w:rsidRPr="00E86C1D">
              <w:rPr>
                <w:sz w:val="20"/>
                <w:szCs w:val="20"/>
              </w:rPr>
              <w:t>17611</w:t>
            </w:r>
          </w:p>
        </w:tc>
        <w:tc>
          <w:tcPr>
            <w:tcW w:w="785" w:type="dxa"/>
          </w:tcPr>
          <w:p w:rsidR="00DA1979" w:rsidRPr="00E86C1D" w:rsidRDefault="00DA1979" w:rsidP="00DA1979">
            <w:pPr>
              <w:rPr>
                <w:sz w:val="20"/>
                <w:szCs w:val="20"/>
              </w:rPr>
            </w:pPr>
            <w:r w:rsidRPr="00E86C1D">
              <w:rPr>
                <w:sz w:val="20"/>
                <w:szCs w:val="20"/>
              </w:rPr>
              <w:t>N/A</w:t>
            </w:r>
          </w:p>
        </w:tc>
        <w:tc>
          <w:tcPr>
            <w:tcW w:w="785" w:type="dxa"/>
          </w:tcPr>
          <w:p w:rsidR="00DA1979" w:rsidRPr="00E86C1D" w:rsidRDefault="00DA1979" w:rsidP="00DA1979">
            <w:pPr>
              <w:rPr>
                <w:sz w:val="20"/>
                <w:szCs w:val="20"/>
              </w:rPr>
            </w:pPr>
            <w:r w:rsidRPr="00E86C1D">
              <w:rPr>
                <w:sz w:val="20"/>
                <w:szCs w:val="20"/>
              </w:rPr>
              <w:t>N/A</w:t>
            </w:r>
          </w:p>
        </w:tc>
        <w:tc>
          <w:tcPr>
            <w:tcW w:w="785" w:type="dxa"/>
          </w:tcPr>
          <w:p w:rsidR="00DA1979" w:rsidRPr="00E86C1D" w:rsidRDefault="00DA1979" w:rsidP="00DA1979">
            <w:pPr>
              <w:rPr>
                <w:sz w:val="20"/>
                <w:szCs w:val="20"/>
              </w:rPr>
            </w:pPr>
            <w:r w:rsidRPr="00E86C1D">
              <w:rPr>
                <w:sz w:val="20"/>
                <w:szCs w:val="20"/>
              </w:rPr>
              <w:t>N/A</w:t>
            </w:r>
          </w:p>
        </w:tc>
        <w:tc>
          <w:tcPr>
            <w:tcW w:w="785" w:type="dxa"/>
          </w:tcPr>
          <w:p w:rsidR="00DA1979" w:rsidRPr="00E86C1D" w:rsidRDefault="00DA1979" w:rsidP="00DA1979">
            <w:pPr>
              <w:rPr>
                <w:sz w:val="20"/>
                <w:szCs w:val="20"/>
              </w:rPr>
            </w:pPr>
            <w:r w:rsidRPr="00E86C1D">
              <w:rPr>
                <w:sz w:val="20"/>
                <w:szCs w:val="20"/>
              </w:rPr>
              <w:t>N/A</w:t>
            </w:r>
          </w:p>
        </w:tc>
        <w:tc>
          <w:tcPr>
            <w:tcW w:w="785" w:type="dxa"/>
          </w:tcPr>
          <w:p w:rsidR="00DA1979" w:rsidRPr="00E86C1D" w:rsidRDefault="00DA1979" w:rsidP="00DA1979">
            <w:pPr>
              <w:rPr>
                <w:sz w:val="20"/>
                <w:szCs w:val="20"/>
              </w:rPr>
            </w:pPr>
            <w:r w:rsidRPr="00E86C1D">
              <w:rPr>
                <w:sz w:val="20"/>
                <w:szCs w:val="20"/>
              </w:rPr>
              <w:t>N/A</w:t>
            </w:r>
          </w:p>
        </w:tc>
      </w:tr>
    </w:tbl>
    <w:p w:rsidR="005559EA" w:rsidRDefault="005559EA" w:rsidP="005559EA"/>
    <w:p w:rsidR="005559EA" w:rsidRPr="005559EA" w:rsidRDefault="005559EA" w:rsidP="005559EA">
      <w:r w:rsidRPr="005559EA">
        <w:t>* P0toSS=participants aged from 0 to before starting school; PSto14=participants aged from starting school to 14; P15to24=participants aged from 15 to 24; P25plus=participants aged 25 and over.</w:t>
      </w:r>
    </w:p>
    <w:p w:rsidR="005559EA" w:rsidRPr="005559EA" w:rsidRDefault="005559EA" w:rsidP="005559EA">
      <w:r w:rsidRPr="005559EA">
        <w:t>** Exact participant numbers are not shown for cohorts with less than 20 participants.</w:t>
      </w:r>
    </w:p>
    <w:p w:rsidR="005559EA" w:rsidRPr="005559EA" w:rsidRDefault="005559EA" w:rsidP="005559EA">
      <w:r w:rsidRPr="005559EA">
        <w:t>*** There are no questions in the Participant Long Form (LF) that are applicable to all four age groups.</w:t>
      </w:r>
    </w:p>
    <w:p w:rsidR="00B12702" w:rsidRPr="00B12702" w:rsidRDefault="00B12702" w:rsidP="00B12702">
      <w:pPr>
        <w:pStyle w:val="Heading2"/>
      </w:pPr>
      <w:bookmarkStart w:id="25" w:name="_Toc121151402"/>
      <w:r>
        <w:t xml:space="preserve">Slide </w:t>
      </w:r>
      <w:r w:rsidR="00476864">
        <w:t>20</w:t>
      </w:r>
      <w:r>
        <w:t>: The early years: Participants aged 0 to 14</w:t>
      </w:r>
      <w:bookmarkEnd w:id="25"/>
    </w:p>
    <w:p w:rsidR="00B12702" w:rsidRDefault="00B12702" w:rsidP="00B12702">
      <w:r>
        <w:t>This slide is the cover slide for Results for each age cohort section for participants aged 0 to 14.</w:t>
      </w:r>
    </w:p>
    <w:p w:rsidR="003756C2" w:rsidRDefault="003756C2" w:rsidP="00476864">
      <w:pPr>
        <w:pStyle w:val="Heading2"/>
      </w:pPr>
      <w:bookmarkStart w:id="26" w:name="_Toc121151403"/>
      <w:r>
        <w:t xml:space="preserve">Slide </w:t>
      </w:r>
      <w:r w:rsidR="00476864">
        <w:t>21</w:t>
      </w:r>
      <w:r>
        <w:t>: Participants aged 0 to 14</w:t>
      </w:r>
      <w:bookmarkEnd w:id="26"/>
    </w:p>
    <w:p w:rsidR="003756C2" w:rsidRPr="003756C2" w:rsidRDefault="003756C2" w:rsidP="003756C2">
      <w:pPr>
        <w:pStyle w:val="Heading5"/>
      </w:pPr>
      <w:r>
        <w:t>Domains and outcomes</w:t>
      </w:r>
    </w:p>
    <w:p w:rsidR="003756C2" w:rsidRPr="003756C2" w:rsidRDefault="003756C2" w:rsidP="003756C2">
      <w:r w:rsidRPr="003756C2">
        <w:t>For children aged 0 to 14, the outcomes framework seeks to measure the extent to which participants are reaching the following outcomes.</w:t>
      </w:r>
    </w:p>
    <w:p w:rsidR="00B12702" w:rsidRDefault="00170F5D" w:rsidP="00170F5D">
      <w:pPr>
        <w:pStyle w:val="Heading5"/>
      </w:pPr>
      <w:r>
        <w:t>Daily living – development and independence</w:t>
      </w:r>
    </w:p>
    <w:p w:rsidR="00170F5D" w:rsidRPr="00170F5D" w:rsidRDefault="00170F5D" w:rsidP="00170F5D">
      <w:pPr>
        <w:rPr>
          <w:b/>
        </w:rPr>
      </w:pPr>
      <w:r w:rsidRPr="00170F5D">
        <w:rPr>
          <w:b/>
        </w:rPr>
        <w:t xml:space="preserve">0 to before starting school: </w:t>
      </w:r>
    </w:p>
    <w:p w:rsidR="00170F5D" w:rsidRDefault="00170F5D" w:rsidP="00B83265">
      <w:pPr>
        <w:pStyle w:val="ListParagraph"/>
        <w:numPr>
          <w:ilvl w:val="0"/>
          <w:numId w:val="14"/>
        </w:numPr>
      </w:pPr>
      <w:r>
        <w:t>Gaining functional, developmental and coping skills appropriate to their ability and circumstances.</w:t>
      </w:r>
    </w:p>
    <w:p w:rsidR="00170F5D" w:rsidRDefault="00170F5D" w:rsidP="00B83265">
      <w:pPr>
        <w:pStyle w:val="ListParagraph"/>
        <w:numPr>
          <w:ilvl w:val="0"/>
          <w:numId w:val="14"/>
        </w:numPr>
      </w:pPr>
      <w:r>
        <w:t>Showing evidence of autonomy in their everyday lives</w:t>
      </w:r>
    </w:p>
    <w:p w:rsidR="00170F5D" w:rsidRPr="00170F5D" w:rsidRDefault="00170F5D" w:rsidP="00170F5D">
      <w:pPr>
        <w:rPr>
          <w:b/>
        </w:rPr>
      </w:pPr>
      <w:r w:rsidRPr="00170F5D">
        <w:rPr>
          <w:b/>
        </w:rPr>
        <w:t xml:space="preserve">School to 14: </w:t>
      </w:r>
    </w:p>
    <w:p w:rsidR="00170F5D" w:rsidRDefault="00170F5D" w:rsidP="00B83265">
      <w:pPr>
        <w:pStyle w:val="ListParagraph"/>
        <w:numPr>
          <w:ilvl w:val="0"/>
          <w:numId w:val="15"/>
        </w:numPr>
      </w:pPr>
      <w:r>
        <w:t>Growing in independence</w:t>
      </w:r>
    </w:p>
    <w:p w:rsidR="00170F5D" w:rsidRDefault="00170F5D" w:rsidP="00170F5D">
      <w:pPr>
        <w:pStyle w:val="Heading5"/>
      </w:pPr>
      <w:r>
        <w:t>Daily living – specialist services</w:t>
      </w:r>
    </w:p>
    <w:p w:rsidR="00170F5D" w:rsidRPr="00170F5D" w:rsidRDefault="00170F5D" w:rsidP="00170F5D">
      <w:pPr>
        <w:rPr>
          <w:b/>
        </w:rPr>
      </w:pPr>
      <w:r w:rsidRPr="00170F5D">
        <w:rPr>
          <w:b/>
        </w:rPr>
        <w:t xml:space="preserve">0 to before starting school: </w:t>
      </w:r>
    </w:p>
    <w:p w:rsidR="00170F5D" w:rsidRPr="00170F5D" w:rsidRDefault="00170F5D" w:rsidP="00B83265">
      <w:pPr>
        <w:pStyle w:val="ListParagraph"/>
        <w:numPr>
          <w:ilvl w:val="0"/>
          <w:numId w:val="15"/>
        </w:numPr>
      </w:pPr>
      <w:r w:rsidRPr="00170F5D">
        <w:t xml:space="preserve">Using </w:t>
      </w:r>
      <w:r>
        <w:t>specialist services that assist them to be included in families and communities.</w:t>
      </w:r>
    </w:p>
    <w:p w:rsidR="00170F5D" w:rsidRPr="00170F5D" w:rsidRDefault="00170F5D" w:rsidP="00170F5D">
      <w:pPr>
        <w:rPr>
          <w:b/>
        </w:rPr>
      </w:pPr>
      <w:r w:rsidRPr="00170F5D">
        <w:rPr>
          <w:b/>
        </w:rPr>
        <w:t xml:space="preserve">School to 14: </w:t>
      </w:r>
    </w:p>
    <w:p w:rsidR="00170F5D" w:rsidRDefault="00170F5D" w:rsidP="00B83265">
      <w:pPr>
        <w:pStyle w:val="ListParagraph"/>
        <w:numPr>
          <w:ilvl w:val="0"/>
          <w:numId w:val="15"/>
        </w:numPr>
      </w:pPr>
      <w:r>
        <w:t>N/A</w:t>
      </w:r>
    </w:p>
    <w:p w:rsidR="00170F5D" w:rsidRDefault="00170F5D" w:rsidP="00170F5D">
      <w:pPr>
        <w:pStyle w:val="Heading5"/>
      </w:pPr>
      <w:r>
        <w:t xml:space="preserve">Relationships </w:t>
      </w:r>
    </w:p>
    <w:p w:rsidR="00170F5D" w:rsidRDefault="00170F5D" w:rsidP="00170F5D">
      <w:pPr>
        <w:rPr>
          <w:b/>
        </w:rPr>
      </w:pPr>
      <w:r w:rsidRPr="00170F5D">
        <w:rPr>
          <w:b/>
        </w:rPr>
        <w:t xml:space="preserve">0 to before starting school: </w:t>
      </w:r>
    </w:p>
    <w:p w:rsidR="00170F5D" w:rsidRPr="00170F5D" w:rsidRDefault="00170F5D" w:rsidP="00B83265">
      <w:pPr>
        <w:pStyle w:val="ListParagraph"/>
        <w:numPr>
          <w:ilvl w:val="0"/>
          <w:numId w:val="15"/>
        </w:numPr>
      </w:pPr>
      <w:r w:rsidRPr="00170F5D">
        <w:t>Participating meaningfully in family life.</w:t>
      </w:r>
    </w:p>
    <w:p w:rsidR="00170F5D" w:rsidRDefault="00170F5D" w:rsidP="00170F5D">
      <w:pPr>
        <w:rPr>
          <w:b/>
        </w:rPr>
      </w:pPr>
      <w:r w:rsidRPr="00170F5D">
        <w:rPr>
          <w:b/>
        </w:rPr>
        <w:t xml:space="preserve">School to 14: </w:t>
      </w:r>
    </w:p>
    <w:p w:rsidR="00170F5D" w:rsidRPr="00170F5D" w:rsidRDefault="00170F5D" w:rsidP="00B83265">
      <w:pPr>
        <w:pStyle w:val="ListParagraph"/>
        <w:numPr>
          <w:ilvl w:val="0"/>
          <w:numId w:val="15"/>
        </w:numPr>
      </w:pPr>
      <w:r w:rsidRPr="00170F5D">
        <w:t>Forming friendships with peers and having positive relationship with family.</w:t>
      </w:r>
    </w:p>
    <w:p w:rsidR="00170F5D" w:rsidRDefault="00170F5D" w:rsidP="00790986">
      <w:pPr>
        <w:pStyle w:val="Heading5"/>
      </w:pPr>
      <w:r>
        <w:t>Social, community and civic participation</w:t>
      </w:r>
    </w:p>
    <w:p w:rsidR="00170F5D" w:rsidRDefault="00170F5D" w:rsidP="00170F5D">
      <w:pPr>
        <w:rPr>
          <w:b/>
        </w:rPr>
      </w:pPr>
      <w:r w:rsidRPr="00170F5D">
        <w:rPr>
          <w:b/>
        </w:rPr>
        <w:t xml:space="preserve">0 to before starting school: </w:t>
      </w:r>
    </w:p>
    <w:p w:rsidR="00170F5D" w:rsidRPr="00170F5D" w:rsidRDefault="00170F5D" w:rsidP="00B83265">
      <w:pPr>
        <w:pStyle w:val="ListParagraph"/>
        <w:numPr>
          <w:ilvl w:val="0"/>
          <w:numId w:val="15"/>
        </w:numPr>
      </w:pPr>
      <w:r w:rsidRPr="00170F5D">
        <w:t xml:space="preserve">Participating meaningfully in </w:t>
      </w:r>
      <w:r>
        <w:t>community life.</w:t>
      </w:r>
    </w:p>
    <w:p w:rsidR="00170F5D" w:rsidRDefault="00170F5D" w:rsidP="00170F5D">
      <w:pPr>
        <w:rPr>
          <w:b/>
        </w:rPr>
      </w:pPr>
      <w:r w:rsidRPr="00170F5D">
        <w:rPr>
          <w:b/>
        </w:rPr>
        <w:t xml:space="preserve">School to 14: </w:t>
      </w:r>
    </w:p>
    <w:p w:rsidR="00170F5D" w:rsidRDefault="00170F5D" w:rsidP="00B83265">
      <w:pPr>
        <w:pStyle w:val="ListParagraph"/>
        <w:numPr>
          <w:ilvl w:val="0"/>
          <w:numId w:val="15"/>
        </w:numPr>
      </w:pPr>
      <w:r>
        <w:t>Participating in local social and recreational activities.</w:t>
      </w:r>
    </w:p>
    <w:p w:rsidR="00170F5D" w:rsidRPr="00170F5D" w:rsidRDefault="00170F5D" w:rsidP="00170F5D">
      <w:pPr>
        <w:pStyle w:val="Heading5"/>
      </w:pPr>
      <w:r>
        <w:lastRenderedPageBreak/>
        <w:t>Lifelong learning</w:t>
      </w:r>
    </w:p>
    <w:p w:rsidR="00170F5D" w:rsidRPr="00170F5D" w:rsidRDefault="00170F5D" w:rsidP="00170F5D">
      <w:pPr>
        <w:rPr>
          <w:b/>
        </w:rPr>
      </w:pPr>
      <w:r w:rsidRPr="00170F5D">
        <w:rPr>
          <w:b/>
        </w:rPr>
        <w:t xml:space="preserve">0 to before starting school: </w:t>
      </w:r>
    </w:p>
    <w:p w:rsidR="00170F5D" w:rsidRDefault="00170F5D" w:rsidP="00B83265">
      <w:pPr>
        <w:pStyle w:val="ListParagraph"/>
        <w:numPr>
          <w:ilvl w:val="0"/>
          <w:numId w:val="15"/>
        </w:numPr>
      </w:pPr>
      <w:r>
        <w:t>N/A</w:t>
      </w:r>
    </w:p>
    <w:p w:rsidR="00170F5D" w:rsidRPr="00170F5D" w:rsidRDefault="00170F5D" w:rsidP="00170F5D">
      <w:pPr>
        <w:rPr>
          <w:b/>
        </w:rPr>
      </w:pPr>
      <w:r w:rsidRPr="00170F5D">
        <w:rPr>
          <w:b/>
        </w:rPr>
        <w:t xml:space="preserve">School to 14: </w:t>
      </w:r>
    </w:p>
    <w:p w:rsidR="00170F5D" w:rsidRPr="00A270E2" w:rsidRDefault="00170F5D" w:rsidP="00B83265">
      <w:pPr>
        <w:pStyle w:val="ListParagraph"/>
        <w:numPr>
          <w:ilvl w:val="0"/>
          <w:numId w:val="15"/>
        </w:numPr>
      </w:pPr>
      <w:r>
        <w:t>Being welcomed and educated in their local school.</w:t>
      </w:r>
    </w:p>
    <w:p w:rsidR="00170F5D" w:rsidRDefault="00170F5D" w:rsidP="00170F5D">
      <w:pPr>
        <w:pStyle w:val="Heading2"/>
      </w:pPr>
      <w:bookmarkStart w:id="27" w:name="_Toc121151404"/>
      <w:r>
        <w:t>Slide 22: Participants aged 0 to 14</w:t>
      </w:r>
      <w:bookmarkEnd w:id="27"/>
    </w:p>
    <w:p w:rsidR="00F305F7" w:rsidRDefault="00170F5D" w:rsidP="00170F5D">
      <w:pPr>
        <w:pStyle w:val="Heading5"/>
      </w:pPr>
      <w:r>
        <w:t>Summary of changes</w:t>
      </w:r>
    </w:p>
    <w:p w:rsidR="00361E39" w:rsidRPr="00361E39" w:rsidRDefault="00361E39" w:rsidP="00361E39">
      <w:r>
        <w:t>Number of indicators with significant and material overall change by domain (</w:t>
      </w:r>
      <w:r w:rsidR="0080201D">
        <w:t>Footnote 1</w:t>
      </w:r>
      <w:r>
        <w:t>)</w:t>
      </w:r>
    </w:p>
    <w:tbl>
      <w:tblPr>
        <w:tblW w:w="9340" w:type="dxa"/>
        <w:tblLook w:val="04A0" w:firstRow="1" w:lastRow="0" w:firstColumn="1" w:lastColumn="0" w:noHBand="0" w:noVBand="1"/>
      </w:tblPr>
      <w:tblGrid>
        <w:gridCol w:w="3860"/>
        <w:gridCol w:w="1620"/>
        <w:gridCol w:w="2200"/>
        <w:gridCol w:w="1660"/>
      </w:tblGrid>
      <w:tr w:rsidR="00361E39" w:rsidRPr="00CF6AA4" w:rsidTr="007E7D11">
        <w:trPr>
          <w:trHeight w:val="300"/>
        </w:trPr>
        <w:tc>
          <w:tcPr>
            <w:tcW w:w="3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E39" w:rsidRPr="00CF6AA4" w:rsidRDefault="00361E39" w:rsidP="007E7D11">
            <w:pPr>
              <w:spacing w:after="0" w:line="240" w:lineRule="auto"/>
              <w:rPr>
                <w:rFonts w:ascii="Calibri" w:eastAsia="Times New Roman" w:hAnsi="Calibri" w:cs="Calibri"/>
                <w:b/>
                <w:bCs/>
                <w:color w:val="000000"/>
                <w:lang w:eastAsia="en-AU"/>
              </w:rPr>
            </w:pPr>
            <w:r w:rsidRPr="00CF6AA4">
              <w:rPr>
                <w:rFonts w:ascii="Calibri" w:eastAsia="Times New Roman" w:hAnsi="Calibri" w:cs="Calibri"/>
                <w:b/>
                <w:bCs/>
                <w:color w:val="000000"/>
                <w:lang w:eastAsia="en-AU"/>
              </w:rPr>
              <w:t>Domain</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361E39" w:rsidRPr="00CF6AA4" w:rsidRDefault="00361E39" w:rsidP="007E7D11">
            <w:pPr>
              <w:spacing w:after="0" w:line="240" w:lineRule="auto"/>
              <w:jc w:val="right"/>
              <w:rPr>
                <w:rFonts w:ascii="Calibri" w:eastAsia="Times New Roman" w:hAnsi="Calibri" w:cs="Calibri"/>
                <w:b/>
                <w:bCs/>
                <w:color w:val="000000"/>
                <w:lang w:eastAsia="en-AU"/>
              </w:rPr>
            </w:pPr>
            <w:r w:rsidRPr="00CF6AA4">
              <w:rPr>
                <w:rFonts w:ascii="Calibri" w:eastAsia="Times New Roman" w:hAnsi="Calibri" w:cs="Calibri"/>
                <w:b/>
                <w:bCs/>
                <w:color w:val="000000"/>
                <w:lang w:eastAsia="en-AU"/>
              </w:rPr>
              <w:t>Improvement</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361E39" w:rsidRPr="00CF6AA4" w:rsidRDefault="00361E39" w:rsidP="007E7D11">
            <w:pPr>
              <w:spacing w:after="0" w:line="240" w:lineRule="auto"/>
              <w:jc w:val="right"/>
              <w:rPr>
                <w:rFonts w:ascii="Calibri" w:eastAsia="Times New Roman" w:hAnsi="Calibri" w:cs="Calibri"/>
                <w:b/>
                <w:bCs/>
                <w:color w:val="000000"/>
                <w:lang w:eastAsia="en-AU"/>
              </w:rPr>
            </w:pPr>
            <w:r w:rsidRPr="00CF6AA4">
              <w:rPr>
                <w:rFonts w:ascii="Calibri" w:eastAsia="Times New Roman" w:hAnsi="Calibri" w:cs="Calibri"/>
                <w:b/>
                <w:bCs/>
                <w:color w:val="000000"/>
                <w:lang w:eastAsia="en-AU"/>
              </w:rPr>
              <w:t>Context Dependent</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361E39" w:rsidRPr="00CF6AA4" w:rsidRDefault="00361E39" w:rsidP="007E7D11">
            <w:pPr>
              <w:spacing w:after="0" w:line="240" w:lineRule="auto"/>
              <w:jc w:val="right"/>
              <w:rPr>
                <w:rFonts w:ascii="Calibri" w:eastAsia="Times New Roman" w:hAnsi="Calibri" w:cs="Calibri"/>
                <w:b/>
                <w:bCs/>
                <w:color w:val="000000"/>
                <w:lang w:eastAsia="en-AU"/>
              </w:rPr>
            </w:pPr>
            <w:r w:rsidRPr="00CF6AA4">
              <w:rPr>
                <w:rFonts w:ascii="Calibri" w:eastAsia="Times New Roman" w:hAnsi="Calibri" w:cs="Calibri"/>
                <w:b/>
                <w:bCs/>
                <w:color w:val="000000"/>
                <w:lang w:eastAsia="en-AU"/>
              </w:rPr>
              <w:t>Deterioration</w:t>
            </w:r>
          </w:p>
        </w:tc>
      </w:tr>
      <w:tr w:rsidR="00361E39" w:rsidRPr="00CF6AA4" w:rsidTr="007E7D11">
        <w:trPr>
          <w:trHeight w:val="300"/>
        </w:trPr>
        <w:tc>
          <w:tcPr>
            <w:tcW w:w="3860" w:type="dxa"/>
            <w:tcBorders>
              <w:top w:val="nil"/>
              <w:left w:val="single" w:sz="4" w:space="0" w:color="auto"/>
              <w:bottom w:val="single" w:sz="4" w:space="0" w:color="auto"/>
              <w:right w:val="single" w:sz="4" w:space="0" w:color="auto"/>
            </w:tcBorders>
            <w:shd w:val="clear" w:color="auto" w:fill="auto"/>
            <w:noWrap/>
            <w:hideMark/>
          </w:tcPr>
          <w:p w:rsidR="00361E39" w:rsidRPr="00C30175" w:rsidRDefault="00361E39" w:rsidP="007E7D11">
            <w:pPr>
              <w:spacing w:after="0"/>
            </w:pPr>
            <w:r w:rsidRPr="00C30175">
              <w:t>Daily living</w:t>
            </w:r>
          </w:p>
        </w:tc>
        <w:tc>
          <w:tcPr>
            <w:tcW w:w="1620" w:type="dxa"/>
            <w:tcBorders>
              <w:top w:val="nil"/>
              <w:left w:val="nil"/>
              <w:bottom w:val="single" w:sz="4" w:space="0" w:color="auto"/>
              <w:right w:val="single" w:sz="4" w:space="0" w:color="auto"/>
            </w:tcBorders>
            <w:shd w:val="clear" w:color="auto" w:fill="auto"/>
            <w:noWrap/>
            <w:hideMark/>
          </w:tcPr>
          <w:p w:rsidR="00361E39" w:rsidRPr="00160272" w:rsidRDefault="00361E39" w:rsidP="007E7D11">
            <w:pPr>
              <w:spacing w:after="0"/>
              <w:jc w:val="right"/>
            </w:pPr>
            <w:r>
              <w:t>7</w:t>
            </w:r>
          </w:p>
        </w:tc>
        <w:tc>
          <w:tcPr>
            <w:tcW w:w="2200" w:type="dxa"/>
            <w:tcBorders>
              <w:top w:val="nil"/>
              <w:left w:val="nil"/>
              <w:bottom w:val="single" w:sz="4" w:space="0" w:color="auto"/>
              <w:right w:val="single" w:sz="4" w:space="0" w:color="auto"/>
            </w:tcBorders>
            <w:shd w:val="clear" w:color="auto" w:fill="auto"/>
            <w:noWrap/>
            <w:hideMark/>
          </w:tcPr>
          <w:p w:rsidR="00361E39" w:rsidRPr="00160272" w:rsidRDefault="00361E39" w:rsidP="007E7D11">
            <w:pPr>
              <w:spacing w:after="0"/>
              <w:jc w:val="right"/>
            </w:pPr>
            <w:r>
              <w:t>2</w:t>
            </w:r>
          </w:p>
        </w:tc>
        <w:tc>
          <w:tcPr>
            <w:tcW w:w="1660" w:type="dxa"/>
            <w:tcBorders>
              <w:top w:val="nil"/>
              <w:left w:val="nil"/>
              <w:bottom w:val="single" w:sz="4" w:space="0" w:color="auto"/>
              <w:right w:val="single" w:sz="4" w:space="0" w:color="auto"/>
            </w:tcBorders>
            <w:shd w:val="clear" w:color="auto" w:fill="auto"/>
            <w:noWrap/>
            <w:hideMark/>
          </w:tcPr>
          <w:p w:rsidR="00361E39" w:rsidRPr="00160272" w:rsidRDefault="00361E39" w:rsidP="007E7D11">
            <w:pPr>
              <w:spacing w:after="0"/>
              <w:jc w:val="right"/>
            </w:pPr>
            <w:r>
              <w:t>1</w:t>
            </w:r>
          </w:p>
        </w:tc>
      </w:tr>
      <w:tr w:rsidR="00361E39" w:rsidRPr="00CF6AA4" w:rsidTr="007E7D11">
        <w:trPr>
          <w:trHeight w:val="285"/>
        </w:trPr>
        <w:tc>
          <w:tcPr>
            <w:tcW w:w="3860" w:type="dxa"/>
            <w:tcBorders>
              <w:top w:val="nil"/>
              <w:left w:val="single" w:sz="4" w:space="0" w:color="auto"/>
              <w:bottom w:val="single" w:sz="4" w:space="0" w:color="auto"/>
              <w:right w:val="single" w:sz="4" w:space="0" w:color="auto"/>
            </w:tcBorders>
            <w:shd w:val="clear" w:color="auto" w:fill="auto"/>
            <w:noWrap/>
            <w:hideMark/>
          </w:tcPr>
          <w:p w:rsidR="00361E39" w:rsidRPr="00C30175" w:rsidRDefault="00361E39" w:rsidP="007E7D11">
            <w:pPr>
              <w:spacing w:after="0"/>
            </w:pPr>
            <w:r w:rsidRPr="00C30175">
              <w:t>Lifelong learning</w:t>
            </w:r>
          </w:p>
        </w:tc>
        <w:tc>
          <w:tcPr>
            <w:tcW w:w="1620" w:type="dxa"/>
            <w:tcBorders>
              <w:top w:val="nil"/>
              <w:left w:val="nil"/>
              <w:bottom w:val="single" w:sz="4" w:space="0" w:color="auto"/>
              <w:right w:val="single" w:sz="4" w:space="0" w:color="auto"/>
            </w:tcBorders>
            <w:shd w:val="clear" w:color="auto" w:fill="auto"/>
            <w:noWrap/>
            <w:hideMark/>
          </w:tcPr>
          <w:p w:rsidR="00361E39" w:rsidRPr="00160272" w:rsidRDefault="00361E39" w:rsidP="007E7D11">
            <w:pPr>
              <w:spacing w:after="0"/>
              <w:jc w:val="right"/>
            </w:pPr>
            <w:r>
              <w:t>2</w:t>
            </w:r>
          </w:p>
        </w:tc>
        <w:tc>
          <w:tcPr>
            <w:tcW w:w="2200" w:type="dxa"/>
            <w:tcBorders>
              <w:top w:val="nil"/>
              <w:left w:val="nil"/>
              <w:bottom w:val="single" w:sz="4" w:space="0" w:color="auto"/>
              <w:right w:val="single" w:sz="4" w:space="0" w:color="auto"/>
            </w:tcBorders>
            <w:shd w:val="clear" w:color="auto" w:fill="auto"/>
            <w:noWrap/>
            <w:hideMark/>
          </w:tcPr>
          <w:p w:rsidR="00361E39" w:rsidRPr="00160272" w:rsidRDefault="00361E39" w:rsidP="007E7D11">
            <w:pPr>
              <w:spacing w:after="0"/>
              <w:jc w:val="right"/>
            </w:pPr>
            <w:r w:rsidRPr="00160272">
              <w:t>0</w:t>
            </w:r>
          </w:p>
        </w:tc>
        <w:tc>
          <w:tcPr>
            <w:tcW w:w="1660" w:type="dxa"/>
            <w:tcBorders>
              <w:top w:val="nil"/>
              <w:left w:val="nil"/>
              <w:bottom w:val="single" w:sz="4" w:space="0" w:color="auto"/>
              <w:right w:val="single" w:sz="4" w:space="0" w:color="auto"/>
            </w:tcBorders>
            <w:shd w:val="clear" w:color="auto" w:fill="auto"/>
            <w:noWrap/>
            <w:hideMark/>
          </w:tcPr>
          <w:p w:rsidR="00361E39" w:rsidRPr="00160272" w:rsidRDefault="00361E39" w:rsidP="007E7D11">
            <w:pPr>
              <w:spacing w:after="0"/>
              <w:jc w:val="right"/>
            </w:pPr>
            <w:r w:rsidRPr="00160272">
              <w:t>1</w:t>
            </w:r>
          </w:p>
        </w:tc>
      </w:tr>
      <w:tr w:rsidR="00361E39" w:rsidRPr="00CF6AA4" w:rsidTr="007E7D11">
        <w:trPr>
          <w:trHeight w:val="285"/>
        </w:trPr>
        <w:tc>
          <w:tcPr>
            <w:tcW w:w="3860" w:type="dxa"/>
            <w:tcBorders>
              <w:top w:val="nil"/>
              <w:left w:val="single" w:sz="4" w:space="0" w:color="auto"/>
              <w:bottom w:val="single" w:sz="4" w:space="0" w:color="auto"/>
              <w:right w:val="single" w:sz="4" w:space="0" w:color="auto"/>
            </w:tcBorders>
            <w:shd w:val="clear" w:color="auto" w:fill="auto"/>
            <w:noWrap/>
            <w:hideMark/>
          </w:tcPr>
          <w:p w:rsidR="00361E39" w:rsidRPr="00C30175" w:rsidRDefault="00361E39" w:rsidP="007E7D11">
            <w:pPr>
              <w:spacing w:after="0"/>
            </w:pPr>
            <w:r w:rsidRPr="00C30175">
              <w:t>Relationships</w:t>
            </w:r>
          </w:p>
        </w:tc>
        <w:tc>
          <w:tcPr>
            <w:tcW w:w="1620" w:type="dxa"/>
            <w:tcBorders>
              <w:top w:val="nil"/>
              <w:left w:val="nil"/>
              <w:bottom w:val="single" w:sz="4" w:space="0" w:color="auto"/>
              <w:right w:val="single" w:sz="4" w:space="0" w:color="auto"/>
            </w:tcBorders>
            <w:shd w:val="clear" w:color="auto" w:fill="auto"/>
            <w:noWrap/>
            <w:hideMark/>
          </w:tcPr>
          <w:p w:rsidR="00361E39" w:rsidRPr="00160272" w:rsidRDefault="00361E39" w:rsidP="007E7D11">
            <w:pPr>
              <w:spacing w:after="0"/>
              <w:jc w:val="right"/>
            </w:pPr>
            <w:r>
              <w:t>2</w:t>
            </w:r>
          </w:p>
        </w:tc>
        <w:tc>
          <w:tcPr>
            <w:tcW w:w="2200" w:type="dxa"/>
            <w:tcBorders>
              <w:top w:val="nil"/>
              <w:left w:val="nil"/>
              <w:bottom w:val="single" w:sz="4" w:space="0" w:color="auto"/>
              <w:right w:val="single" w:sz="4" w:space="0" w:color="auto"/>
            </w:tcBorders>
            <w:shd w:val="clear" w:color="auto" w:fill="auto"/>
            <w:noWrap/>
            <w:hideMark/>
          </w:tcPr>
          <w:p w:rsidR="00361E39" w:rsidRPr="00160272" w:rsidRDefault="00361E39" w:rsidP="007E7D11">
            <w:pPr>
              <w:spacing w:after="0"/>
              <w:jc w:val="right"/>
            </w:pPr>
            <w:r w:rsidRPr="00160272">
              <w:t>0</w:t>
            </w:r>
          </w:p>
        </w:tc>
        <w:tc>
          <w:tcPr>
            <w:tcW w:w="1660" w:type="dxa"/>
            <w:tcBorders>
              <w:top w:val="nil"/>
              <w:left w:val="nil"/>
              <w:bottom w:val="single" w:sz="4" w:space="0" w:color="auto"/>
              <w:right w:val="single" w:sz="4" w:space="0" w:color="auto"/>
            </w:tcBorders>
            <w:shd w:val="clear" w:color="auto" w:fill="auto"/>
            <w:noWrap/>
            <w:hideMark/>
          </w:tcPr>
          <w:p w:rsidR="00361E39" w:rsidRPr="00160272" w:rsidRDefault="00361E39" w:rsidP="007E7D11">
            <w:pPr>
              <w:spacing w:after="0"/>
              <w:jc w:val="right"/>
            </w:pPr>
            <w:r>
              <w:t>1</w:t>
            </w:r>
          </w:p>
        </w:tc>
      </w:tr>
      <w:tr w:rsidR="00361E39" w:rsidRPr="00CF6AA4" w:rsidTr="007E7D11">
        <w:trPr>
          <w:trHeight w:val="285"/>
        </w:trPr>
        <w:tc>
          <w:tcPr>
            <w:tcW w:w="3860" w:type="dxa"/>
            <w:tcBorders>
              <w:top w:val="nil"/>
              <w:left w:val="single" w:sz="4" w:space="0" w:color="auto"/>
              <w:bottom w:val="single" w:sz="4" w:space="0" w:color="auto"/>
              <w:right w:val="single" w:sz="4" w:space="0" w:color="auto"/>
            </w:tcBorders>
            <w:shd w:val="clear" w:color="auto" w:fill="auto"/>
            <w:noWrap/>
            <w:hideMark/>
          </w:tcPr>
          <w:p w:rsidR="00361E39" w:rsidRPr="00C30175" w:rsidRDefault="00361E39" w:rsidP="007E7D11">
            <w:pPr>
              <w:spacing w:after="0"/>
            </w:pPr>
            <w:r w:rsidRPr="00C30175">
              <w:t>Social and community participation</w:t>
            </w:r>
          </w:p>
        </w:tc>
        <w:tc>
          <w:tcPr>
            <w:tcW w:w="1620" w:type="dxa"/>
            <w:tcBorders>
              <w:top w:val="nil"/>
              <w:left w:val="nil"/>
              <w:bottom w:val="single" w:sz="4" w:space="0" w:color="auto"/>
              <w:right w:val="single" w:sz="4" w:space="0" w:color="auto"/>
            </w:tcBorders>
            <w:shd w:val="clear" w:color="auto" w:fill="auto"/>
            <w:noWrap/>
            <w:hideMark/>
          </w:tcPr>
          <w:p w:rsidR="00361E39" w:rsidRPr="00160272" w:rsidRDefault="00361E39" w:rsidP="007E7D11">
            <w:pPr>
              <w:spacing w:after="0"/>
              <w:jc w:val="right"/>
            </w:pPr>
            <w:r>
              <w:t>2</w:t>
            </w:r>
          </w:p>
        </w:tc>
        <w:tc>
          <w:tcPr>
            <w:tcW w:w="2200" w:type="dxa"/>
            <w:tcBorders>
              <w:top w:val="nil"/>
              <w:left w:val="nil"/>
              <w:bottom w:val="single" w:sz="4" w:space="0" w:color="auto"/>
              <w:right w:val="single" w:sz="4" w:space="0" w:color="auto"/>
            </w:tcBorders>
            <w:shd w:val="clear" w:color="auto" w:fill="auto"/>
            <w:noWrap/>
            <w:hideMark/>
          </w:tcPr>
          <w:p w:rsidR="00361E39" w:rsidRPr="00160272" w:rsidRDefault="00361E39" w:rsidP="007E7D11">
            <w:pPr>
              <w:spacing w:after="0"/>
              <w:jc w:val="right"/>
            </w:pPr>
            <w:r>
              <w:t>2</w:t>
            </w:r>
          </w:p>
        </w:tc>
        <w:tc>
          <w:tcPr>
            <w:tcW w:w="1660" w:type="dxa"/>
            <w:tcBorders>
              <w:top w:val="nil"/>
              <w:left w:val="nil"/>
              <w:bottom w:val="single" w:sz="4" w:space="0" w:color="auto"/>
              <w:right w:val="single" w:sz="4" w:space="0" w:color="auto"/>
            </w:tcBorders>
            <w:shd w:val="clear" w:color="auto" w:fill="auto"/>
            <w:noWrap/>
            <w:hideMark/>
          </w:tcPr>
          <w:p w:rsidR="00361E39" w:rsidRPr="00160272" w:rsidRDefault="00361E39" w:rsidP="007E7D11">
            <w:pPr>
              <w:spacing w:after="0"/>
              <w:jc w:val="right"/>
            </w:pPr>
            <w:r>
              <w:t>3</w:t>
            </w:r>
          </w:p>
        </w:tc>
      </w:tr>
      <w:tr w:rsidR="00361E39" w:rsidRPr="00CF6AA4" w:rsidTr="007E7D11">
        <w:trPr>
          <w:trHeight w:val="285"/>
        </w:trPr>
        <w:tc>
          <w:tcPr>
            <w:tcW w:w="3860" w:type="dxa"/>
            <w:tcBorders>
              <w:top w:val="nil"/>
              <w:left w:val="single" w:sz="4" w:space="0" w:color="auto"/>
              <w:bottom w:val="single" w:sz="4" w:space="0" w:color="auto"/>
              <w:right w:val="single" w:sz="4" w:space="0" w:color="auto"/>
            </w:tcBorders>
            <w:shd w:val="clear" w:color="auto" w:fill="auto"/>
            <w:noWrap/>
            <w:hideMark/>
          </w:tcPr>
          <w:p w:rsidR="00361E39" w:rsidRDefault="00361E39" w:rsidP="007E7D11">
            <w:pPr>
              <w:spacing w:after="0"/>
            </w:pPr>
            <w:r w:rsidRPr="00C30175">
              <w:t>Overall</w:t>
            </w:r>
          </w:p>
        </w:tc>
        <w:tc>
          <w:tcPr>
            <w:tcW w:w="1620" w:type="dxa"/>
            <w:tcBorders>
              <w:top w:val="nil"/>
              <w:left w:val="nil"/>
              <w:bottom w:val="single" w:sz="4" w:space="0" w:color="auto"/>
              <w:right w:val="single" w:sz="4" w:space="0" w:color="auto"/>
            </w:tcBorders>
            <w:shd w:val="clear" w:color="auto" w:fill="auto"/>
            <w:noWrap/>
            <w:hideMark/>
          </w:tcPr>
          <w:p w:rsidR="00361E39" w:rsidRPr="00160272" w:rsidRDefault="00361E39" w:rsidP="007E7D11">
            <w:pPr>
              <w:spacing w:after="0"/>
              <w:jc w:val="right"/>
            </w:pPr>
            <w:r>
              <w:t>13</w:t>
            </w:r>
          </w:p>
        </w:tc>
        <w:tc>
          <w:tcPr>
            <w:tcW w:w="2200" w:type="dxa"/>
            <w:tcBorders>
              <w:top w:val="nil"/>
              <w:left w:val="nil"/>
              <w:bottom w:val="single" w:sz="4" w:space="0" w:color="auto"/>
              <w:right w:val="single" w:sz="4" w:space="0" w:color="auto"/>
            </w:tcBorders>
            <w:shd w:val="clear" w:color="auto" w:fill="auto"/>
            <w:noWrap/>
            <w:hideMark/>
          </w:tcPr>
          <w:p w:rsidR="00361E39" w:rsidRPr="00160272" w:rsidRDefault="00361E39" w:rsidP="007E7D11">
            <w:pPr>
              <w:spacing w:after="0"/>
              <w:jc w:val="right"/>
            </w:pPr>
            <w:r>
              <w:t>4</w:t>
            </w:r>
          </w:p>
        </w:tc>
        <w:tc>
          <w:tcPr>
            <w:tcW w:w="1660" w:type="dxa"/>
            <w:tcBorders>
              <w:top w:val="nil"/>
              <w:left w:val="nil"/>
              <w:bottom w:val="single" w:sz="4" w:space="0" w:color="auto"/>
              <w:right w:val="single" w:sz="4" w:space="0" w:color="auto"/>
            </w:tcBorders>
            <w:shd w:val="clear" w:color="auto" w:fill="auto"/>
            <w:noWrap/>
            <w:hideMark/>
          </w:tcPr>
          <w:p w:rsidR="00361E39" w:rsidRDefault="00361E39" w:rsidP="007E7D11">
            <w:pPr>
              <w:spacing w:after="0"/>
              <w:jc w:val="right"/>
            </w:pPr>
            <w:r>
              <w:t>6</w:t>
            </w:r>
          </w:p>
        </w:tc>
      </w:tr>
    </w:tbl>
    <w:p w:rsidR="00361E39" w:rsidRDefault="00361E39" w:rsidP="00170F5D"/>
    <w:p w:rsidR="00170F5D" w:rsidRDefault="0080201D" w:rsidP="00170F5D">
      <w:r>
        <w:t>Footnote 1</w:t>
      </w:r>
      <w:r w:rsidR="00361E39">
        <w:t>:</w:t>
      </w:r>
      <w:r w:rsidR="00170F5D">
        <w:t xml:space="preserve"> Indicators are deemed to show “significant and material overall change” if they meet the following criteria:</w:t>
      </w:r>
    </w:p>
    <w:p w:rsidR="00170F5D" w:rsidRDefault="00170F5D" w:rsidP="001F3384">
      <w:pPr>
        <w:pStyle w:val="ListParagraph"/>
        <w:numPr>
          <w:ilvl w:val="0"/>
          <w:numId w:val="15"/>
        </w:numPr>
      </w:pPr>
      <w:r>
        <w:t>McNemar test for unadjusted change from baseline significant at the 5% level</w:t>
      </w:r>
    </w:p>
    <w:p w:rsidR="00170F5D" w:rsidRDefault="00170F5D" w:rsidP="001F3384">
      <w:pPr>
        <w:pStyle w:val="ListParagraph"/>
        <w:numPr>
          <w:ilvl w:val="0"/>
          <w:numId w:val="15"/>
        </w:numPr>
      </w:pPr>
      <w:r>
        <w:t>Absolute value of change from baseline greater than 0.02, both before and after adjustment for normal age-related development</w:t>
      </w:r>
    </w:p>
    <w:p w:rsidR="00170F5D" w:rsidRDefault="00170F5D" w:rsidP="001F3384">
      <w:pPr>
        <w:pStyle w:val="ListParagraph"/>
        <w:numPr>
          <w:ilvl w:val="0"/>
          <w:numId w:val="15"/>
        </w:numPr>
      </w:pPr>
      <w:r>
        <w:t>Unadjusted and adjusted changes have the same sign</w:t>
      </w:r>
    </w:p>
    <w:p w:rsidR="00170F5D" w:rsidRDefault="00170F5D" w:rsidP="001F3384">
      <w:pPr>
        <w:pStyle w:val="ListParagraph"/>
        <w:numPr>
          <w:ilvl w:val="0"/>
          <w:numId w:val="15"/>
        </w:numPr>
      </w:pPr>
      <w:r>
        <w:t>The above criteria hold for at least two of the longitudinal cohorts</w:t>
      </w:r>
    </w:p>
    <w:p w:rsidR="00170F5D" w:rsidRDefault="00170F5D" w:rsidP="001F3384">
      <w:pPr>
        <w:pStyle w:val="ListParagraph"/>
        <w:numPr>
          <w:ilvl w:val="0"/>
          <w:numId w:val="15"/>
        </w:numPr>
      </w:pPr>
      <w:r>
        <w:t>Numbers of indicators meeting the above criteria are presented. A total of 78 indicators were considered.</w:t>
      </w:r>
    </w:p>
    <w:p w:rsidR="00A25C83" w:rsidRDefault="00A25C83" w:rsidP="00A25C83">
      <w:pPr>
        <w:pStyle w:val="Heading2"/>
      </w:pPr>
      <w:bookmarkStart w:id="28" w:name="_Toc121151405"/>
      <w:r>
        <w:t>Slide 23: Participants aged 0 to 14</w:t>
      </w:r>
      <w:bookmarkEnd w:id="28"/>
    </w:p>
    <w:p w:rsidR="00A25C83" w:rsidRDefault="00A25C83" w:rsidP="00A25C83">
      <w:pPr>
        <w:pStyle w:val="Heading5"/>
      </w:pPr>
      <w:r>
        <w:t>Summary of trend by selected indicators</w:t>
      </w:r>
    </w:p>
    <w:p w:rsidR="00A25C83" w:rsidRPr="001E61A2" w:rsidRDefault="00A25C83" w:rsidP="001E61A2">
      <w:pPr>
        <w:pStyle w:val="Heading5"/>
        <w:rPr>
          <w:i/>
        </w:rPr>
      </w:pPr>
      <w:r w:rsidRPr="00A25C83">
        <w:rPr>
          <w:i/>
        </w:rPr>
        <w:t>Domain</w:t>
      </w:r>
      <w:r w:rsidR="001E61A2">
        <w:rPr>
          <w:i/>
        </w:rPr>
        <w:t>:</w:t>
      </w:r>
      <w:r w:rsidRPr="00A25C83">
        <w:rPr>
          <w:i/>
        </w:rPr>
        <w:t xml:space="preserve"> Daily living</w:t>
      </w:r>
    </w:p>
    <w:p w:rsidR="00A25C83" w:rsidRDefault="00A25C83" w:rsidP="00170F5D">
      <w:r>
        <w:t>Age group 0 to starting school</w:t>
      </w:r>
    </w:p>
    <w:p w:rsidR="00A25C83" w:rsidRDefault="00A25C83" w:rsidP="00B83265">
      <w:pPr>
        <w:pStyle w:val="ListParagraph"/>
        <w:numPr>
          <w:ilvl w:val="0"/>
          <w:numId w:val="15"/>
        </w:numPr>
      </w:pPr>
      <w:r w:rsidRPr="00A25C83">
        <w:t>% who use specialist services (e.g. speech pathology, occupational therapy) that assist their learning and development</w:t>
      </w:r>
      <w:r>
        <w:t>: Improvement</w:t>
      </w:r>
    </w:p>
    <w:p w:rsidR="00A25C83" w:rsidRDefault="00A25C83" w:rsidP="00B83265">
      <w:pPr>
        <w:pStyle w:val="ListParagraph"/>
        <w:numPr>
          <w:ilvl w:val="0"/>
          <w:numId w:val="15"/>
        </w:numPr>
      </w:pPr>
      <w:r w:rsidRPr="00A25C83">
        <w:t>% who say services help their child gain the skills she/he needs to participate in everyday life (e.g. go to preschool)</w:t>
      </w:r>
      <w:r>
        <w:t>: Improvement</w:t>
      </w:r>
    </w:p>
    <w:p w:rsidR="00A25C83" w:rsidRDefault="00A25C83" w:rsidP="00B83265">
      <w:pPr>
        <w:pStyle w:val="ListParagraph"/>
        <w:numPr>
          <w:ilvl w:val="0"/>
          <w:numId w:val="15"/>
        </w:numPr>
      </w:pPr>
      <w:r w:rsidRPr="00A25C83">
        <w:t>% who say services support them to assist their child</w:t>
      </w:r>
      <w:r>
        <w:t>: Improvement</w:t>
      </w:r>
    </w:p>
    <w:p w:rsidR="00A25C83" w:rsidRDefault="00A25C83" w:rsidP="00B83265">
      <w:pPr>
        <w:pStyle w:val="ListParagraph"/>
        <w:numPr>
          <w:ilvl w:val="0"/>
          <w:numId w:val="15"/>
        </w:numPr>
      </w:pPr>
      <w:r w:rsidRPr="00A25C83">
        <w:t>% with concerns about development in six or more areas</w:t>
      </w:r>
      <w:r w:rsidR="001E61A2">
        <w:t>: Deterioration</w:t>
      </w:r>
    </w:p>
    <w:p w:rsidR="00A25C83" w:rsidRDefault="00A25C83" w:rsidP="00B83265">
      <w:pPr>
        <w:pStyle w:val="ListParagraph"/>
        <w:numPr>
          <w:ilvl w:val="0"/>
          <w:numId w:val="15"/>
        </w:numPr>
      </w:pPr>
      <w:r w:rsidRPr="00A25C83">
        <w:t>% who say child is able to do everyday tasks most of the time</w:t>
      </w:r>
      <w:r>
        <w:t>: Improvement</w:t>
      </w:r>
    </w:p>
    <w:p w:rsidR="00A25C83" w:rsidRDefault="00A25C83" w:rsidP="00A25C83">
      <w:r>
        <w:t>Age group school to 14</w:t>
      </w:r>
    </w:p>
    <w:p w:rsidR="00A25C83" w:rsidRDefault="00A25C83" w:rsidP="00B83265">
      <w:pPr>
        <w:pStyle w:val="ListParagraph"/>
        <w:numPr>
          <w:ilvl w:val="0"/>
          <w:numId w:val="16"/>
        </w:numPr>
      </w:pPr>
      <w:r w:rsidRPr="00A25C83">
        <w:t>% who say child is becoming more independent</w:t>
      </w:r>
      <w:r>
        <w:t>: Improvement</w:t>
      </w:r>
    </w:p>
    <w:p w:rsidR="00A25C83" w:rsidRDefault="00A25C83" w:rsidP="00A25C83">
      <w:r>
        <w:t>Age group 0 to 14</w:t>
      </w:r>
    </w:p>
    <w:p w:rsidR="00A25C83" w:rsidRDefault="00A25C83" w:rsidP="00B83265">
      <w:pPr>
        <w:pStyle w:val="ListParagraph"/>
        <w:numPr>
          <w:ilvl w:val="0"/>
          <w:numId w:val="16"/>
        </w:numPr>
      </w:pPr>
      <w:r w:rsidRPr="00A25C83">
        <w:lastRenderedPageBreak/>
        <w:t>% who say child is able to manage the demands of their world (pretty well or very well)</w:t>
      </w:r>
      <w:r>
        <w:t>: Improvement</w:t>
      </w:r>
    </w:p>
    <w:p w:rsidR="00A25C83" w:rsidRPr="001E61A2" w:rsidRDefault="001E61A2" w:rsidP="001E61A2">
      <w:pPr>
        <w:pStyle w:val="Heading5"/>
        <w:rPr>
          <w:i/>
        </w:rPr>
      </w:pPr>
      <w:r w:rsidRPr="001E61A2">
        <w:rPr>
          <w:i/>
        </w:rPr>
        <w:t>Domain</w:t>
      </w:r>
      <w:r>
        <w:rPr>
          <w:i/>
        </w:rPr>
        <w:t>:</w:t>
      </w:r>
      <w:r w:rsidRPr="001E61A2">
        <w:rPr>
          <w:i/>
        </w:rPr>
        <w:t xml:space="preserve"> Relationships</w:t>
      </w:r>
    </w:p>
    <w:p w:rsidR="001E61A2" w:rsidRDefault="001E61A2" w:rsidP="00A25C83">
      <w:r>
        <w:t>Age group 0 to 14:</w:t>
      </w:r>
    </w:p>
    <w:p w:rsidR="001E61A2" w:rsidRDefault="001E61A2" w:rsidP="00B83265">
      <w:pPr>
        <w:pStyle w:val="ListParagraph"/>
        <w:numPr>
          <w:ilvl w:val="0"/>
          <w:numId w:val="16"/>
        </w:numPr>
      </w:pPr>
      <w:r w:rsidRPr="001E61A2">
        <w:t>% who say child can make friends with people outside the family</w:t>
      </w:r>
      <w:r>
        <w:t>: Improvement</w:t>
      </w:r>
    </w:p>
    <w:p w:rsidR="001E61A2" w:rsidRDefault="001E61A2" w:rsidP="00B83265">
      <w:pPr>
        <w:pStyle w:val="ListParagraph"/>
        <w:numPr>
          <w:ilvl w:val="0"/>
          <w:numId w:val="16"/>
        </w:numPr>
      </w:pPr>
      <w:r w:rsidRPr="001E61A2">
        <w:t>% who say child fits well into the everyday life of the family</w:t>
      </w:r>
      <w:r>
        <w:t>: Improvement</w:t>
      </w:r>
    </w:p>
    <w:p w:rsidR="00A25C83" w:rsidRPr="001E61A2" w:rsidRDefault="001E61A2" w:rsidP="001E61A2">
      <w:pPr>
        <w:pStyle w:val="Heading5"/>
        <w:rPr>
          <w:i/>
        </w:rPr>
      </w:pPr>
      <w:r w:rsidRPr="001E61A2">
        <w:rPr>
          <w:i/>
        </w:rPr>
        <w:t>Domain: social, community and civic participation</w:t>
      </w:r>
    </w:p>
    <w:p w:rsidR="001E61A2" w:rsidRDefault="001E61A2" w:rsidP="00170F5D">
      <w:r>
        <w:t>Age group 0 to school</w:t>
      </w:r>
    </w:p>
    <w:p w:rsidR="001E61A2" w:rsidRDefault="001E61A2" w:rsidP="00B83265">
      <w:pPr>
        <w:pStyle w:val="ListParagraph"/>
        <w:numPr>
          <w:ilvl w:val="0"/>
          <w:numId w:val="17"/>
        </w:numPr>
      </w:pPr>
      <w:r w:rsidRPr="001E61A2">
        <w:t>Of those who participate, % who feel welcomed or actively included</w:t>
      </w:r>
      <w:r>
        <w:t>: Improvement</w:t>
      </w:r>
    </w:p>
    <w:p w:rsidR="001E61A2" w:rsidRDefault="001E61A2" w:rsidP="00B83265">
      <w:pPr>
        <w:pStyle w:val="ListParagraph"/>
        <w:numPr>
          <w:ilvl w:val="0"/>
          <w:numId w:val="17"/>
        </w:numPr>
      </w:pPr>
      <w:r w:rsidRPr="001E61A2">
        <w:t>% who would like their child to be more involved in community activities</w:t>
      </w:r>
      <w:r>
        <w:t>: Context dependent.</w:t>
      </w:r>
    </w:p>
    <w:p w:rsidR="001E61A2" w:rsidRDefault="001E61A2" w:rsidP="00170F5D">
      <w:r>
        <w:t>Age group school to 14</w:t>
      </w:r>
    </w:p>
    <w:p w:rsidR="001E61A2" w:rsidRDefault="001E61A2" w:rsidP="00B83265">
      <w:pPr>
        <w:pStyle w:val="ListParagraph"/>
        <w:numPr>
          <w:ilvl w:val="0"/>
          <w:numId w:val="18"/>
        </w:numPr>
      </w:pPr>
      <w:r w:rsidRPr="001E61A2">
        <w:t>% of children who spend time after school or on weekends with friends and/or in mainstream programs</w:t>
      </w:r>
      <w:r>
        <w:t>: Deterioration</w:t>
      </w:r>
    </w:p>
    <w:p w:rsidR="001E61A2" w:rsidRDefault="001E61A2" w:rsidP="00B83265">
      <w:pPr>
        <w:pStyle w:val="ListParagraph"/>
        <w:numPr>
          <w:ilvl w:val="0"/>
          <w:numId w:val="18"/>
        </w:numPr>
      </w:pPr>
      <w:r>
        <w:t>Of those children who spend time after school and on weekends with friends and/or in mainstream programs, % feeling welcomed or actively included: Deterioration</w:t>
      </w:r>
    </w:p>
    <w:p w:rsidR="001E61A2" w:rsidRDefault="001E61A2" w:rsidP="00B83265">
      <w:pPr>
        <w:pStyle w:val="ListParagraph"/>
        <w:numPr>
          <w:ilvl w:val="0"/>
          <w:numId w:val="18"/>
        </w:numPr>
      </w:pPr>
      <w:r w:rsidRPr="001E61A2">
        <w:t>% who would like their child to have more opportunity to be involved in activities with other children</w:t>
      </w:r>
      <w:r>
        <w:t>: Context dependent</w:t>
      </w:r>
    </w:p>
    <w:p w:rsidR="001E61A2" w:rsidRDefault="001E61A2" w:rsidP="00B83265">
      <w:pPr>
        <w:pStyle w:val="ListParagraph"/>
        <w:numPr>
          <w:ilvl w:val="0"/>
          <w:numId w:val="18"/>
        </w:numPr>
      </w:pPr>
      <w:r w:rsidRPr="001E61A2">
        <w:t>% who say that their child’s disability is a barrier to greater involvement in activities with other children</w:t>
      </w:r>
      <w:r>
        <w:t>: Deterioration</w:t>
      </w:r>
    </w:p>
    <w:p w:rsidR="001E61A2" w:rsidRPr="001E61A2" w:rsidRDefault="001E61A2" w:rsidP="001E61A2">
      <w:pPr>
        <w:pStyle w:val="Heading5"/>
        <w:rPr>
          <w:i/>
        </w:rPr>
      </w:pPr>
      <w:r w:rsidRPr="001E61A2">
        <w:rPr>
          <w:i/>
        </w:rPr>
        <w:t>Domain: Lifelong learning</w:t>
      </w:r>
    </w:p>
    <w:p w:rsidR="001E61A2" w:rsidRDefault="00666197" w:rsidP="001E61A2">
      <w:r>
        <w:t>Age group school to 24</w:t>
      </w:r>
    </w:p>
    <w:p w:rsidR="00666197" w:rsidRDefault="00666197" w:rsidP="00B83265">
      <w:pPr>
        <w:pStyle w:val="ListParagraph"/>
        <w:numPr>
          <w:ilvl w:val="0"/>
          <w:numId w:val="19"/>
        </w:numPr>
      </w:pPr>
      <w:r w:rsidRPr="00666197">
        <w:t>% children/ young adults who attend or attended school in a mainstream class</w:t>
      </w:r>
      <w:r>
        <w:t>: Deterioration</w:t>
      </w:r>
    </w:p>
    <w:p w:rsidR="00666197" w:rsidRDefault="00666197" w:rsidP="00B83265">
      <w:pPr>
        <w:pStyle w:val="ListParagraph"/>
        <w:numPr>
          <w:ilvl w:val="0"/>
          <w:numId w:val="19"/>
        </w:numPr>
      </w:pPr>
      <w:r w:rsidRPr="00666197">
        <w:t>% who know their child's goals at school</w:t>
      </w:r>
      <w:r>
        <w:t>: Improvement</w:t>
      </w:r>
    </w:p>
    <w:p w:rsidR="007E7D11" w:rsidRDefault="007E7D11" w:rsidP="007E7D11">
      <w:pPr>
        <w:pStyle w:val="Heading2"/>
      </w:pPr>
      <w:bookmarkStart w:id="29" w:name="_Toc121151406"/>
      <w:r>
        <w:t>Slide 24: Participants aged 0 to 14</w:t>
      </w:r>
      <w:bookmarkEnd w:id="29"/>
    </w:p>
    <w:p w:rsidR="007E7D11" w:rsidRDefault="007E7D11" w:rsidP="007E7D11">
      <w:pPr>
        <w:pStyle w:val="Heading5"/>
      </w:pPr>
      <w:r>
        <w:t xml:space="preserve">Daily living – specialist services </w:t>
      </w:r>
    </w:p>
    <w:p w:rsidR="007E7D11" w:rsidRPr="007E7D11" w:rsidRDefault="007E7D11" w:rsidP="007E7D11">
      <w:pPr>
        <w:pStyle w:val="Heading5"/>
        <w:rPr>
          <w:i/>
        </w:rPr>
      </w:pPr>
      <w:r w:rsidRPr="007E7D11">
        <w:rPr>
          <w:i/>
        </w:rPr>
        <w:t>Use of services</w:t>
      </w:r>
    </w:p>
    <w:p w:rsidR="007E7D11" w:rsidRDefault="007E7D11" w:rsidP="007E7D11">
      <w:r>
        <w:t>My child uses specialist services (e.g. speech pathology, occupational therapy) that assist</w:t>
      </w:r>
      <w:r w:rsidR="00AD165E">
        <w:t xml:space="preserve"> their learning and development (</w:t>
      </w:r>
      <w:r w:rsidR="0080201D">
        <w:t>Footnote 1</w:t>
      </w:r>
      <w:r w:rsidR="00AD165E">
        <w:t>).</w:t>
      </w:r>
    </w:p>
    <w:p w:rsidR="007E7D11" w:rsidRDefault="007E7D11" w:rsidP="007E7D11">
      <w:r>
        <w:t>The percentage increases strongly over the first year in the Scheme (by 14 to 23 percentage points), with smaller but still substantial increases (4 to 11 percentage points) in the second year.</w:t>
      </w:r>
    </w:p>
    <w:p w:rsidR="007E7D11" w:rsidRDefault="007E7D11" w:rsidP="007E7D11">
      <w:r>
        <w:t xml:space="preserve">After four or </w:t>
      </w:r>
      <w:r w:rsidR="00E9123D">
        <w:t>f</w:t>
      </w:r>
      <w:r w:rsidR="005A7C7C">
        <w:t>ive years in the Scheme</w:t>
      </w:r>
      <w:r>
        <w:t>, 96% of respondents say that their child uses specialist services that assist their learning and development.</w:t>
      </w:r>
    </w:p>
    <w:p w:rsidR="00D762FA" w:rsidRDefault="00D762FA" w:rsidP="007E7D11">
      <w:r>
        <w:t>Single group (P0toSS), by time in the Scheme:</w:t>
      </w:r>
    </w:p>
    <w:tbl>
      <w:tblPr>
        <w:tblW w:w="9204" w:type="dxa"/>
        <w:tblLook w:val="04A0" w:firstRow="1" w:lastRow="0" w:firstColumn="1" w:lastColumn="0" w:noHBand="0" w:noVBand="1"/>
      </w:tblPr>
      <w:tblGrid>
        <w:gridCol w:w="1500"/>
        <w:gridCol w:w="1325"/>
        <w:gridCol w:w="1276"/>
        <w:gridCol w:w="1276"/>
        <w:gridCol w:w="1276"/>
        <w:gridCol w:w="1275"/>
        <w:gridCol w:w="1276"/>
      </w:tblGrid>
      <w:tr w:rsidR="00AD165E" w:rsidRPr="00AD165E" w:rsidTr="00E86C1D">
        <w:trPr>
          <w:trHeight w:val="285"/>
        </w:trPr>
        <w:tc>
          <w:tcPr>
            <w:tcW w:w="1500" w:type="dxa"/>
            <w:tcBorders>
              <w:top w:val="single" w:sz="8" w:space="0" w:color="auto"/>
              <w:left w:val="single" w:sz="8" w:space="0" w:color="auto"/>
              <w:bottom w:val="single" w:sz="8" w:space="0" w:color="auto"/>
              <w:right w:val="nil"/>
            </w:tcBorders>
            <w:shd w:val="clear" w:color="auto" w:fill="auto"/>
            <w:noWrap/>
            <w:vAlign w:val="bottom"/>
            <w:hideMark/>
          </w:tcPr>
          <w:p w:rsidR="00AD165E" w:rsidRPr="00AD165E" w:rsidRDefault="00AD165E" w:rsidP="00AD165E">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Cohort</w:t>
            </w:r>
          </w:p>
        </w:tc>
        <w:tc>
          <w:tcPr>
            <w:tcW w:w="13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D165E" w:rsidRPr="00AD165E" w:rsidRDefault="00AD165E" w:rsidP="00AD165E">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B</w:t>
            </w:r>
            <w:r w:rsidR="00E86C1D">
              <w:rPr>
                <w:rFonts w:ascii="Arial" w:eastAsia="Times New Roman" w:hAnsi="Arial" w:cs="Arial"/>
                <w:b/>
                <w:bCs/>
                <w:color w:val="000000"/>
                <w:lang w:eastAsia="en-AU"/>
              </w:rPr>
              <w:t>aseline</w:t>
            </w:r>
          </w:p>
        </w:tc>
        <w:tc>
          <w:tcPr>
            <w:tcW w:w="1276" w:type="dxa"/>
            <w:tcBorders>
              <w:top w:val="single" w:sz="8" w:space="0" w:color="auto"/>
              <w:left w:val="nil"/>
              <w:bottom w:val="single" w:sz="8" w:space="0" w:color="auto"/>
              <w:right w:val="nil"/>
            </w:tcBorders>
            <w:shd w:val="clear" w:color="auto" w:fill="auto"/>
            <w:noWrap/>
            <w:vAlign w:val="bottom"/>
            <w:hideMark/>
          </w:tcPr>
          <w:p w:rsidR="00AD165E" w:rsidRPr="00AD165E" w:rsidRDefault="00E86C1D" w:rsidP="00AD165E">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1</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D165E" w:rsidRPr="00AD165E" w:rsidRDefault="00E86C1D" w:rsidP="00AD165E">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2</w:t>
            </w:r>
          </w:p>
        </w:tc>
        <w:tc>
          <w:tcPr>
            <w:tcW w:w="1276" w:type="dxa"/>
            <w:tcBorders>
              <w:top w:val="single" w:sz="8" w:space="0" w:color="auto"/>
              <w:left w:val="nil"/>
              <w:bottom w:val="single" w:sz="8" w:space="0" w:color="auto"/>
              <w:right w:val="nil"/>
            </w:tcBorders>
            <w:shd w:val="clear" w:color="auto" w:fill="auto"/>
            <w:noWrap/>
            <w:vAlign w:val="bottom"/>
            <w:hideMark/>
          </w:tcPr>
          <w:p w:rsidR="00AD165E" w:rsidRPr="00AD165E" w:rsidRDefault="00E86C1D" w:rsidP="00AD165E">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3</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D165E" w:rsidRPr="00AD165E" w:rsidRDefault="00E86C1D" w:rsidP="00AD165E">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4</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AD165E" w:rsidRPr="00AD165E" w:rsidRDefault="00E86C1D" w:rsidP="00AD165E">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5</w:t>
            </w:r>
          </w:p>
        </w:tc>
      </w:tr>
      <w:tr w:rsidR="00AD165E" w:rsidRPr="00AD165E" w:rsidTr="00E86C1D">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AD165E" w:rsidRPr="00AD165E" w:rsidRDefault="00AD165E" w:rsidP="00AD165E">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5 years</w:t>
            </w:r>
          </w:p>
        </w:tc>
        <w:tc>
          <w:tcPr>
            <w:tcW w:w="1325" w:type="dxa"/>
            <w:tcBorders>
              <w:top w:val="nil"/>
              <w:left w:val="single" w:sz="8" w:space="0" w:color="auto"/>
              <w:bottom w:val="single" w:sz="4" w:space="0" w:color="auto"/>
              <w:right w:val="single" w:sz="8" w:space="0" w:color="auto"/>
            </w:tcBorders>
            <w:shd w:val="clear" w:color="auto" w:fill="auto"/>
            <w:noWrap/>
            <w:vAlign w:val="bottom"/>
            <w:hideMark/>
          </w:tcPr>
          <w:p w:rsidR="00AD165E" w:rsidRPr="00AD165E" w:rsidRDefault="00AD165E" w:rsidP="00AD165E">
            <w:pPr>
              <w:spacing w:after="0" w:line="240" w:lineRule="auto"/>
              <w:jc w:val="right"/>
              <w:rPr>
                <w:rFonts w:ascii="Arial" w:eastAsia="Times New Roman" w:hAnsi="Arial" w:cs="Arial"/>
                <w:color w:val="000000"/>
                <w:lang w:eastAsia="en-AU"/>
              </w:rPr>
            </w:pPr>
            <w:r w:rsidRPr="00AD165E">
              <w:rPr>
                <w:rFonts w:ascii="Arial" w:eastAsia="Times New Roman" w:hAnsi="Arial" w:cs="Arial"/>
                <w:color w:val="000000"/>
                <w:lang w:eastAsia="en-AU"/>
              </w:rPr>
              <w:t>66.7%</w:t>
            </w:r>
          </w:p>
        </w:tc>
        <w:tc>
          <w:tcPr>
            <w:tcW w:w="1276" w:type="dxa"/>
            <w:tcBorders>
              <w:top w:val="nil"/>
              <w:left w:val="nil"/>
              <w:bottom w:val="single" w:sz="4" w:space="0" w:color="auto"/>
              <w:right w:val="nil"/>
            </w:tcBorders>
            <w:shd w:val="clear" w:color="auto" w:fill="auto"/>
            <w:noWrap/>
            <w:vAlign w:val="bottom"/>
            <w:hideMark/>
          </w:tcPr>
          <w:p w:rsidR="00AD165E" w:rsidRPr="00AD165E" w:rsidRDefault="00AD165E" w:rsidP="00AD165E">
            <w:pPr>
              <w:spacing w:after="0" w:line="240" w:lineRule="auto"/>
              <w:rPr>
                <w:rFonts w:ascii="Arial" w:eastAsia="Times New Roman" w:hAnsi="Arial" w:cs="Arial"/>
                <w:color w:val="000000"/>
                <w:lang w:eastAsia="en-AU"/>
              </w:rPr>
            </w:pPr>
            <w:r w:rsidRPr="00AD165E">
              <w:rPr>
                <w:rFonts w:ascii="Arial" w:eastAsia="Times New Roman" w:hAnsi="Arial" w:cs="Arial"/>
                <w:color w:val="000000"/>
                <w:lang w:eastAsia="en-AU"/>
              </w:rPr>
              <w:t> </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AD165E" w:rsidRPr="00AD165E" w:rsidRDefault="00AD165E" w:rsidP="00AD165E">
            <w:pPr>
              <w:spacing w:after="0" w:line="240" w:lineRule="auto"/>
              <w:rPr>
                <w:rFonts w:ascii="Arial" w:eastAsia="Times New Roman" w:hAnsi="Arial" w:cs="Arial"/>
                <w:color w:val="000000"/>
                <w:lang w:eastAsia="en-AU"/>
              </w:rPr>
            </w:pPr>
            <w:r w:rsidRPr="00AD165E">
              <w:rPr>
                <w:rFonts w:ascii="Arial" w:eastAsia="Times New Roman" w:hAnsi="Arial" w:cs="Arial"/>
                <w:color w:val="000000"/>
                <w:lang w:eastAsia="en-AU"/>
              </w:rPr>
              <w:t> </w:t>
            </w:r>
          </w:p>
        </w:tc>
        <w:tc>
          <w:tcPr>
            <w:tcW w:w="1276" w:type="dxa"/>
            <w:tcBorders>
              <w:top w:val="nil"/>
              <w:left w:val="nil"/>
              <w:bottom w:val="single" w:sz="4" w:space="0" w:color="auto"/>
              <w:right w:val="nil"/>
            </w:tcBorders>
            <w:shd w:val="clear" w:color="auto" w:fill="auto"/>
            <w:noWrap/>
            <w:vAlign w:val="bottom"/>
            <w:hideMark/>
          </w:tcPr>
          <w:p w:rsidR="00AD165E" w:rsidRPr="00AD165E" w:rsidRDefault="00AD165E" w:rsidP="00AD165E">
            <w:pPr>
              <w:spacing w:after="0" w:line="240" w:lineRule="auto"/>
              <w:rPr>
                <w:rFonts w:ascii="Arial" w:eastAsia="Times New Roman" w:hAnsi="Arial" w:cs="Arial"/>
                <w:color w:val="000000"/>
                <w:lang w:eastAsia="en-AU"/>
              </w:rPr>
            </w:pPr>
            <w:r w:rsidRPr="00AD165E">
              <w:rPr>
                <w:rFonts w:ascii="Arial" w:eastAsia="Times New Roman" w:hAnsi="Arial" w:cs="Arial"/>
                <w:color w:val="000000"/>
                <w:lang w:eastAsia="en-AU"/>
              </w:rPr>
              <w:t> </w:t>
            </w:r>
          </w:p>
        </w:tc>
        <w:tc>
          <w:tcPr>
            <w:tcW w:w="1275" w:type="dxa"/>
            <w:tcBorders>
              <w:top w:val="nil"/>
              <w:left w:val="single" w:sz="8" w:space="0" w:color="auto"/>
              <w:bottom w:val="single" w:sz="4" w:space="0" w:color="auto"/>
              <w:right w:val="single" w:sz="8" w:space="0" w:color="auto"/>
            </w:tcBorders>
            <w:shd w:val="clear" w:color="auto" w:fill="auto"/>
            <w:noWrap/>
            <w:vAlign w:val="bottom"/>
            <w:hideMark/>
          </w:tcPr>
          <w:p w:rsidR="00AD165E" w:rsidRPr="00AD165E" w:rsidRDefault="00AD165E" w:rsidP="00AD165E">
            <w:pPr>
              <w:spacing w:after="0" w:line="240" w:lineRule="auto"/>
              <w:rPr>
                <w:rFonts w:ascii="Arial" w:eastAsia="Times New Roman" w:hAnsi="Arial" w:cs="Arial"/>
                <w:color w:val="000000"/>
                <w:lang w:eastAsia="en-AU"/>
              </w:rPr>
            </w:pPr>
            <w:r w:rsidRPr="00AD165E">
              <w:rPr>
                <w:rFonts w:ascii="Arial" w:eastAsia="Times New Roman" w:hAnsi="Arial" w:cs="Arial"/>
                <w:color w:val="000000"/>
                <w:lang w:eastAsia="en-AU"/>
              </w:rPr>
              <w:t> </w:t>
            </w:r>
          </w:p>
        </w:tc>
        <w:tc>
          <w:tcPr>
            <w:tcW w:w="1276" w:type="dxa"/>
            <w:tcBorders>
              <w:top w:val="nil"/>
              <w:left w:val="nil"/>
              <w:bottom w:val="single" w:sz="4" w:space="0" w:color="auto"/>
              <w:right w:val="single" w:sz="8" w:space="0" w:color="auto"/>
            </w:tcBorders>
            <w:shd w:val="clear" w:color="auto" w:fill="auto"/>
            <w:noWrap/>
            <w:vAlign w:val="bottom"/>
            <w:hideMark/>
          </w:tcPr>
          <w:p w:rsidR="00AD165E" w:rsidRPr="00AD165E" w:rsidRDefault="00AD165E" w:rsidP="00AD165E">
            <w:pPr>
              <w:spacing w:after="0" w:line="240" w:lineRule="auto"/>
              <w:jc w:val="right"/>
              <w:rPr>
                <w:rFonts w:ascii="Arial" w:eastAsia="Times New Roman" w:hAnsi="Arial" w:cs="Arial"/>
                <w:color w:val="000000"/>
                <w:lang w:eastAsia="en-AU"/>
              </w:rPr>
            </w:pPr>
            <w:r w:rsidRPr="00AD165E">
              <w:rPr>
                <w:rFonts w:ascii="Arial" w:eastAsia="Times New Roman" w:hAnsi="Arial" w:cs="Arial"/>
                <w:color w:val="000000"/>
                <w:lang w:eastAsia="en-AU"/>
              </w:rPr>
              <w:t>96.3%</w:t>
            </w:r>
          </w:p>
        </w:tc>
      </w:tr>
      <w:tr w:rsidR="00AD165E" w:rsidRPr="00AD165E" w:rsidTr="00E86C1D">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AD165E" w:rsidRPr="00AD165E" w:rsidRDefault="00AD165E" w:rsidP="00AD165E">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4 years</w:t>
            </w:r>
          </w:p>
        </w:tc>
        <w:tc>
          <w:tcPr>
            <w:tcW w:w="1325" w:type="dxa"/>
            <w:tcBorders>
              <w:top w:val="nil"/>
              <w:left w:val="single" w:sz="8" w:space="0" w:color="auto"/>
              <w:bottom w:val="single" w:sz="4" w:space="0" w:color="auto"/>
              <w:right w:val="single" w:sz="8" w:space="0" w:color="auto"/>
            </w:tcBorders>
            <w:shd w:val="clear" w:color="auto" w:fill="auto"/>
            <w:noWrap/>
            <w:vAlign w:val="bottom"/>
            <w:hideMark/>
          </w:tcPr>
          <w:p w:rsidR="00AD165E" w:rsidRPr="00AD165E" w:rsidRDefault="00AD165E" w:rsidP="00AD165E">
            <w:pPr>
              <w:spacing w:after="0" w:line="240" w:lineRule="auto"/>
              <w:jc w:val="right"/>
              <w:rPr>
                <w:rFonts w:ascii="Arial" w:eastAsia="Times New Roman" w:hAnsi="Arial" w:cs="Arial"/>
                <w:color w:val="000000"/>
                <w:lang w:eastAsia="en-AU"/>
              </w:rPr>
            </w:pPr>
            <w:r w:rsidRPr="00AD165E">
              <w:rPr>
                <w:rFonts w:ascii="Arial" w:eastAsia="Times New Roman" w:hAnsi="Arial" w:cs="Arial"/>
                <w:color w:val="000000"/>
                <w:lang w:eastAsia="en-AU"/>
              </w:rPr>
              <w:t>78.0%</w:t>
            </w:r>
          </w:p>
        </w:tc>
        <w:tc>
          <w:tcPr>
            <w:tcW w:w="1276" w:type="dxa"/>
            <w:tcBorders>
              <w:top w:val="nil"/>
              <w:left w:val="nil"/>
              <w:bottom w:val="single" w:sz="4" w:space="0" w:color="auto"/>
              <w:right w:val="nil"/>
            </w:tcBorders>
            <w:shd w:val="clear" w:color="auto" w:fill="auto"/>
            <w:noWrap/>
            <w:vAlign w:val="bottom"/>
            <w:hideMark/>
          </w:tcPr>
          <w:p w:rsidR="00AD165E" w:rsidRPr="00AD165E" w:rsidRDefault="00AD165E" w:rsidP="00AD165E">
            <w:pPr>
              <w:spacing w:after="0" w:line="240" w:lineRule="auto"/>
              <w:jc w:val="right"/>
              <w:rPr>
                <w:rFonts w:ascii="Arial" w:eastAsia="Times New Roman" w:hAnsi="Arial" w:cs="Arial"/>
                <w:color w:val="000000"/>
                <w:lang w:eastAsia="en-AU"/>
              </w:rPr>
            </w:pPr>
            <w:r w:rsidRPr="00AD165E">
              <w:rPr>
                <w:rFonts w:ascii="Arial" w:eastAsia="Times New Roman" w:hAnsi="Arial" w:cs="Arial"/>
                <w:color w:val="000000"/>
                <w:lang w:eastAsia="en-AU"/>
              </w:rPr>
              <w:t>91.9%</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AD165E" w:rsidRPr="00AD165E" w:rsidRDefault="00AD165E" w:rsidP="00AD165E">
            <w:pPr>
              <w:spacing w:after="0" w:line="240" w:lineRule="auto"/>
              <w:jc w:val="right"/>
              <w:rPr>
                <w:rFonts w:ascii="Arial" w:eastAsia="Times New Roman" w:hAnsi="Arial" w:cs="Arial"/>
                <w:color w:val="000000"/>
                <w:lang w:eastAsia="en-AU"/>
              </w:rPr>
            </w:pPr>
            <w:r w:rsidRPr="00AD165E">
              <w:rPr>
                <w:rFonts w:ascii="Arial" w:eastAsia="Times New Roman" w:hAnsi="Arial" w:cs="Arial"/>
                <w:color w:val="000000"/>
                <w:lang w:eastAsia="en-AU"/>
              </w:rPr>
              <w:t>96.3%</w:t>
            </w:r>
          </w:p>
        </w:tc>
        <w:tc>
          <w:tcPr>
            <w:tcW w:w="1276" w:type="dxa"/>
            <w:tcBorders>
              <w:top w:val="nil"/>
              <w:left w:val="nil"/>
              <w:bottom w:val="single" w:sz="4" w:space="0" w:color="auto"/>
              <w:right w:val="nil"/>
            </w:tcBorders>
            <w:shd w:val="clear" w:color="auto" w:fill="auto"/>
            <w:noWrap/>
            <w:vAlign w:val="bottom"/>
            <w:hideMark/>
          </w:tcPr>
          <w:p w:rsidR="00AD165E" w:rsidRPr="00AD165E" w:rsidRDefault="00AD165E" w:rsidP="00AD165E">
            <w:pPr>
              <w:spacing w:after="0" w:line="240" w:lineRule="auto"/>
              <w:jc w:val="right"/>
              <w:rPr>
                <w:rFonts w:ascii="Arial" w:eastAsia="Times New Roman" w:hAnsi="Arial" w:cs="Arial"/>
                <w:color w:val="000000"/>
                <w:lang w:eastAsia="en-AU"/>
              </w:rPr>
            </w:pPr>
            <w:r w:rsidRPr="00AD165E">
              <w:rPr>
                <w:rFonts w:ascii="Arial" w:eastAsia="Times New Roman" w:hAnsi="Arial" w:cs="Arial"/>
                <w:color w:val="000000"/>
                <w:lang w:eastAsia="en-AU"/>
              </w:rPr>
              <w:t>93.7%</w:t>
            </w:r>
          </w:p>
        </w:tc>
        <w:tc>
          <w:tcPr>
            <w:tcW w:w="1275" w:type="dxa"/>
            <w:tcBorders>
              <w:top w:val="nil"/>
              <w:left w:val="single" w:sz="8" w:space="0" w:color="auto"/>
              <w:bottom w:val="single" w:sz="4" w:space="0" w:color="auto"/>
              <w:right w:val="single" w:sz="8" w:space="0" w:color="auto"/>
            </w:tcBorders>
            <w:shd w:val="clear" w:color="auto" w:fill="auto"/>
            <w:noWrap/>
            <w:vAlign w:val="bottom"/>
            <w:hideMark/>
          </w:tcPr>
          <w:p w:rsidR="00AD165E" w:rsidRPr="00AD165E" w:rsidRDefault="00AD165E" w:rsidP="00AD165E">
            <w:pPr>
              <w:spacing w:after="0" w:line="240" w:lineRule="auto"/>
              <w:jc w:val="right"/>
              <w:rPr>
                <w:rFonts w:ascii="Arial" w:eastAsia="Times New Roman" w:hAnsi="Arial" w:cs="Arial"/>
                <w:color w:val="000000"/>
                <w:lang w:eastAsia="en-AU"/>
              </w:rPr>
            </w:pPr>
            <w:r w:rsidRPr="00AD165E">
              <w:rPr>
                <w:rFonts w:ascii="Arial" w:eastAsia="Times New Roman" w:hAnsi="Arial" w:cs="Arial"/>
                <w:color w:val="000000"/>
                <w:lang w:eastAsia="en-AU"/>
              </w:rPr>
              <w:t>95.9%</w:t>
            </w:r>
          </w:p>
        </w:tc>
        <w:tc>
          <w:tcPr>
            <w:tcW w:w="1276" w:type="dxa"/>
            <w:tcBorders>
              <w:top w:val="nil"/>
              <w:left w:val="nil"/>
              <w:bottom w:val="single" w:sz="4" w:space="0" w:color="auto"/>
              <w:right w:val="single" w:sz="8" w:space="0" w:color="auto"/>
            </w:tcBorders>
            <w:shd w:val="clear" w:color="auto" w:fill="auto"/>
            <w:noWrap/>
            <w:vAlign w:val="bottom"/>
            <w:hideMark/>
          </w:tcPr>
          <w:p w:rsidR="00AD165E" w:rsidRPr="00AD165E" w:rsidRDefault="00AD165E" w:rsidP="00AD165E">
            <w:pPr>
              <w:spacing w:after="0" w:line="240" w:lineRule="auto"/>
              <w:rPr>
                <w:rFonts w:ascii="Arial" w:eastAsia="Times New Roman" w:hAnsi="Arial" w:cs="Arial"/>
                <w:color w:val="000000"/>
                <w:lang w:eastAsia="en-AU"/>
              </w:rPr>
            </w:pPr>
            <w:r w:rsidRPr="00AD165E">
              <w:rPr>
                <w:rFonts w:ascii="Arial" w:eastAsia="Times New Roman" w:hAnsi="Arial" w:cs="Arial"/>
                <w:color w:val="000000"/>
                <w:lang w:eastAsia="en-AU"/>
              </w:rPr>
              <w:t> </w:t>
            </w:r>
          </w:p>
        </w:tc>
      </w:tr>
      <w:tr w:rsidR="00AD165E" w:rsidRPr="00AD165E" w:rsidTr="00E86C1D">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AD165E" w:rsidRPr="00AD165E" w:rsidRDefault="00AD165E" w:rsidP="00AD165E">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3 years</w:t>
            </w:r>
          </w:p>
        </w:tc>
        <w:tc>
          <w:tcPr>
            <w:tcW w:w="1325" w:type="dxa"/>
            <w:tcBorders>
              <w:top w:val="nil"/>
              <w:left w:val="single" w:sz="8" w:space="0" w:color="auto"/>
              <w:bottom w:val="single" w:sz="4" w:space="0" w:color="auto"/>
              <w:right w:val="single" w:sz="8" w:space="0" w:color="auto"/>
            </w:tcBorders>
            <w:shd w:val="clear" w:color="auto" w:fill="auto"/>
            <w:noWrap/>
            <w:vAlign w:val="bottom"/>
            <w:hideMark/>
          </w:tcPr>
          <w:p w:rsidR="00AD165E" w:rsidRPr="00AD165E" w:rsidRDefault="00AD165E" w:rsidP="00AD165E">
            <w:pPr>
              <w:spacing w:after="0" w:line="240" w:lineRule="auto"/>
              <w:jc w:val="right"/>
              <w:rPr>
                <w:rFonts w:ascii="Arial" w:eastAsia="Times New Roman" w:hAnsi="Arial" w:cs="Arial"/>
                <w:color w:val="000000"/>
                <w:lang w:eastAsia="en-AU"/>
              </w:rPr>
            </w:pPr>
            <w:r w:rsidRPr="00AD165E">
              <w:rPr>
                <w:rFonts w:ascii="Arial" w:eastAsia="Times New Roman" w:hAnsi="Arial" w:cs="Arial"/>
                <w:color w:val="000000"/>
                <w:lang w:eastAsia="en-AU"/>
              </w:rPr>
              <w:t>66.3%</w:t>
            </w:r>
          </w:p>
        </w:tc>
        <w:tc>
          <w:tcPr>
            <w:tcW w:w="1276" w:type="dxa"/>
            <w:tcBorders>
              <w:top w:val="nil"/>
              <w:left w:val="nil"/>
              <w:bottom w:val="single" w:sz="4" w:space="0" w:color="auto"/>
              <w:right w:val="nil"/>
            </w:tcBorders>
            <w:shd w:val="clear" w:color="auto" w:fill="auto"/>
            <w:noWrap/>
            <w:vAlign w:val="bottom"/>
            <w:hideMark/>
          </w:tcPr>
          <w:p w:rsidR="00AD165E" w:rsidRPr="00AD165E" w:rsidRDefault="00AD165E" w:rsidP="00AD165E">
            <w:pPr>
              <w:spacing w:after="0" w:line="240" w:lineRule="auto"/>
              <w:jc w:val="right"/>
              <w:rPr>
                <w:rFonts w:ascii="Arial" w:eastAsia="Times New Roman" w:hAnsi="Arial" w:cs="Arial"/>
                <w:color w:val="000000"/>
                <w:lang w:eastAsia="en-AU"/>
              </w:rPr>
            </w:pPr>
            <w:r w:rsidRPr="00AD165E">
              <w:rPr>
                <w:rFonts w:ascii="Arial" w:eastAsia="Times New Roman" w:hAnsi="Arial" w:cs="Arial"/>
                <w:color w:val="000000"/>
                <w:lang w:eastAsia="en-AU"/>
              </w:rPr>
              <w:t>85.4%</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AD165E" w:rsidRPr="00AD165E" w:rsidRDefault="00AD165E" w:rsidP="00AD165E">
            <w:pPr>
              <w:spacing w:after="0" w:line="240" w:lineRule="auto"/>
              <w:jc w:val="right"/>
              <w:rPr>
                <w:rFonts w:ascii="Arial" w:eastAsia="Times New Roman" w:hAnsi="Arial" w:cs="Arial"/>
                <w:color w:val="000000"/>
                <w:lang w:eastAsia="en-AU"/>
              </w:rPr>
            </w:pPr>
            <w:r w:rsidRPr="00AD165E">
              <w:rPr>
                <w:rFonts w:ascii="Arial" w:eastAsia="Times New Roman" w:hAnsi="Arial" w:cs="Arial"/>
                <w:color w:val="000000"/>
                <w:lang w:eastAsia="en-AU"/>
              </w:rPr>
              <w:t>91.7%</w:t>
            </w:r>
          </w:p>
        </w:tc>
        <w:tc>
          <w:tcPr>
            <w:tcW w:w="1276" w:type="dxa"/>
            <w:tcBorders>
              <w:top w:val="nil"/>
              <w:left w:val="nil"/>
              <w:bottom w:val="single" w:sz="4" w:space="0" w:color="auto"/>
              <w:right w:val="nil"/>
            </w:tcBorders>
            <w:shd w:val="clear" w:color="auto" w:fill="auto"/>
            <w:noWrap/>
            <w:vAlign w:val="bottom"/>
            <w:hideMark/>
          </w:tcPr>
          <w:p w:rsidR="00AD165E" w:rsidRPr="00AD165E" w:rsidRDefault="00AD165E" w:rsidP="00AD165E">
            <w:pPr>
              <w:spacing w:after="0" w:line="240" w:lineRule="auto"/>
              <w:jc w:val="right"/>
              <w:rPr>
                <w:rFonts w:ascii="Arial" w:eastAsia="Times New Roman" w:hAnsi="Arial" w:cs="Arial"/>
                <w:color w:val="000000"/>
                <w:lang w:eastAsia="en-AU"/>
              </w:rPr>
            </w:pPr>
            <w:r w:rsidRPr="00AD165E">
              <w:rPr>
                <w:rFonts w:ascii="Arial" w:eastAsia="Times New Roman" w:hAnsi="Arial" w:cs="Arial"/>
                <w:color w:val="000000"/>
                <w:lang w:eastAsia="en-AU"/>
              </w:rPr>
              <w:t>94.1%</w:t>
            </w:r>
          </w:p>
        </w:tc>
        <w:tc>
          <w:tcPr>
            <w:tcW w:w="1275" w:type="dxa"/>
            <w:tcBorders>
              <w:top w:val="nil"/>
              <w:left w:val="single" w:sz="8" w:space="0" w:color="auto"/>
              <w:bottom w:val="single" w:sz="4" w:space="0" w:color="auto"/>
              <w:right w:val="single" w:sz="8" w:space="0" w:color="auto"/>
            </w:tcBorders>
            <w:shd w:val="clear" w:color="auto" w:fill="auto"/>
            <w:noWrap/>
            <w:vAlign w:val="bottom"/>
            <w:hideMark/>
          </w:tcPr>
          <w:p w:rsidR="00AD165E" w:rsidRPr="00AD165E" w:rsidRDefault="00AD165E" w:rsidP="00AD165E">
            <w:pPr>
              <w:spacing w:after="0" w:line="240" w:lineRule="auto"/>
              <w:rPr>
                <w:rFonts w:ascii="Arial" w:eastAsia="Times New Roman" w:hAnsi="Arial" w:cs="Arial"/>
                <w:color w:val="000000"/>
                <w:lang w:eastAsia="en-AU"/>
              </w:rPr>
            </w:pPr>
            <w:r w:rsidRPr="00AD165E">
              <w:rPr>
                <w:rFonts w:ascii="Arial" w:eastAsia="Times New Roman" w:hAnsi="Arial" w:cs="Arial"/>
                <w:color w:val="000000"/>
                <w:lang w:eastAsia="en-AU"/>
              </w:rPr>
              <w:t> </w:t>
            </w:r>
          </w:p>
        </w:tc>
        <w:tc>
          <w:tcPr>
            <w:tcW w:w="1276" w:type="dxa"/>
            <w:tcBorders>
              <w:top w:val="nil"/>
              <w:left w:val="nil"/>
              <w:bottom w:val="single" w:sz="4" w:space="0" w:color="auto"/>
              <w:right w:val="single" w:sz="8" w:space="0" w:color="auto"/>
            </w:tcBorders>
            <w:shd w:val="clear" w:color="auto" w:fill="auto"/>
            <w:noWrap/>
            <w:vAlign w:val="bottom"/>
            <w:hideMark/>
          </w:tcPr>
          <w:p w:rsidR="00AD165E" w:rsidRPr="00AD165E" w:rsidRDefault="00AD165E" w:rsidP="00AD165E">
            <w:pPr>
              <w:spacing w:after="0" w:line="240" w:lineRule="auto"/>
              <w:rPr>
                <w:rFonts w:ascii="Arial" w:eastAsia="Times New Roman" w:hAnsi="Arial" w:cs="Arial"/>
                <w:color w:val="000000"/>
                <w:lang w:eastAsia="en-AU"/>
              </w:rPr>
            </w:pPr>
            <w:r w:rsidRPr="00AD165E">
              <w:rPr>
                <w:rFonts w:ascii="Arial" w:eastAsia="Times New Roman" w:hAnsi="Arial" w:cs="Arial"/>
                <w:color w:val="000000"/>
                <w:lang w:eastAsia="en-AU"/>
              </w:rPr>
              <w:t> </w:t>
            </w:r>
          </w:p>
        </w:tc>
      </w:tr>
      <w:tr w:rsidR="00AD165E" w:rsidRPr="00AD165E" w:rsidTr="00E86C1D">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AD165E" w:rsidRPr="00AD165E" w:rsidRDefault="00AD165E" w:rsidP="00AD165E">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lastRenderedPageBreak/>
              <w:t>2 years</w:t>
            </w:r>
          </w:p>
        </w:tc>
        <w:tc>
          <w:tcPr>
            <w:tcW w:w="1325" w:type="dxa"/>
            <w:tcBorders>
              <w:top w:val="nil"/>
              <w:left w:val="single" w:sz="8" w:space="0" w:color="auto"/>
              <w:bottom w:val="single" w:sz="4" w:space="0" w:color="auto"/>
              <w:right w:val="single" w:sz="8" w:space="0" w:color="auto"/>
            </w:tcBorders>
            <w:shd w:val="clear" w:color="auto" w:fill="auto"/>
            <w:noWrap/>
            <w:vAlign w:val="bottom"/>
            <w:hideMark/>
          </w:tcPr>
          <w:p w:rsidR="00AD165E" w:rsidRPr="00AD165E" w:rsidRDefault="00AD165E" w:rsidP="00AD165E">
            <w:pPr>
              <w:spacing w:after="0" w:line="240" w:lineRule="auto"/>
              <w:jc w:val="right"/>
              <w:rPr>
                <w:rFonts w:ascii="Arial" w:eastAsia="Times New Roman" w:hAnsi="Arial" w:cs="Arial"/>
                <w:color w:val="000000"/>
                <w:lang w:eastAsia="en-AU"/>
              </w:rPr>
            </w:pPr>
            <w:r w:rsidRPr="00AD165E">
              <w:rPr>
                <w:rFonts w:ascii="Arial" w:eastAsia="Times New Roman" w:hAnsi="Arial" w:cs="Arial"/>
                <w:color w:val="000000"/>
                <w:lang w:eastAsia="en-AU"/>
              </w:rPr>
              <w:t>57.2%</w:t>
            </w:r>
          </w:p>
        </w:tc>
        <w:tc>
          <w:tcPr>
            <w:tcW w:w="1276" w:type="dxa"/>
            <w:tcBorders>
              <w:top w:val="nil"/>
              <w:left w:val="nil"/>
              <w:bottom w:val="single" w:sz="4" w:space="0" w:color="auto"/>
              <w:right w:val="nil"/>
            </w:tcBorders>
            <w:shd w:val="clear" w:color="auto" w:fill="auto"/>
            <w:noWrap/>
            <w:vAlign w:val="bottom"/>
            <w:hideMark/>
          </w:tcPr>
          <w:p w:rsidR="00AD165E" w:rsidRPr="00AD165E" w:rsidRDefault="00AD165E" w:rsidP="00AD165E">
            <w:pPr>
              <w:spacing w:after="0" w:line="240" w:lineRule="auto"/>
              <w:jc w:val="right"/>
              <w:rPr>
                <w:rFonts w:ascii="Arial" w:eastAsia="Times New Roman" w:hAnsi="Arial" w:cs="Arial"/>
                <w:color w:val="000000"/>
                <w:lang w:eastAsia="en-AU"/>
              </w:rPr>
            </w:pPr>
            <w:r w:rsidRPr="00AD165E">
              <w:rPr>
                <w:rFonts w:ascii="Arial" w:eastAsia="Times New Roman" w:hAnsi="Arial" w:cs="Arial"/>
                <w:color w:val="000000"/>
                <w:lang w:eastAsia="en-AU"/>
              </w:rPr>
              <w:t>77.7%</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AD165E" w:rsidRPr="00AD165E" w:rsidRDefault="00AD165E" w:rsidP="00AD165E">
            <w:pPr>
              <w:spacing w:after="0" w:line="240" w:lineRule="auto"/>
              <w:jc w:val="right"/>
              <w:rPr>
                <w:rFonts w:ascii="Arial" w:eastAsia="Times New Roman" w:hAnsi="Arial" w:cs="Arial"/>
                <w:color w:val="000000"/>
                <w:lang w:eastAsia="en-AU"/>
              </w:rPr>
            </w:pPr>
            <w:r w:rsidRPr="00AD165E">
              <w:rPr>
                <w:rFonts w:ascii="Arial" w:eastAsia="Times New Roman" w:hAnsi="Arial" w:cs="Arial"/>
                <w:color w:val="000000"/>
                <w:lang w:eastAsia="en-AU"/>
              </w:rPr>
              <w:t>89.2%</w:t>
            </w:r>
          </w:p>
        </w:tc>
        <w:tc>
          <w:tcPr>
            <w:tcW w:w="1276" w:type="dxa"/>
            <w:tcBorders>
              <w:top w:val="nil"/>
              <w:left w:val="nil"/>
              <w:bottom w:val="single" w:sz="4" w:space="0" w:color="auto"/>
              <w:right w:val="nil"/>
            </w:tcBorders>
            <w:shd w:val="clear" w:color="auto" w:fill="auto"/>
            <w:noWrap/>
            <w:vAlign w:val="bottom"/>
            <w:hideMark/>
          </w:tcPr>
          <w:p w:rsidR="00AD165E" w:rsidRPr="00AD165E" w:rsidRDefault="00AD165E" w:rsidP="00AD165E">
            <w:pPr>
              <w:spacing w:after="0" w:line="240" w:lineRule="auto"/>
              <w:rPr>
                <w:rFonts w:ascii="Arial" w:eastAsia="Times New Roman" w:hAnsi="Arial" w:cs="Arial"/>
                <w:color w:val="000000"/>
                <w:lang w:eastAsia="en-AU"/>
              </w:rPr>
            </w:pPr>
            <w:r w:rsidRPr="00AD165E">
              <w:rPr>
                <w:rFonts w:ascii="Arial" w:eastAsia="Times New Roman" w:hAnsi="Arial" w:cs="Arial"/>
                <w:color w:val="000000"/>
                <w:lang w:eastAsia="en-AU"/>
              </w:rPr>
              <w:t> </w:t>
            </w:r>
          </w:p>
        </w:tc>
        <w:tc>
          <w:tcPr>
            <w:tcW w:w="1275" w:type="dxa"/>
            <w:tcBorders>
              <w:top w:val="nil"/>
              <w:left w:val="single" w:sz="8" w:space="0" w:color="auto"/>
              <w:bottom w:val="single" w:sz="4" w:space="0" w:color="auto"/>
              <w:right w:val="single" w:sz="8" w:space="0" w:color="auto"/>
            </w:tcBorders>
            <w:shd w:val="clear" w:color="auto" w:fill="auto"/>
            <w:noWrap/>
            <w:vAlign w:val="bottom"/>
            <w:hideMark/>
          </w:tcPr>
          <w:p w:rsidR="00AD165E" w:rsidRPr="00AD165E" w:rsidRDefault="00AD165E" w:rsidP="00AD165E">
            <w:pPr>
              <w:spacing w:after="0" w:line="240" w:lineRule="auto"/>
              <w:rPr>
                <w:rFonts w:ascii="Arial" w:eastAsia="Times New Roman" w:hAnsi="Arial" w:cs="Arial"/>
                <w:color w:val="000000"/>
                <w:lang w:eastAsia="en-AU"/>
              </w:rPr>
            </w:pPr>
            <w:r w:rsidRPr="00AD165E">
              <w:rPr>
                <w:rFonts w:ascii="Arial" w:eastAsia="Times New Roman" w:hAnsi="Arial" w:cs="Arial"/>
                <w:color w:val="000000"/>
                <w:lang w:eastAsia="en-AU"/>
              </w:rPr>
              <w:t> </w:t>
            </w:r>
          </w:p>
        </w:tc>
        <w:tc>
          <w:tcPr>
            <w:tcW w:w="1276" w:type="dxa"/>
            <w:tcBorders>
              <w:top w:val="nil"/>
              <w:left w:val="nil"/>
              <w:bottom w:val="single" w:sz="4" w:space="0" w:color="auto"/>
              <w:right w:val="single" w:sz="8" w:space="0" w:color="auto"/>
            </w:tcBorders>
            <w:shd w:val="clear" w:color="auto" w:fill="auto"/>
            <w:noWrap/>
            <w:vAlign w:val="bottom"/>
            <w:hideMark/>
          </w:tcPr>
          <w:p w:rsidR="00AD165E" w:rsidRPr="00AD165E" w:rsidRDefault="00AD165E" w:rsidP="00AD165E">
            <w:pPr>
              <w:spacing w:after="0" w:line="240" w:lineRule="auto"/>
              <w:rPr>
                <w:rFonts w:ascii="Arial" w:eastAsia="Times New Roman" w:hAnsi="Arial" w:cs="Arial"/>
                <w:color w:val="000000"/>
                <w:lang w:eastAsia="en-AU"/>
              </w:rPr>
            </w:pPr>
            <w:r w:rsidRPr="00AD165E">
              <w:rPr>
                <w:rFonts w:ascii="Arial" w:eastAsia="Times New Roman" w:hAnsi="Arial" w:cs="Arial"/>
                <w:color w:val="000000"/>
                <w:lang w:eastAsia="en-AU"/>
              </w:rPr>
              <w:t> </w:t>
            </w:r>
          </w:p>
        </w:tc>
      </w:tr>
      <w:tr w:rsidR="00AD165E" w:rsidRPr="00AD165E" w:rsidTr="00E86C1D">
        <w:trPr>
          <w:trHeight w:val="285"/>
        </w:trPr>
        <w:tc>
          <w:tcPr>
            <w:tcW w:w="1500" w:type="dxa"/>
            <w:tcBorders>
              <w:top w:val="nil"/>
              <w:left w:val="single" w:sz="8" w:space="0" w:color="auto"/>
              <w:bottom w:val="single" w:sz="8" w:space="0" w:color="auto"/>
              <w:right w:val="nil"/>
            </w:tcBorders>
            <w:shd w:val="clear" w:color="auto" w:fill="auto"/>
            <w:noWrap/>
            <w:vAlign w:val="bottom"/>
            <w:hideMark/>
          </w:tcPr>
          <w:p w:rsidR="00AD165E" w:rsidRPr="00AD165E" w:rsidRDefault="00AD165E" w:rsidP="00AD165E">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1 year</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AD165E" w:rsidRPr="00AD165E" w:rsidRDefault="00AD165E" w:rsidP="00AD165E">
            <w:pPr>
              <w:spacing w:after="0" w:line="240" w:lineRule="auto"/>
              <w:jc w:val="right"/>
              <w:rPr>
                <w:rFonts w:ascii="Arial" w:eastAsia="Times New Roman" w:hAnsi="Arial" w:cs="Arial"/>
                <w:color w:val="000000"/>
                <w:lang w:eastAsia="en-AU"/>
              </w:rPr>
            </w:pPr>
            <w:r w:rsidRPr="00AD165E">
              <w:rPr>
                <w:rFonts w:ascii="Arial" w:eastAsia="Times New Roman" w:hAnsi="Arial" w:cs="Arial"/>
                <w:color w:val="000000"/>
                <w:lang w:eastAsia="en-AU"/>
              </w:rPr>
              <w:t>53.1%</w:t>
            </w:r>
          </w:p>
        </w:tc>
        <w:tc>
          <w:tcPr>
            <w:tcW w:w="1276" w:type="dxa"/>
            <w:tcBorders>
              <w:top w:val="nil"/>
              <w:left w:val="nil"/>
              <w:bottom w:val="single" w:sz="8" w:space="0" w:color="auto"/>
              <w:right w:val="nil"/>
            </w:tcBorders>
            <w:shd w:val="clear" w:color="auto" w:fill="auto"/>
            <w:noWrap/>
            <w:vAlign w:val="bottom"/>
            <w:hideMark/>
          </w:tcPr>
          <w:p w:rsidR="00AD165E" w:rsidRPr="00AD165E" w:rsidRDefault="00AD165E" w:rsidP="00AD165E">
            <w:pPr>
              <w:spacing w:after="0" w:line="240" w:lineRule="auto"/>
              <w:jc w:val="right"/>
              <w:rPr>
                <w:rFonts w:ascii="Arial" w:eastAsia="Times New Roman" w:hAnsi="Arial" w:cs="Arial"/>
                <w:color w:val="000000"/>
                <w:lang w:eastAsia="en-AU"/>
              </w:rPr>
            </w:pPr>
            <w:r w:rsidRPr="00AD165E">
              <w:rPr>
                <w:rFonts w:ascii="Arial" w:eastAsia="Times New Roman" w:hAnsi="Arial" w:cs="Arial"/>
                <w:color w:val="000000"/>
                <w:lang w:eastAsia="en-AU"/>
              </w:rPr>
              <w:t>75.9%</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AD165E" w:rsidRPr="00AD165E" w:rsidRDefault="00AD165E" w:rsidP="00AD165E">
            <w:pPr>
              <w:spacing w:after="0" w:line="240" w:lineRule="auto"/>
              <w:rPr>
                <w:rFonts w:ascii="Arial" w:eastAsia="Times New Roman" w:hAnsi="Arial" w:cs="Arial"/>
                <w:color w:val="000000"/>
                <w:lang w:eastAsia="en-AU"/>
              </w:rPr>
            </w:pPr>
            <w:r w:rsidRPr="00AD165E">
              <w:rPr>
                <w:rFonts w:ascii="Arial" w:eastAsia="Times New Roman" w:hAnsi="Arial" w:cs="Arial"/>
                <w:color w:val="000000"/>
                <w:lang w:eastAsia="en-AU"/>
              </w:rPr>
              <w:t> </w:t>
            </w:r>
          </w:p>
        </w:tc>
        <w:tc>
          <w:tcPr>
            <w:tcW w:w="1276" w:type="dxa"/>
            <w:tcBorders>
              <w:top w:val="nil"/>
              <w:left w:val="nil"/>
              <w:bottom w:val="single" w:sz="8" w:space="0" w:color="auto"/>
              <w:right w:val="nil"/>
            </w:tcBorders>
            <w:shd w:val="clear" w:color="auto" w:fill="auto"/>
            <w:noWrap/>
            <w:vAlign w:val="bottom"/>
            <w:hideMark/>
          </w:tcPr>
          <w:p w:rsidR="00AD165E" w:rsidRPr="00AD165E" w:rsidRDefault="00AD165E" w:rsidP="00AD165E">
            <w:pPr>
              <w:spacing w:after="0" w:line="240" w:lineRule="auto"/>
              <w:rPr>
                <w:rFonts w:ascii="Arial" w:eastAsia="Times New Roman" w:hAnsi="Arial" w:cs="Arial"/>
                <w:color w:val="000000"/>
                <w:lang w:eastAsia="en-AU"/>
              </w:rPr>
            </w:pPr>
            <w:r w:rsidRPr="00AD165E">
              <w:rPr>
                <w:rFonts w:ascii="Arial" w:eastAsia="Times New Roman" w:hAnsi="Arial" w:cs="Arial"/>
                <w:color w:val="000000"/>
                <w:lang w:eastAsia="en-AU"/>
              </w:rPr>
              <w:t> </w:t>
            </w:r>
          </w:p>
        </w:tc>
        <w:tc>
          <w:tcPr>
            <w:tcW w:w="1275" w:type="dxa"/>
            <w:tcBorders>
              <w:top w:val="nil"/>
              <w:left w:val="single" w:sz="8" w:space="0" w:color="auto"/>
              <w:bottom w:val="single" w:sz="8" w:space="0" w:color="auto"/>
              <w:right w:val="single" w:sz="8" w:space="0" w:color="auto"/>
            </w:tcBorders>
            <w:shd w:val="clear" w:color="auto" w:fill="auto"/>
            <w:noWrap/>
            <w:vAlign w:val="bottom"/>
            <w:hideMark/>
          </w:tcPr>
          <w:p w:rsidR="00AD165E" w:rsidRPr="00AD165E" w:rsidRDefault="00AD165E" w:rsidP="00AD165E">
            <w:pPr>
              <w:spacing w:after="0" w:line="240" w:lineRule="auto"/>
              <w:rPr>
                <w:rFonts w:ascii="Arial" w:eastAsia="Times New Roman" w:hAnsi="Arial" w:cs="Arial"/>
                <w:color w:val="000000"/>
                <w:lang w:eastAsia="en-AU"/>
              </w:rPr>
            </w:pPr>
            <w:r w:rsidRPr="00AD165E">
              <w:rPr>
                <w:rFonts w:ascii="Arial" w:eastAsia="Times New Roman" w:hAnsi="Arial" w:cs="Arial"/>
                <w:color w:val="000000"/>
                <w:lang w:eastAsia="en-AU"/>
              </w:rPr>
              <w:t> </w:t>
            </w:r>
          </w:p>
        </w:tc>
        <w:tc>
          <w:tcPr>
            <w:tcW w:w="1276" w:type="dxa"/>
            <w:tcBorders>
              <w:top w:val="nil"/>
              <w:left w:val="nil"/>
              <w:bottom w:val="single" w:sz="8" w:space="0" w:color="auto"/>
              <w:right w:val="single" w:sz="8" w:space="0" w:color="auto"/>
            </w:tcBorders>
            <w:shd w:val="clear" w:color="auto" w:fill="auto"/>
            <w:noWrap/>
            <w:vAlign w:val="bottom"/>
            <w:hideMark/>
          </w:tcPr>
          <w:p w:rsidR="00AD165E" w:rsidRPr="00AD165E" w:rsidRDefault="00AD165E" w:rsidP="00AD165E">
            <w:pPr>
              <w:spacing w:after="0" w:line="240" w:lineRule="auto"/>
              <w:rPr>
                <w:rFonts w:ascii="Arial" w:eastAsia="Times New Roman" w:hAnsi="Arial" w:cs="Arial"/>
                <w:color w:val="000000"/>
                <w:lang w:eastAsia="en-AU"/>
              </w:rPr>
            </w:pPr>
            <w:r w:rsidRPr="00AD165E">
              <w:rPr>
                <w:rFonts w:ascii="Arial" w:eastAsia="Times New Roman" w:hAnsi="Arial" w:cs="Arial"/>
                <w:color w:val="000000"/>
                <w:lang w:eastAsia="en-AU"/>
              </w:rPr>
              <w:t> </w:t>
            </w:r>
          </w:p>
        </w:tc>
      </w:tr>
    </w:tbl>
    <w:p w:rsidR="00AD165E" w:rsidRPr="007E7D11" w:rsidRDefault="00AD165E" w:rsidP="007E7D11"/>
    <w:p w:rsidR="005A26F9" w:rsidRDefault="0080201D" w:rsidP="007E7D11">
      <w:r>
        <w:t>Footnote 1</w:t>
      </w:r>
      <w:r w:rsidR="00AD165E" w:rsidRPr="00AD165E">
        <w:t>: The chart shows the percentage who say their child uses specialist services that assist their learning and development, separately for those who have been in the Scheme for approximately one to five years. For those in the Scheme for five years, only baseline and review 5 percentages are shown, since the numbers are too small to show percentages at other review time points.</w:t>
      </w:r>
    </w:p>
    <w:p w:rsidR="005A26F9" w:rsidRDefault="005A26F9" w:rsidP="005A26F9">
      <w:pPr>
        <w:pStyle w:val="Heading2"/>
      </w:pPr>
      <w:bookmarkStart w:id="30" w:name="_Toc121151407"/>
      <w:r>
        <w:t>Slide 25: Participants aged 0 to 14</w:t>
      </w:r>
      <w:bookmarkEnd w:id="30"/>
    </w:p>
    <w:p w:rsidR="005A26F9" w:rsidRDefault="005A26F9" w:rsidP="005A26F9">
      <w:pPr>
        <w:pStyle w:val="Heading5"/>
      </w:pPr>
      <w:r>
        <w:t xml:space="preserve">Daily living – specialist services </w:t>
      </w:r>
    </w:p>
    <w:p w:rsidR="005A26F9" w:rsidRPr="005A26F9" w:rsidRDefault="005A26F9" w:rsidP="005A26F9">
      <w:pPr>
        <w:pStyle w:val="Heading5"/>
        <w:rPr>
          <w:i/>
        </w:rPr>
      </w:pPr>
      <w:r w:rsidRPr="005A26F9">
        <w:rPr>
          <w:i/>
        </w:rPr>
        <w:t>Gaining skills and assisting child (</w:t>
      </w:r>
      <w:r w:rsidR="0080201D">
        <w:rPr>
          <w:i/>
        </w:rPr>
        <w:t>Footnote 1</w:t>
      </w:r>
      <w:r w:rsidRPr="005A26F9">
        <w:rPr>
          <w:i/>
        </w:rPr>
        <w:t xml:space="preserve">) </w:t>
      </w:r>
    </w:p>
    <w:p w:rsidR="005A26F9" w:rsidRDefault="005A26F9" w:rsidP="007E7D11">
      <w:r w:rsidRPr="005A26F9">
        <w:t xml:space="preserve">Overall, there is a slight increasing trend in the percentage of parents/carers who report that the specialist services help their child to gain key skills and support them in assisting their child. However, the largest percentage point increase is consistently seen in the first year across all cohorts – between 3.8 and 7.5 percentage points. After </w:t>
      </w:r>
      <w:r w:rsidR="005A7C7C">
        <w:t>Four years in the Scheme</w:t>
      </w:r>
      <w:r w:rsidRPr="005A26F9">
        <w:t>, 98.9% of respondents felt that the services their child receives helps their child to gain key skills and 99.3% believed that the services support them in assisting their child. This is a 6.5 and 4.3 percentage point increase since baseline, respectively. Children in the Scheme for two years experienced the largest increases since baseline on both indicators – 10.1 and 8.2 percentage points, respectively.</w:t>
      </w:r>
    </w:p>
    <w:p w:rsidR="005A26F9" w:rsidRDefault="005A26F9" w:rsidP="007E7D11">
      <w:r>
        <w:t>These services help my child gain the skills she/he needs to participate in everyday life (e.g. go to preschool)</w:t>
      </w:r>
      <w:r w:rsidR="00D762FA">
        <w:t>.</w:t>
      </w:r>
    </w:p>
    <w:p w:rsidR="00D762FA" w:rsidRDefault="00D762FA" w:rsidP="007E7D11">
      <w:r>
        <w:t>Single group (P0toSS), by time in the Scheme:</w:t>
      </w:r>
    </w:p>
    <w:tbl>
      <w:tblPr>
        <w:tblW w:w="6780" w:type="dxa"/>
        <w:tblLook w:val="04A0" w:firstRow="1" w:lastRow="0" w:firstColumn="1" w:lastColumn="0" w:noHBand="0" w:noVBand="1"/>
      </w:tblPr>
      <w:tblGrid>
        <w:gridCol w:w="1480"/>
        <w:gridCol w:w="1121"/>
        <w:gridCol w:w="1060"/>
        <w:gridCol w:w="1060"/>
        <w:gridCol w:w="1060"/>
        <w:gridCol w:w="1060"/>
      </w:tblGrid>
      <w:tr w:rsidR="00DF6DD3" w:rsidRPr="00DF6DD3" w:rsidTr="00DF6DD3">
        <w:trPr>
          <w:trHeight w:val="285"/>
        </w:trPr>
        <w:tc>
          <w:tcPr>
            <w:tcW w:w="148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F6DD3" w:rsidRPr="00DF6DD3" w:rsidRDefault="00DF6DD3" w:rsidP="00DF6DD3">
            <w:pPr>
              <w:spacing w:after="0" w:line="240" w:lineRule="auto"/>
              <w:rPr>
                <w:rFonts w:ascii="Arial" w:eastAsia="Times New Roman" w:hAnsi="Arial" w:cs="Arial"/>
                <w:b/>
                <w:bCs/>
                <w:color w:val="000000"/>
                <w:lang w:eastAsia="en-AU"/>
              </w:rPr>
            </w:pPr>
            <w:r w:rsidRPr="00DF6DD3">
              <w:rPr>
                <w:rFonts w:ascii="Arial" w:eastAsia="Times New Roman" w:hAnsi="Arial" w:cs="Arial"/>
                <w:b/>
                <w:bCs/>
                <w:color w:val="000000"/>
                <w:lang w:eastAsia="en-AU"/>
              </w:rPr>
              <w:t>Cohort</w:t>
            </w:r>
          </w:p>
        </w:tc>
        <w:tc>
          <w:tcPr>
            <w:tcW w:w="1060" w:type="dxa"/>
            <w:tcBorders>
              <w:top w:val="single" w:sz="8" w:space="0" w:color="auto"/>
              <w:left w:val="nil"/>
              <w:bottom w:val="single" w:sz="8" w:space="0" w:color="auto"/>
              <w:right w:val="nil"/>
            </w:tcBorders>
            <w:shd w:val="clear" w:color="auto" w:fill="auto"/>
            <w:noWrap/>
            <w:vAlign w:val="bottom"/>
            <w:hideMark/>
          </w:tcPr>
          <w:p w:rsidR="00DF6DD3" w:rsidRPr="00DF6DD3" w:rsidRDefault="00E86C1D" w:rsidP="00DF6DD3">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Baseline</w:t>
            </w:r>
          </w:p>
        </w:tc>
        <w:tc>
          <w:tcPr>
            <w:tcW w:w="1060" w:type="dxa"/>
            <w:tcBorders>
              <w:top w:val="single" w:sz="8" w:space="0" w:color="auto"/>
              <w:left w:val="single" w:sz="8" w:space="0" w:color="auto"/>
              <w:bottom w:val="single" w:sz="8" w:space="0" w:color="auto"/>
              <w:right w:val="nil"/>
            </w:tcBorders>
            <w:shd w:val="clear" w:color="auto" w:fill="auto"/>
            <w:noWrap/>
            <w:vAlign w:val="bottom"/>
            <w:hideMark/>
          </w:tcPr>
          <w:p w:rsidR="00DF6DD3" w:rsidRPr="00DF6DD3" w:rsidRDefault="00E86C1D" w:rsidP="00DF6DD3">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1</w:t>
            </w:r>
          </w:p>
        </w:tc>
        <w:tc>
          <w:tcPr>
            <w:tcW w:w="10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F6DD3" w:rsidRPr="00DF6DD3" w:rsidRDefault="00E86C1D" w:rsidP="00DF6DD3">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w:t>
            </w:r>
            <w:r w:rsidR="00732679">
              <w:rPr>
                <w:rFonts w:ascii="Arial" w:eastAsia="Times New Roman" w:hAnsi="Arial" w:cs="Arial"/>
                <w:b/>
                <w:bCs/>
                <w:color w:val="000000"/>
                <w:lang w:eastAsia="en-AU"/>
              </w:rPr>
              <w:t xml:space="preserve"> </w:t>
            </w:r>
            <w:r>
              <w:rPr>
                <w:rFonts w:ascii="Arial" w:eastAsia="Times New Roman" w:hAnsi="Arial" w:cs="Arial"/>
                <w:b/>
                <w:bCs/>
                <w:color w:val="000000"/>
                <w:lang w:eastAsia="en-AU"/>
              </w:rPr>
              <w:t>2</w:t>
            </w:r>
          </w:p>
        </w:tc>
        <w:tc>
          <w:tcPr>
            <w:tcW w:w="1060" w:type="dxa"/>
            <w:tcBorders>
              <w:top w:val="single" w:sz="8" w:space="0" w:color="auto"/>
              <w:left w:val="nil"/>
              <w:bottom w:val="single" w:sz="8" w:space="0" w:color="auto"/>
              <w:right w:val="single" w:sz="4" w:space="0" w:color="auto"/>
            </w:tcBorders>
            <w:shd w:val="clear" w:color="auto" w:fill="auto"/>
            <w:noWrap/>
            <w:vAlign w:val="bottom"/>
            <w:hideMark/>
          </w:tcPr>
          <w:p w:rsidR="00DF6DD3" w:rsidRPr="00DF6DD3" w:rsidRDefault="00E86C1D" w:rsidP="00DF6DD3">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3</w:t>
            </w:r>
          </w:p>
        </w:tc>
        <w:tc>
          <w:tcPr>
            <w:tcW w:w="1060" w:type="dxa"/>
            <w:tcBorders>
              <w:top w:val="single" w:sz="8" w:space="0" w:color="auto"/>
              <w:left w:val="nil"/>
              <w:bottom w:val="single" w:sz="8" w:space="0" w:color="auto"/>
              <w:right w:val="single" w:sz="8" w:space="0" w:color="auto"/>
            </w:tcBorders>
            <w:shd w:val="clear" w:color="auto" w:fill="auto"/>
            <w:noWrap/>
            <w:vAlign w:val="bottom"/>
            <w:hideMark/>
          </w:tcPr>
          <w:p w:rsidR="00DF6DD3" w:rsidRPr="00DF6DD3" w:rsidRDefault="00E86C1D" w:rsidP="00DF6DD3">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4</w:t>
            </w:r>
          </w:p>
        </w:tc>
      </w:tr>
      <w:tr w:rsidR="00DF6DD3" w:rsidRPr="00DF6DD3" w:rsidTr="00DF6DD3">
        <w:trPr>
          <w:trHeight w:val="278"/>
        </w:trPr>
        <w:tc>
          <w:tcPr>
            <w:tcW w:w="1480" w:type="dxa"/>
            <w:tcBorders>
              <w:top w:val="nil"/>
              <w:left w:val="single" w:sz="8" w:space="0" w:color="auto"/>
              <w:bottom w:val="single" w:sz="4" w:space="0" w:color="auto"/>
              <w:right w:val="single" w:sz="4" w:space="0" w:color="auto"/>
            </w:tcBorders>
            <w:shd w:val="clear" w:color="auto" w:fill="auto"/>
            <w:noWrap/>
            <w:vAlign w:val="bottom"/>
            <w:hideMark/>
          </w:tcPr>
          <w:p w:rsidR="00DF6DD3" w:rsidRPr="00DF6DD3" w:rsidRDefault="00DF6DD3" w:rsidP="00DF6DD3">
            <w:pPr>
              <w:spacing w:after="0" w:line="240" w:lineRule="auto"/>
              <w:rPr>
                <w:rFonts w:ascii="Arial" w:eastAsia="Times New Roman" w:hAnsi="Arial" w:cs="Arial"/>
                <w:b/>
                <w:bCs/>
                <w:color w:val="000000"/>
                <w:lang w:eastAsia="en-AU"/>
              </w:rPr>
            </w:pPr>
            <w:r w:rsidRPr="00DF6DD3">
              <w:rPr>
                <w:rFonts w:ascii="Arial" w:eastAsia="Times New Roman" w:hAnsi="Arial" w:cs="Arial"/>
                <w:b/>
                <w:bCs/>
                <w:color w:val="000000"/>
                <w:lang w:eastAsia="en-AU"/>
              </w:rPr>
              <w:t>4 years</w:t>
            </w:r>
          </w:p>
        </w:tc>
        <w:tc>
          <w:tcPr>
            <w:tcW w:w="1060" w:type="dxa"/>
            <w:tcBorders>
              <w:top w:val="nil"/>
              <w:left w:val="nil"/>
              <w:bottom w:val="single" w:sz="4" w:space="0" w:color="auto"/>
              <w:right w:val="nil"/>
            </w:tcBorders>
            <w:shd w:val="clear" w:color="auto" w:fill="auto"/>
            <w:noWrap/>
            <w:vAlign w:val="bottom"/>
            <w:hideMark/>
          </w:tcPr>
          <w:p w:rsidR="00DF6DD3" w:rsidRPr="00DF6DD3" w:rsidRDefault="00DF6DD3" w:rsidP="00DF6DD3">
            <w:pPr>
              <w:spacing w:after="0" w:line="240" w:lineRule="auto"/>
              <w:jc w:val="right"/>
              <w:rPr>
                <w:rFonts w:ascii="Arial" w:eastAsia="Times New Roman" w:hAnsi="Arial" w:cs="Arial"/>
                <w:color w:val="000000"/>
                <w:lang w:eastAsia="en-AU"/>
              </w:rPr>
            </w:pPr>
            <w:r w:rsidRPr="00DF6DD3">
              <w:rPr>
                <w:rFonts w:ascii="Arial" w:eastAsia="Times New Roman" w:hAnsi="Arial" w:cs="Arial"/>
                <w:color w:val="000000"/>
                <w:lang w:eastAsia="en-AU"/>
              </w:rPr>
              <w:t>92.4%</w:t>
            </w:r>
          </w:p>
        </w:tc>
        <w:tc>
          <w:tcPr>
            <w:tcW w:w="1060" w:type="dxa"/>
            <w:tcBorders>
              <w:top w:val="nil"/>
              <w:left w:val="single" w:sz="8" w:space="0" w:color="auto"/>
              <w:bottom w:val="single" w:sz="4" w:space="0" w:color="auto"/>
              <w:right w:val="nil"/>
            </w:tcBorders>
            <w:shd w:val="clear" w:color="auto" w:fill="auto"/>
            <w:noWrap/>
            <w:vAlign w:val="bottom"/>
            <w:hideMark/>
          </w:tcPr>
          <w:p w:rsidR="00DF6DD3" w:rsidRPr="00DF6DD3" w:rsidRDefault="00DF6DD3" w:rsidP="00DF6DD3">
            <w:pPr>
              <w:spacing w:after="0" w:line="240" w:lineRule="auto"/>
              <w:jc w:val="right"/>
              <w:rPr>
                <w:rFonts w:ascii="Arial" w:eastAsia="Times New Roman" w:hAnsi="Arial" w:cs="Arial"/>
                <w:color w:val="000000"/>
                <w:lang w:eastAsia="en-AU"/>
              </w:rPr>
            </w:pPr>
            <w:r w:rsidRPr="00DF6DD3">
              <w:rPr>
                <w:rFonts w:ascii="Arial" w:eastAsia="Times New Roman" w:hAnsi="Arial" w:cs="Arial"/>
                <w:color w:val="000000"/>
                <w:lang w:eastAsia="en-AU"/>
              </w:rPr>
              <w:t>97.0%</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rsidR="00DF6DD3" w:rsidRPr="00DF6DD3" w:rsidRDefault="00DF6DD3" w:rsidP="00DF6DD3">
            <w:pPr>
              <w:spacing w:after="0" w:line="240" w:lineRule="auto"/>
              <w:jc w:val="right"/>
              <w:rPr>
                <w:rFonts w:ascii="Arial" w:eastAsia="Times New Roman" w:hAnsi="Arial" w:cs="Arial"/>
                <w:color w:val="000000"/>
                <w:lang w:eastAsia="en-AU"/>
              </w:rPr>
            </w:pPr>
            <w:r w:rsidRPr="00DF6DD3">
              <w:rPr>
                <w:rFonts w:ascii="Arial" w:eastAsia="Times New Roman" w:hAnsi="Arial" w:cs="Arial"/>
                <w:color w:val="000000"/>
                <w:lang w:eastAsia="en-AU"/>
              </w:rPr>
              <w:t>96.2%</w:t>
            </w:r>
          </w:p>
        </w:tc>
        <w:tc>
          <w:tcPr>
            <w:tcW w:w="1060" w:type="dxa"/>
            <w:tcBorders>
              <w:top w:val="nil"/>
              <w:left w:val="nil"/>
              <w:bottom w:val="single" w:sz="4" w:space="0" w:color="auto"/>
              <w:right w:val="single" w:sz="4" w:space="0" w:color="auto"/>
            </w:tcBorders>
            <w:shd w:val="clear" w:color="auto" w:fill="auto"/>
            <w:noWrap/>
            <w:vAlign w:val="bottom"/>
            <w:hideMark/>
          </w:tcPr>
          <w:p w:rsidR="00DF6DD3" w:rsidRPr="00DF6DD3" w:rsidRDefault="00DF6DD3" w:rsidP="00DF6DD3">
            <w:pPr>
              <w:spacing w:after="0" w:line="240" w:lineRule="auto"/>
              <w:jc w:val="right"/>
              <w:rPr>
                <w:rFonts w:ascii="Arial" w:eastAsia="Times New Roman" w:hAnsi="Arial" w:cs="Arial"/>
                <w:color w:val="000000"/>
                <w:lang w:eastAsia="en-AU"/>
              </w:rPr>
            </w:pPr>
            <w:r w:rsidRPr="00DF6DD3">
              <w:rPr>
                <w:rFonts w:ascii="Arial" w:eastAsia="Times New Roman" w:hAnsi="Arial" w:cs="Arial"/>
                <w:color w:val="000000"/>
                <w:lang w:eastAsia="en-AU"/>
              </w:rPr>
              <w:t>99.3%</w:t>
            </w:r>
          </w:p>
        </w:tc>
        <w:tc>
          <w:tcPr>
            <w:tcW w:w="1060" w:type="dxa"/>
            <w:tcBorders>
              <w:top w:val="nil"/>
              <w:left w:val="nil"/>
              <w:bottom w:val="single" w:sz="4" w:space="0" w:color="auto"/>
              <w:right w:val="single" w:sz="8" w:space="0" w:color="auto"/>
            </w:tcBorders>
            <w:shd w:val="clear" w:color="auto" w:fill="auto"/>
            <w:noWrap/>
            <w:vAlign w:val="bottom"/>
            <w:hideMark/>
          </w:tcPr>
          <w:p w:rsidR="00DF6DD3" w:rsidRPr="00DF6DD3" w:rsidRDefault="00DF6DD3" w:rsidP="00DF6DD3">
            <w:pPr>
              <w:spacing w:after="0" w:line="240" w:lineRule="auto"/>
              <w:jc w:val="right"/>
              <w:rPr>
                <w:rFonts w:ascii="Arial" w:eastAsia="Times New Roman" w:hAnsi="Arial" w:cs="Arial"/>
                <w:color w:val="000000"/>
                <w:lang w:eastAsia="en-AU"/>
              </w:rPr>
            </w:pPr>
            <w:r w:rsidRPr="00DF6DD3">
              <w:rPr>
                <w:rFonts w:ascii="Arial" w:eastAsia="Times New Roman" w:hAnsi="Arial" w:cs="Arial"/>
                <w:color w:val="000000"/>
                <w:lang w:eastAsia="en-AU"/>
              </w:rPr>
              <w:t>98.9%</w:t>
            </w:r>
          </w:p>
        </w:tc>
      </w:tr>
      <w:tr w:rsidR="00DF6DD3" w:rsidRPr="00DF6DD3" w:rsidTr="00DF6DD3">
        <w:trPr>
          <w:trHeight w:val="278"/>
        </w:trPr>
        <w:tc>
          <w:tcPr>
            <w:tcW w:w="1480" w:type="dxa"/>
            <w:tcBorders>
              <w:top w:val="nil"/>
              <w:left w:val="single" w:sz="8" w:space="0" w:color="auto"/>
              <w:bottom w:val="single" w:sz="4" w:space="0" w:color="auto"/>
              <w:right w:val="single" w:sz="4" w:space="0" w:color="auto"/>
            </w:tcBorders>
            <w:shd w:val="clear" w:color="auto" w:fill="auto"/>
            <w:noWrap/>
            <w:vAlign w:val="bottom"/>
            <w:hideMark/>
          </w:tcPr>
          <w:p w:rsidR="00DF6DD3" w:rsidRPr="00DF6DD3" w:rsidRDefault="00DF6DD3" w:rsidP="00DF6DD3">
            <w:pPr>
              <w:spacing w:after="0" w:line="240" w:lineRule="auto"/>
              <w:rPr>
                <w:rFonts w:ascii="Arial" w:eastAsia="Times New Roman" w:hAnsi="Arial" w:cs="Arial"/>
                <w:b/>
                <w:bCs/>
                <w:color w:val="000000"/>
                <w:lang w:eastAsia="en-AU"/>
              </w:rPr>
            </w:pPr>
            <w:r w:rsidRPr="00DF6DD3">
              <w:rPr>
                <w:rFonts w:ascii="Arial" w:eastAsia="Times New Roman" w:hAnsi="Arial" w:cs="Arial"/>
                <w:b/>
                <w:bCs/>
                <w:color w:val="000000"/>
                <w:lang w:eastAsia="en-AU"/>
              </w:rPr>
              <w:t>3 years</w:t>
            </w:r>
          </w:p>
        </w:tc>
        <w:tc>
          <w:tcPr>
            <w:tcW w:w="1060" w:type="dxa"/>
            <w:tcBorders>
              <w:top w:val="nil"/>
              <w:left w:val="nil"/>
              <w:bottom w:val="single" w:sz="4" w:space="0" w:color="auto"/>
              <w:right w:val="nil"/>
            </w:tcBorders>
            <w:shd w:val="clear" w:color="auto" w:fill="auto"/>
            <w:noWrap/>
            <w:vAlign w:val="bottom"/>
            <w:hideMark/>
          </w:tcPr>
          <w:p w:rsidR="00DF6DD3" w:rsidRPr="00DF6DD3" w:rsidRDefault="00DF6DD3" w:rsidP="00DF6DD3">
            <w:pPr>
              <w:spacing w:after="0" w:line="240" w:lineRule="auto"/>
              <w:jc w:val="right"/>
              <w:rPr>
                <w:rFonts w:ascii="Arial" w:eastAsia="Times New Roman" w:hAnsi="Arial" w:cs="Arial"/>
                <w:color w:val="000000"/>
                <w:lang w:eastAsia="en-AU"/>
              </w:rPr>
            </w:pPr>
            <w:r w:rsidRPr="00DF6DD3">
              <w:rPr>
                <w:rFonts w:ascii="Arial" w:eastAsia="Times New Roman" w:hAnsi="Arial" w:cs="Arial"/>
                <w:color w:val="000000"/>
                <w:lang w:eastAsia="en-AU"/>
              </w:rPr>
              <w:t>88.6%</w:t>
            </w:r>
          </w:p>
        </w:tc>
        <w:tc>
          <w:tcPr>
            <w:tcW w:w="1060" w:type="dxa"/>
            <w:tcBorders>
              <w:top w:val="nil"/>
              <w:left w:val="single" w:sz="8" w:space="0" w:color="auto"/>
              <w:bottom w:val="single" w:sz="4" w:space="0" w:color="auto"/>
              <w:right w:val="nil"/>
            </w:tcBorders>
            <w:shd w:val="clear" w:color="auto" w:fill="auto"/>
            <w:noWrap/>
            <w:vAlign w:val="bottom"/>
            <w:hideMark/>
          </w:tcPr>
          <w:p w:rsidR="00DF6DD3" w:rsidRPr="00DF6DD3" w:rsidRDefault="00DF6DD3" w:rsidP="00DF6DD3">
            <w:pPr>
              <w:spacing w:after="0" w:line="240" w:lineRule="auto"/>
              <w:jc w:val="right"/>
              <w:rPr>
                <w:rFonts w:ascii="Arial" w:eastAsia="Times New Roman" w:hAnsi="Arial" w:cs="Arial"/>
                <w:color w:val="000000"/>
                <w:lang w:eastAsia="en-AU"/>
              </w:rPr>
            </w:pPr>
            <w:r w:rsidRPr="00DF6DD3">
              <w:rPr>
                <w:rFonts w:ascii="Arial" w:eastAsia="Times New Roman" w:hAnsi="Arial" w:cs="Arial"/>
                <w:color w:val="000000"/>
                <w:lang w:eastAsia="en-AU"/>
              </w:rPr>
              <w:t>96.1%</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rsidR="00DF6DD3" w:rsidRPr="00DF6DD3" w:rsidRDefault="00DF6DD3" w:rsidP="00DF6DD3">
            <w:pPr>
              <w:spacing w:after="0" w:line="240" w:lineRule="auto"/>
              <w:jc w:val="right"/>
              <w:rPr>
                <w:rFonts w:ascii="Arial" w:eastAsia="Times New Roman" w:hAnsi="Arial" w:cs="Arial"/>
                <w:color w:val="000000"/>
                <w:lang w:eastAsia="en-AU"/>
              </w:rPr>
            </w:pPr>
            <w:r w:rsidRPr="00DF6DD3">
              <w:rPr>
                <w:rFonts w:ascii="Arial" w:eastAsia="Times New Roman" w:hAnsi="Arial" w:cs="Arial"/>
                <w:color w:val="000000"/>
                <w:lang w:eastAsia="en-AU"/>
              </w:rPr>
              <w:t>97.5%</w:t>
            </w:r>
          </w:p>
        </w:tc>
        <w:tc>
          <w:tcPr>
            <w:tcW w:w="1060" w:type="dxa"/>
            <w:tcBorders>
              <w:top w:val="nil"/>
              <w:left w:val="nil"/>
              <w:bottom w:val="single" w:sz="4" w:space="0" w:color="auto"/>
              <w:right w:val="single" w:sz="4" w:space="0" w:color="auto"/>
            </w:tcBorders>
            <w:shd w:val="clear" w:color="auto" w:fill="auto"/>
            <w:noWrap/>
            <w:vAlign w:val="bottom"/>
            <w:hideMark/>
          </w:tcPr>
          <w:p w:rsidR="00DF6DD3" w:rsidRPr="00DF6DD3" w:rsidRDefault="00DF6DD3" w:rsidP="00DF6DD3">
            <w:pPr>
              <w:spacing w:after="0" w:line="240" w:lineRule="auto"/>
              <w:jc w:val="right"/>
              <w:rPr>
                <w:rFonts w:ascii="Arial" w:eastAsia="Times New Roman" w:hAnsi="Arial" w:cs="Arial"/>
                <w:color w:val="000000"/>
                <w:lang w:eastAsia="en-AU"/>
              </w:rPr>
            </w:pPr>
            <w:r w:rsidRPr="00DF6DD3">
              <w:rPr>
                <w:rFonts w:ascii="Arial" w:eastAsia="Times New Roman" w:hAnsi="Arial" w:cs="Arial"/>
                <w:color w:val="000000"/>
                <w:lang w:eastAsia="en-AU"/>
              </w:rPr>
              <w:t>97.4%</w:t>
            </w:r>
          </w:p>
        </w:tc>
        <w:tc>
          <w:tcPr>
            <w:tcW w:w="1060" w:type="dxa"/>
            <w:tcBorders>
              <w:top w:val="nil"/>
              <w:left w:val="nil"/>
              <w:bottom w:val="single" w:sz="4" w:space="0" w:color="auto"/>
              <w:right w:val="single" w:sz="8" w:space="0" w:color="auto"/>
            </w:tcBorders>
            <w:shd w:val="clear" w:color="auto" w:fill="auto"/>
            <w:noWrap/>
            <w:vAlign w:val="bottom"/>
            <w:hideMark/>
          </w:tcPr>
          <w:p w:rsidR="00DF6DD3" w:rsidRPr="00DF6DD3" w:rsidRDefault="00DF6DD3" w:rsidP="00DF6DD3">
            <w:pPr>
              <w:spacing w:after="0" w:line="240" w:lineRule="auto"/>
              <w:rPr>
                <w:rFonts w:ascii="Arial" w:eastAsia="Times New Roman" w:hAnsi="Arial" w:cs="Arial"/>
                <w:color w:val="000000"/>
                <w:lang w:eastAsia="en-AU"/>
              </w:rPr>
            </w:pPr>
            <w:r w:rsidRPr="00DF6DD3">
              <w:rPr>
                <w:rFonts w:ascii="Arial" w:eastAsia="Times New Roman" w:hAnsi="Arial" w:cs="Arial"/>
                <w:color w:val="000000"/>
                <w:lang w:eastAsia="en-AU"/>
              </w:rPr>
              <w:t> </w:t>
            </w:r>
          </w:p>
        </w:tc>
      </w:tr>
      <w:tr w:rsidR="00DF6DD3" w:rsidRPr="00DF6DD3" w:rsidTr="00DF6DD3">
        <w:trPr>
          <w:trHeight w:val="278"/>
        </w:trPr>
        <w:tc>
          <w:tcPr>
            <w:tcW w:w="1480" w:type="dxa"/>
            <w:tcBorders>
              <w:top w:val="nil"/>
              <w:left w:val="single" w:sz="8" w:space="0" w:color="auto"/>
              <w:bottom w:val="single" w:sz="4" w:space="0" w:color="auto"/>
              <w:right w:val="single" w:sz="4" w:space="0" w:color="auto"/>
            </w:tcBorders>
            <w:shd w:val="clear" w:color="auto" w:fill="auto"/>
            <w:noWrap/>
            <w:vAlign w:val="bottom"/>
            <w:hideMark/>
          </w:tcPr>
          <w:p w:rsidR="00DF6DD3" w:rsidRPr="00DF6DD3" w:rsidRDefault="00DF6DD3" w:rsidP="00DF6DD3">
            <w:pPr>
              <w:spacing w:after="0" w:line="240" w:lineRule="auto"/>
              <w:rPr>
                <w:rFonts w:ascii="Arial" w:eastAsia="Times New Roman" w:hAnsi="Arial" w:cs="Arial"/>
                <w:b/>
                <w:bCs/>
                <w:color w:val="000000"/>
                <w:lang w:eastAsia="en-AU"/>
              </w:rPr>
            </w:pPr>
            <w:r w:rsidRPr="00DF6DD3">
              <w:rPr>
                <w:rFonts w:ascii="Arial" w:eastAsia="Times New Roman" w:hAnsi="Arial" w:cs="Arial"/>
                <w:b/>
                <w:bCs/>
                <w:color w:val="000000"/>
                <w:lang w:eastAsia="en-AU"/>
              </w:rPr>
              <w:t>2 years</w:t>
            </w:r>
          </w:p>
        </w:tc>
        <w:tc>
          <w:tcPr>
            <w:tcW w:w="1060" w:type="dxa"/>
            <w:tcBorders>
              <w:top w:val="nil"/>
              <w:left w:val="nil"/>
              <w:bottom w:val="single" w:sz="4" w:space="0" w:color="auto"/>
              <w:right w:val="nil"/>
            </w:tcBorders>
            <w:shd w:val="clear" w:color="auto" w:fill="auto"/>
            <w:noWrap/>
            <w:vAlign w:val="bottom"/>
            <w:hideMark/>
          </w:tcPr>
          <w:p w:rsidR="00DF6DD3" w:rsidRPr="00DF6DD3" w:rsidRDefault="00DF6DD3" w:rsidP="00DF6DD3">
            <w:pPr>
              <w:spacing w:after="0" w:line="240" w:lineRule="auto"/>
              <w:jc w:val="right"/>
              <w:rPr>
                <w:rFonts w:ascii="Arial" w:eastAsia="Times New Roman" w:hAnsi="Arial" w:cs="Arial"/>
                <w:color w:val="000000"/>
                <w:lang w:eastAsia="en-AU"/>
              </w:rPr>
            </w:pPr>
            <w:r w:rsidRPr="00DF6DD3">
              <w:rPr>
                <w:rFonts w:ascii="Arial" w:eastAsia="Times New Roman" w:hAnsi="Arial" w:cs="Arial"/>
                <w:color w:val="000000"/>
                <w:lang w:eastAsia="en-AU"/>
              </w:rPr>
              <w:t>86.1%</w:t>
            </w:r>
          </w:p>
        </w:tc>
        <w:tc>
          <w:tcPr>
            <w:tcW w:w="1060" w:type="dxa"/>
            <w:tcBorders>
              <w:top w:val="nil"/>
              <w:left w:val="single" w:sz="8" w:space="0" w:color="auto"/>
              <w:bottom w:val="single" w:sz="4" w:space="0" w:color="auto"/>
              <w:right w:val="nil"/>
            </w:tcBorders>
            <w:shd w:val="clear" w:color="auto" w:fill="auto"/>
            <w:noWrap/>
            <w:vAlign w:val="bottom"/>
            <w:hideMark/>
          </w:tcPr>
          <w:p w:rsidR="00DF6DD3" w:rsidRPr="00DF6DD3" w:rsidRDefault="00DF6DD3" w:rsidP="00DF6DD3">
            <w:pPr>
              <w:spacing w:after="0" w:line="240" w:lineRule="auto"/>
              <w:jc w:val="right"/>
              <w:rPr>
                <w:rFonts w:ascii="Arial" w:eastAsia="Times New Roman" w:hAnsi="Arial" w:cs="Arial"/>
                <w:color w:val="000000"/>
                <w:lang w:eastAsia="en-AU"/>
              </w:rPr>
            </w:pPr>
            <w:r w:rsidRPr="00DF6DD3">
              <w:rPr>
                <w:rFonts w:ascii="Arial" w:eastAsia="Times New Roman" w:hAnsi="Arial" w:cs="Arial"/>
                <w:color w:val="000000"/>
                <w:lang w:eastAsia="en-AU"/>
              </w:rPr>
              <w:t>93.1%</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rsidR="00DF6DD3" w:rsidRPr="00DF6DD3" w:rsidRDefault="00DF6DD3" w:rsidP="00DF6DD3">
            <w:pPr>
              <w:spacing w:after="0" w:line="240" w:lineRule="auto"/>
              <w:jc w:val="right"/>
              <w:rPr>
                <w:rFonts w:ascii="Arial" w:eastAsia="Times New Roman" w:hAnsi="Arial" w:cs="Arial"/>
                <w:color w:val="000000"/>
                <w:lang w:eastAsia="en-AU"/>
              </w:rPr>
            </w:pPr>
            <w:r w:rsidRPr="00DF6DD3">
              <w:rPr>
                <w:rFonts w:ascii="Arial" w:eastAsia="Times New Roman" w:hAnsi="Arial" w:cs="Arial"/>
                <w:color w:val="000000"/>
                <w:lang w:eastAsia="en-AU"/>
              </w:rPr>
              <w:t>96.2%</w:t>
            </w:r>
          </w:p>
        </w:tc>
        <w:tc>
          <w:tcPr>
            <w:tcW w:w="1060" w:type="dxa"/>
            <w:tcBorders>
              <w:top w:val="nil"/>
              <w:left w:val="nil"/>
              <w:bottom w:val="single" w:sz="4" w:space="0" w:color="auto"/>
              <w:right w:val="single" w:sz="4" w:space="0" w:color="auto"/>
            </w:tcBorders>
            <w:shd w:val="clear" w:color="auto" w:fill="auto"/>
            <w:noWrap/>
            <w:vAlign w:val="bottom"/>
            <w:hideMark/>
          </w:tcPr>
          <w:p w:rsidR="00DF6DD3" w:rsidRPr="00DF6DD3" w:rsidRDefault="00DF6DD3" w:rsidP="00DF6DD3">
            <w:pPr>
              <w:spacing w:after="0" w:line="240" w:lineRule="auto"/>
              <w:rPr>
                <w:rFonts w:ascii="Arial" w:eastAsia="Times New Roman" w:hAnsi="Arial" w:cs="Arial"/>
                <w:color w:val="000000"/>
                <w:lang w:eastAsia="en-AU"/>
              </w:rPr>
            </w:pPr>
            <w:r w:rsidRPr="00DF6DD3">
              <w:rPr>
                <w:rFonts w:ascii="Arial" w:eastAsia="Times New Roman" w:hAnsi="Arial" w:cs="Arial"/>
                <w:color w:val="000000"/>
                <w:lang w:eastAsia="en-AU"/>
              </w:rPr>
              <w:t> </w:t>
            </w:r>
          </w:p>
        </w:tc>
        <w:tc>
          <w:tcPr>
            <w:tcW w:w="1060" w:type="dxa"/>
            <w:tcBorders>
              <w:top w:val="nil"/>
              <w:left w:val="nil"/>
              <w:bottom w:val="single" w:sz="4" w:space="0" w:color="auto"/>
              <w:right w:val="single" w:sz="8" w:space="0" w:color="auto"/>
            </w:tcBorders>
            <w:shd w:val="clear" w:color="auto" w:fill="auto"/>
            <w:noWrap/>
            <w:vAlign w:val="bottom"/>
            <w:hideMark/>
          </w:tcPr>
          <w:p w:rsidR="00DF6DD3" w:rsidRPr="00DF6DD3" w:rsidRDefault="00DF6DD3" w:rsidP="00DF6DD3">
            <w:pPr>
              <w:spacing w:after="0" w:line="240" w:lineRule="auto"/>
              <w:rPr>
                <w:rFonts w:ascii="Arial" w:eastAsia="Times New Roman" w:hAnsi="Arial" w:cs="Arial"/>
                <w:color w:val="000000"/>
                <w:lang w:eastAsia="en-AU"/>
              </w:rPr>
            </w:pPr>
            <w:r w:rsidRPr="00DF6DD3">
              <w:rPr>
                <w:rFonts w:ascii="Arial" w:eastAsia="Times New Roman" w:hAnsi="Arial" w:cs="Arial"/>
                <w:color w:val="000000"/>
                <w:lang w:eastAsia="en-AU"/>
              </w:rPr>
              <w:t> </w:t>
            </w:r>
          </w:p>
        </w:tc>
      </w:tr>
      <w:tr w:rsidR="00DF6DD3" w:rsidRPr="00DF6DD3" w:rsidTr="00DF6DD3">
        <w:trPr>
          <w:trHeight w:val="285"/>
        </w:trPr>
        <w:tc>
          <w:tcPr>
            <w:tcW w:w="1480" w:type="dxa"/>
            <w:tcBorders>
              <w:top w:val="nil"/>
              <w:left w:val="single" w:sz="8" w:space="0" w:color="auto"/>
              <w:bottom w:val="single" w:sz="8" w:space="0" w:color="auto"/>
              <w:right w:val="single" w:sz="4" w:space="0" w:color="auto"/>
            </w:tcBorders>
            <w:shd w:val="clear" w:color="auto" w:fill="auto"/>
            <w:noWrap/>
            <w:vAlign w:val="bottom"/>
            <w:hideMark/>
          </w:tcPr>
          <w:p w:rsidR="00DF6DD3" w:rsidRPr="00DF6DD3" w:rsidRDefault="00DF6DD3" w:rsidP="00DF6DD3">
            <w:pPr>
              <w:spacing w:after="0" w:line="240" w:lineRule="auto"/>
              <w:rPr>
                <w:rFonts w:ascii="Arial" w:eastAsia="Times New Roman" w:hAnsi="Arial" w:cs="Arial"/>
                <w:b/>
                <w:bCs/>
                <w:color w:val="000000"/>
                <w:lang w:eastAsia="en-AU"/>
              </w:rPr>
            </w:pPr>
            <w:r w:rsidRPr="00DF6DD3">
              <w:rPr>
                <w:rFonts w:ascii="Arial" w:eastAsia="Times New Roman" w:hAnsi="Arial" w:cs="Arial"/>
                <w:b/>
                <w:bCs/>
                <w:color w:val="000000"/>
                <w:lang w:eastAsia="en-AU"/>
              </w:rPr>
              <w:t>1 year</w:t>
            </w:r>
          </w:p>
        </w:tc>
        <w:tc>
          <w:tcPr>
            <w:tcW w:w="1060" w:type="dxa"/>
            <w:tcBorders>
              <w:top w:val="nil"/>
              <w:left w:val="nil"/>
              <w:bottom w:val="single" w:sz="8" w:space="0" w:color="auto"/>
              <w:right w:val="nil"/>
            </w:tcBorders>
            <w:shd w:val="clear" w:color="auto" w:fill="auto"/>
            <w:noWrap/>
            <w:vAlign w:val="bottom"/>
            <w:hideMark/>
          </w:tcPr>
          <w:p w:rsidR="00DF6DD3" w:rsidRPr="00DF6DD3" w:rsidRDefault="00DF6DD3" w:rsidP="00DF6DD3">
            <w:pPr>
              <w:spacing w:after="0" w:line="240" w:lineRule="auto"/>
              <w:jc w:val="right"/>
              <w:rPr>
                <w:rFonts w:ascii="Arial" w:eastAsia="Times New Roman" w:hAnsi="Arial" w:cs="Arial"/>
                <w:color w:val="000000"/>
                <w:lang w:eastAsia="en-AU"/>
              </w:rPr>
            </w:pPr>
            <w:r w:rsidRPr="00DF6DD3">
              <w:rPr>
                <w:rFonts w:ascii="Arial" w:eastAsia="Times New Roman" w:hAnsi="Arial" w:cs="Arial"/>
                <w:color w:val="000000"/>
                <w:lang w:eastAsia="en-AU"/>
              </w:rPr>
              <w:t>87.4%</w:t>
            </w:r>
          </w:p>
        </w:tc>
        <w:tc>
          <w:tcPr>
            <w:tcW w:w="1060" w:type="dxa"/>
            <w:tcBorders>
              <w:top w:val="nil"/>
              <w:left w:val="single" w:sz="8" w:space="0" w:color="auto"/>
              <w:bottom w:val="single" w:sz="8" w:space="0" w:color="auto"/>
              <w:right w:val="nil"/>
            </w:tcBorders>
            <w:shd w:val="clear" w:color="auto" w:fill="auto"/>
            <w:noWrap/>
            <w:vAlign w:val="bottom"/>
            <w:hideMark/>
          </w:tcPr>
          <w:p w:rsidR="00DF6DD3" w:rsidRPr="00DF6DD3" w:rsidRDefault="00DF6DD3" w:rsidP="00DF6DD3">
            <w:pPr>
              <w:spacing w:after="0" w:line="240" w:lineRule="auto"/>
              <w:jc w:val="right"/>
              <w:rPr>
                <w:rFonts w:ascii="Arial" w:eastAsia="Times New Roman" w:hAnsi="Arial" w:cs="Arial"/>
                <w:color w:val="000000"/>
                <w:lang w:eastAsia="en-AU"/>
              </w:rPr>
            </w:pPr>
            <w:r w:rsidRPr="00DF6DD3">
              <w:rPr>
                <w:rFonts w:ascii="Arial" w:eastAsia="Times New Roman" w:hAnsi="Arial" w:cs="Arial"/>
                <w:color w:val="000000"/>
                <w:lang w:eastAsia="en-AU"/>
              </w:rPr>
              <w:t>93.9%</w:t>
            </w:r>
          </w:p>
        </w:tc>
        <w:tc>
          <w:tcPr>
            <w:tcW w:w="1060" w:type="dxa"/>
            <w:tcBorders>
              <w:top w:val="nil"/>
              <w:left w:val="single" w:sz="8" w:space="0" w:color="auto"/>
              <w:bottom w:val="single" w:sz="8" w:space="0" w:color="auto"/>
              <w:right w:val="single" w:sz="8" w:space="0" w:color="auto"/>
            </w:tcBorders>
            <w:shd w:val="clear" w:color="auto" w:fill="auto"/>
            <w:noWrap/>
            <w:vAlign w:val="bottom"/>
            <w:hideMark/>
          </w:tcPr>
          <w:p w:rsidR="00DF6DD3" w:rsidRPr="00DF6DD3" w:rsidRDefault="00DF6DD3" w:rsidP="00DF6DD3">
            <w:pPr>
              <w:spacing w:after="0" w:line="240" w:lineRule="auto"/>
              <w:rPr>
                <w:rFonts w:ascii="Arial" w:eastAsia="Times New Roman" w:hAnsi="Arial" w:cs="Arial"/>
                <w:color w:val="000000"/>
                <w:lang w:eastAsia="en-AU"/>
              </w:rPr>
            </w:pPr>
            <w:r w:rsidRPr="00DF6DD3">
              <w:rPr>
                <w:rFonts w:ascii="Arial" w:eastAsia="Times New Roman" w:hAnsi="Arial" w:cs="Arial"/>
                <w:color w:val="000000"/>
                <w:lang w:eastAsia="en-AU"/>
              </w:rPr>
              <w:t> </w:t>
            </w:r>
          </w:p>
        </w:tc>
        <w:tc>
          <w:tcPr>
            <w:tcW w:w="1060" w:type="dxa"/>
            <w:tcBorders>
              <w:top w:val="nil"/>
              <w:left w:val="nil"/>
              <w:bottom w:val="single" w:sz="8" w:space="0" w:color="auto"/>
              <w:right w:val="single" w:sz="4" w:space="0" w:color="auto"/>
            </w:tcBorders>
            <w:shd w:val="clear" w:color="auto" w:fill="auto"/>
            <w:noWrap/>
            <w:vAlign w:val="bottom"/>
            <w:hideMark/>
          </w:tcPr>
          <w:p w:rsidR="00DF6DD3" w:rsidRPr="00DF6DD3" w:rsidRDefault="00DF6DD3" w:rsidP="00DF6DD3">
            <w:pPr>
              <w:spacing w:after="0" w:line="240" w:lineRule="auto"/>
              <w:rPr>
                <w:rFonts w:ascii="Arial" w:eastAsia="Times New Roman" w:hAnsi="Arial" w:cs="Arial"/>
                <w:color w:val="000000"/>
                <w:lang w:eastAsia="en-AU"/>
              </w:rPr>
            </w:pPr>
            <w:r w:rsidRPr="00DF6DD3">
              <w:rPr>
                <w:rFonts w:ascii="Arial" w:eastAsia="Times New Roman" w:hAnsi="Arial" w:cs="Arial"/>
                <w:color w:val="000000"/>
                <w:lang w:eastAsia="en-AU"/>
              </w:rPr>
              <w:t> </w:t>
            </w:r>
          </w:p>
        </w:tc>
        <w:tc>
          <w:tcPr>
            <w:tcW w:w="1060" w:type="dxa"/>
            <w:tcBorders>
              <w:top w:val="nil"/>
              <w:left w:val="nil"/>
              <w:bottom w:val="single" w:sz="8" w:space="0" w:color="auto"/>
              <w:right w:val="single" w:sz="8" w:space="0" w:color="auto"/>
            </w:tcBorders>
            <w:shd w:val="clear" w:color="auto" w:fill="auto"/>
            <w:noWrap/>
            <w:vAlign w:val="bottom"/>
            <w:hideMark/>
          </w:tcPr>
          <w:p w:rsidR="00DF6DD3" w:rsidRPr="00DF6DD3" w:rsidRDefault="00DF6DD3" w:rsidP="00DF6DD3">
            <w:pPr>
              <w:spacing w:after="0" w:line="240" w:lineRule="auto"/>
              <w:rPr>
                <w:rFonts w:ascii="Arial" w:eastAsia="Times New Roman" w:hAnsi="Arial" w:cs="Arial"/>
                <w:color w:val="000000"/>
                <w:lang w:eastAsia="en-AU"/>
              </w:rPr>
            </w:pPr>
            <w:r w:rsidRPr="00DF6DD3">
              <w:rPr>
                <w:rFonts w:ascii="Arial" w:eastAsia="Times New Roman" w:hAnsi="Arial" w:cs="Arial"/>
                <w:color w:val="000000"/>
                <w:lang w:eastAsia="en-AU"/>
              </w:rPr>
              <w:t> </w:t>
            </w:r>
          </w:p>
        </w:tc>
      </w:tr>
    </w:tbl>
    <w:p w:rsidR="00DF6DD3" w:rsidRDefault="00DF6DD3" w:rsidP="007E7D11"/>
    <w:p w:rsidR="005A26F9" w:rsidRDefault="005A26F9" w:rsidP="007E7D11">
      <w:r>
        <w:t>These services support me to assist my child</w:t>
      </w:r>
      <w:r w:rsidR="00D762FA">
        <w:t>.</w:t>
      </w:r>
    </w:p>
    <w:p w:rsidR="00D762FA" w:rsidRDefault="00D762FA" w:rsidP="007E7D11">
      <w:r>
        <w:t>Single group (P0toSS), by time in the Scheme:</w:t>
      </w:r>
    </w:p>
    <w:tbl>
      <w:tblPr>
        <w:tblW w:w="6480" w:type="dxa"/>
        <w:tblLook w:val="04A0" w:firstRow="1" w:lastRow="0" w:firstColumn="1" w:lastColumn="0" w:noHBand="0" w:noVBand="1"/>
      </w:tblPr>
      <w:tblGrid>
        <w:gridCol w:w="1080"/>
        <w:gridCol w:w="1121"/>
        <w:gridCol w:w="1080"/>
        <w:gridCol w:w="1080"/>
        <w:gridCol w:w="1080"/>
        <w:gridCol w:w="1080"/>
      </w:tblGrid>
      <w:tr w:rsidR="00DF6DD3" w:rsidRPr="00DF6DD3" w:rsidTr="00DF6DD3">
        <w:trPr>
          <w:trHeight w:val="285"/>
        </w:trPr>
        <w:tc>
          <w:tcPr>
            <w:tcW w:w="108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F6DD3" w:rsidRPr="00DF6DD3" w:rsidRDefault="00DF6DD3" w:rsidP="00DF6DD3">
            <w:pPr>
              <w:spacing w:after="0" w:line="240" w:lineRule="auto"/>
              <w:rPr>
                <w:rFonts w:ascii="Arial" w:eastAsia="Times New Roman" w:hAnsi="Arial" w:cs="Arial"/>
                <w:b/>
                <w:bCs/>
                <w:color w:val="000000"/>
                <w:lang w:eastAsia="en-AU"/>
              </w:rPr>
            </w:pPr>
            <w:r w:rsidRPr="00DF6DD3">
              <w:rPr>
                <w:rFonts w:ascii="Arial" w:eastAsia="Times New Roman" w:hAnsi="Arial" w:cs="Arial"/>
                <w:b/>
                <w:bCs/>
                <w:color w:val="000000"/>
                <w:lang w:eastAsia="en-AU"/>
              </w:rPr>
              <w:t>Cohort</w:t>
            </w:r>
          </w:p>
        </w:tc>
        <w:tc>
          <w:tcPr>
            <w:tcW w:w="1080" w:type="dxa"/>
            <w:tcBorders>
              <w:top w:val="single" w:sz="8" w:space="0" w:color="auto"/>
              <w:left w:val="nil"/>
              <w:bottom w:val="single" w:sz="8" w:space="0" w:color="auto"/>
              <w:right w:val="nil"/>
            </w:tcBorders>
            <w:shd w:val="clear" w:color="auto" w:fill="auto"/>
            <w:noWrap/>
            <w:vAlign w:val="bottom"/>
            <w:hideMark/>
          </w:tcPr>
          <w:p w:rsidR="00DF6DD3" w:rsidRPr="00DF6DD3" w:rsidRDefault="00DF6DD3" w:rsidP="00DF6DD3">
            <w:pPr>
              <w:spacing w:after="0" w:line="240" w:lineRule="auto"/>
              <w:rPr>
                <w:rFonts w:ascii="Arial" w:eastAsia="Times New Roman" w:hAnsi="Arial" w:cs="Arial"/>
                <w:b/>
                <w:bCs/>
                <w:color w:val="000000"/>
                <w:lang w:eastAsia="en-AU"/>
              </w:rPr>
            </w:pPr>
            <w:r w:rsidRPr="00DF6DD3">
              <w:rPr>
                <w:rFonts w:ascii="Arial" w:eastAsia="Times New Roman" w:hAnsi="Arial" w:cs="Arial"/>
                <w:b/>
                <w:bCs/>
                <w:color w:val="000000"/>
                <w:lang w:eastAsia="en-AU"/>
              </w:rPr>
              <w:t>B</w:t>
            </w:r>
            <w:r w:rsidR="00E86C1D">
              <w:rPr>
                <w:rFonts w:ascii="Arial" w:eastAsia="Times New Roman" w:hAnsi="Arial" w:cs="Arial"/>
                <w:b/>
                <w:bCs/>
                <w:color w:val="000000"/>
                <w:lang w:eastAsia="en-AU"/>
              </w:rPr>
              <w:t>aseline</w:t>
            </w:r>
          </w:p>
        </w:tc>
        <w:tc>
          <w:tcPr>
            <w:tcW w:w="1080" w:type="dxa"/>
            <w:tcBorders>
              <w:top w:val="single" w:sz="8" w:space="0" w:color="auto"/>
              <w:left w:val="single" w:sz="8" w:space="0" w:color="auto"/>
              <w:bottom w:val="single" w:sz="8" w:space="0" w:color="auto"/>
              <w:right w:val="nil"/>
            </w:tcBorders>
            <w:shd w:val="clear" w:color="auto" w:fill="auto"/>
            <w:noWrap/>
            <w:vAlign w:val="bottom"/>
            <w:hideMark/>
          </w:tcPr>
          <w:p w:rsidR="00DF6DD3" w:rsidRPr="00DF6DD3" w:rsidRDefault="00E86C1D" w:rsidP="00DF6DD3">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1</w:t>
            </w:r>
          </w:p>
        </w:tc>
        <w:tc>
          <w:tcPr>
            <w:tcW w:w="10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F6DD3" w:rsidRPr="00DF6DD3" w:rsidRDefault="00E86C1D" w:rsidP="00DF6DD3">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2</w:t>
            </w:r>
          </w:p>
        </w:tc>
        <w:tc>
          <w:tcPr>
            <w:tcW w:w="1080" w:type="dxa"/>
            <w:tcBorders>
              <w:top w:val="single" w:sz="8" w:space="0" w:color="auto"/>
              <w:left w:val="nil"/>
              <w:bottom w:val="single" w:sz="8" w:space="0" w:color="auto"/>
              <w:right w:val="single" w:sz="4" w:space="0" w:color="auto"/>
            </w:tcBorders>
            <w:shd w:val="clear" w:color="auto" w:fill="auto"/>
            <w:noWrap/>
            <w:vAlign w:val="bottom"/>
            <w:hideMark/>
          </w:tcPr>
          <w:p w:rsidR="00DF6DD3" w:rsidRPr="00DF6DD3" w:rsidRDefault="00E86C1D" w:rsidP="00DF6DD3">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3</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rsidR="00DF6DD3" w:rsidRPr="00DF6DD3" w:rsidRDefault="00E86C1D" w:rsidP="00DF6DD3">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4</w:t>
            </w:r>
          </w:p>
        </w:tc>
      </w:tr>
      <w:tr w:rsidR="00DF6DD3" w:rsidRPr="00DF6DD3" w:rsidTr="00DF6DD3">
        <w:trPr>
          <w:trHeight w:val="278"/>
        </w:trPr>
        <w:tc>
          <w:tcPr>
            <w:tcW w:w="1080" w:type="dxa"/>
            <w:tcBorders>
              <w:top w:val="nil"/>
              <w:left w:val="single" w:sz="8" w:space="0" w:color="auto"/>
              <w:bottom w:val="single" w:sz="4" w:space="0" w:color="auto"/>
              <w:right w:val="single" w:sz="4" w:space="0" w:color="auto"/>
            </w:tcBorders>
            <w:shd w:val="clear" w:color="auto" w:fill="auto"/>
            <w:noWrap/>
            <w:vAlign w:val="bottom"/>
            <w:hideMark/>
          </w:tcPr>
          <w:p w:rsidR="00DF6DD3" w:rsidRPr="00DF6DD3" w:rsidRDefault="00DF6DD3" w:rsidP="00DF6DD3">
            <w:pPr>
              <w:spacing w:after="0" w:line="240" w:lineRule="auto"/>
              <w:rPr>
                <w:rFonts w:ascii="Arial" w:eastAsia="Times New Roman" w:hAnsi="Arial" w:cs="Arial"/>
                <w:b/>
                <w:bCs/>
                <w:color w:val="000000"/>
                <w:lang w:eastAsia="en-AU"/>
              </w:rPr>
            </w:pPr>
            <w:r w:rsidRPr="00DF6DD3">
              <w:rPr>
                <w:rFonts w:ascii="Arial" w:eastAsia="Times New Roman" w:hAnsi="Arial" w:cs="Arial"/>
                <w:b/>
                <w:bCs/>
                <w:color w:val="000000"/>
                <w:lang w:eastAsia="en-AU"/>
              </w:rPr>
              <w:t>4 years</w:t>
            </w:r>
          </w:p>
        </w:tc>
        <w:tc>
          <w:tcPr>
            <w:tcW w:w="1080" w:type="dxa"/>
            <w:tcBorders>
              <w:top w:val="nil"/>
              <w:left w:val="nil"/>
              <w:bottom w:val="single" w:sz="4" w:space="0" w:color="auto"/>
              <w:right w:val="nil"/>
            </w:tcBorders>
            <w:shd w:val="clear" w:color="auto" w:fill="auto"/>
            <w:noWrap/>
            <w:vAlign w:val="bottom"/>
            <w:hideMark/>
          </w:tcPr>
          <w:p w:rsidR="00DF6DD3" w:rsidRPr="00DF6DD3" w:rsidRDefault="00DF6DD3" w:rsidP="00DF6DD3">
            <w:pPr>
              <w:spacing w:after="0" w:line="240" w:lineRule="auto"/>
              <w:jc w:val="right"/>
              <w:rPr>
                <w:rFonts w:ascii="Arial" w:eastAsia="Times New Roman" w:hAnsi="Arial" w:cs="Arial"/>
                <w:color w:val="000000"/>
                <w:lang w:eastAsia="en-AU"/>
              </w:rPr>
            </w:pPr>
            <w:r w:rsidRPr="00DF6DD3">
              <w:rPr>
                <w:rFonts w:ascii="Arial" w:eastAsia="Times New Roman" w:hAnsi="Arial" w:cs="Arial"/>
                <w:color w:val="000000"/>
                <w:lang w:eastAsia="en-AU"/>
              </w:rPr>
              <w:t>94.9%</w:t>
            </w:r>
          </w:p>
        </w:tc>
        <w:tc>
          <w:tcPr>
            <w:tcW w:w="1080" w:type="dxa"/>
            <w:tcBorders>
              <w:top w:val="nil"/>
              <w:left w:val="single" w:sz="8" w:space="0" w:color="auto"/>
              <w:bottom w:val="single" w:sz="4" w:space="0" w:color="auto"/>
              <w:right w:val="nil"/>
            </w:tcBorders>
            <w:shd w:val="clear" w:color="auto" w:fill="auto"/>
            <w:noWrap/>
            <w:vAlign w:val="bottom"/>
            <w:hideMark/>
          </w:tcPr>
          <w:p w:rsidR="00DF6DD3" w:rsidRPr="00DF6DD3" w:rsidRDefault="00DF6DD3" w:rsidP="00DF6DD3">
            <w:pPr>
              <w:spacing w:after="0" w:line="240" w:lineRule="auto"/>
              <w:jc w:val="right"/>
              <w:rPr>
                <w:rFonts w:ascii="Arial" w:eastAsia="Times New Roman" w:hAnsi="Arial" w:cs="Arial"/>
                <w:color w:val="000000"/>
                <w:lang w:eastAsia="en-AU"/>
              </w:rPr>
            </w:pPr>
            <w:r w:rsidRPr="00DF6DD3">
              <w:rPr>
                <w:rFonts w:ascii="Arial" w:eastAsia="Times New Roman" w:hAnsi="Arial" w:cs="Arial"/>
                <w:color w:val="000000"/>
                <w:lang w:eastAsia="en-AU"/>
              </w:rPr>
              <w:t>98.7%</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DF6DD3" w:rsidRPr="00DF6DD3" w:rsidRDefault="00DF6DD3" w:rsidP="00DF6DD3">
            <w:pPr>
              <w:spacing w:after="0" w:line="240" w:lineRule="auto"/>
              <w:jc w:val="right"/>
              <w:rPr>
                <w:rFonts w:ascii="Arial" w:eastAsia="Times New Roman" w:hAnsi="Arial" w:cs="Arial"/>
                <w:color w:val="000000"/>
                <w:lang w:eastAsia="en-AU"/>
              </w:rPr>
            </w:pPr>
            <w:r w:rsidRPr="00DF6DD3">
              <w:rPr>
                <w:rFonts w:ascii="Arial" w:eastAsia="Times New Roman" w:hAnsi="Arial" w:cs="Arial"/>
                <w:color w:val="000000"/>
                <w:lang w:eastAsia="en-AU"/>
              </w:rPr>
              <w:t>98.9%</w:t>
            </w:r>
          </w:p>
        </w:tc>
        <w:tc>
          <w:tcPr>
            <w:tcW w:w="1080" w:type="dxa"/>
            <w:tcBorders>
              <w:top w:val="nil"/>
              <w:left w:val="nil"/>
              <w:bottom w:val="single" w:sz="4" w:space="0" w:color="auto"/>
              <w:right w:val="single" w:sz="4" w:space="0" w:color="auto"/>
            </w:tcBorders>
            <w:shd w:val="clear" w:color="auto" w:fill="auto"/>
            <w:noWrap/>
            <w:vAlign w:val="bottom"/>
            <w:hideMark/>
          </w:tcPr>
          <w:p w:rsidR="00DF6DD3" w:rsidRPr="00DF6DD3" w:rsidRDefault="00DF6DD3" w:rsidP="00DF6DD3">
            <w:pPr>
              <w:spacing w:after="0" w:line="240" w:lineRule="auto"/>
              <w:jc w:val="right"/>
              <w:rPr>
                <w:rFonts w:ascii="Arial" w:eastAsia="Times New Roman" w:hAnsi="Arial" w:cs="Arial"/>
                <w:color w:val="000000"/>
                <w:lang w:eastAsia="en-AU"/>
              </w:rPr>
            </w:pPr>
            <w:r w:rsidRPr="00DF6DD3">
              <w:rPr>
                <w:rFonts w:ascii="Arial" w:eastAsia="Times New Roman" w:hAnsi="Arial" w:cs="Arial"/>
                <w:color w:val="000000"/>
                <w:lang w:eastAsia="en-AU"/>
              </w:rPr>
              <w:t>100.0%</w:t>
            </w:r>
          </w:p>
        </w:tc>
        <w:tc>
          <w:tcPr>
            <w:tcW w:w="1080" w:type="dxa"/>
            <w:tcBorders>
              <w:top w:val="nil"/>
              <w:left w:val="nil"/>
              <w:bottom w:val="single" w:sz="4" w:space="0" w:color="auto"/>
              <w:right w:val="single" w:sz="8" w:space="0" w:color="auto"/>
            </w:tcBorders>
            <w:shd w:val="clear" w:color="auto" w:fill="auto"/>
            <w:noWrap/>
            <w:vAlign w:val="bottom"/>
            <w:hideMark/>
          </w:tcPr>
          <w:p w:rsidR="00DF6DD3" w:rsidRPr="00DF6DD3" w:rsidRDefault="00DF6DD3" w:rsidP="00DF6DD3">
            <w:pPr>
              <w:spacing w:after="0" w:line="240" w:lineRule="auto"/>
              <w:jc w:val="right"/>
              <w:rPr>
                <w:rFonts w:ascii="Arial" w:eastAsia="Times New Roman" w:hAnsi="Arial" w:cs="Arial"/>
                <w:color w:val="000000"/>
                <w:lang w:eastAsia="en-AU"/>
              </w:rPr>
            </w:pPr>
            <w:r w:rsidRPr="00DF6DD3">
              <w:rPr>
                <w:rFonts w:ascii="Arial" w:eastAsia="Times New Roman" w:hAnsi="Arial" w:cs="Arial"/>
                <w:color w:val="000000"/>
                <w:lang w:eastAsia="en-AU"/>
              </w:rPr>
              <w:t>99.3%</w:t>
            </w:r>
          </w:p>
        </w:tc>
      </w:tr>
      <w:tr w:rsidR="00DF6DD3" w:rsidRPr="00DF6DD3" w:rsidTr="00DF6DD3">
        <w:trPr>
          <w:trHeight w:val="278"/>
        </w:trPr>
        <w:tc>
          <w:tcPr>
            <w:tcW w:w="1080" w:type="dxa"/>
            <w:tcBorders>
              <w:top w:val="nil"/>
              <w:left w:val="single" w:sz="8" w:space="0" w:color="auto"/>
              <w:bottom w:val="single" w:sz="4" w:space="0" w:color="auto"/>
              <w:right w:val="single" w:sz="4" w:space="0" w:color="auto"/>
            </w:tcBorders>
            <w:shd w:val="clear" w:color="auto" w:fill="auto"/>
            <w:noWrap/>
            <w:vAlign w:val="bottom"/>
            <w:hideMark/>
          </w:tcPr>
          <w:p w:rsidR="00DF6DD3" w:rsidRPr="00DF6DD3" w:rsidRDefault="00DF6DD3" w:rsidP="00DF6DD3">
            <w:pPr>
              <w:spacing w:after="0" w:line="240" w:lineRule="auto"/>
              <w:rPr>
                <w:rFonts w:ascii="Arial" w:eastAsia="Times New Roman" w:hAnsi="Arial" w:cs="Arial"/>
                <w:b/>
                <w:bCs/>
                <w:color w:val="000000"/>
                <w:lang w:eastAsia="en-AU"/>
              </w:rPr>
            </w:pPr>
            <w:r w:rsidRPr="00DF6DD3">
              <w:rPr>
                <w:rFonts w:ascii="Arial" w:eastAsia="Times New Roman" w:hAnsi="Arial" w:cs="Arial"/>
                <w:b/>
                <w:bCs/>
                <w:color w:val="000000"/>
                <w:lang w:eastAsia="en-AU"/>
              </w:rPr>
              <w:t>3 years</w:t>
            </w:r>
          </w:p>
        </w:tc>
        <w:tc>
          <w:tcPr>
            <w:tcW w:w="1080" w:type="dxa"/>
            <w:tcBorders>
              <w:top w:val="nil"/>
              <w:left w:val="nil"/>
              <w:bottom w:val="single" w:sz="4" w:space="0" w:color="auto"/>
              <w:right w:val="nil"/>
            </w:tcBorders>
            <w:shd w:val="clear" w:color="auto" w:fill="auto"/>
            <w:noWrap/>
            <w:vAlign w:val="bottom"/>
            <w:hideMark/>
          </w:tcPr>
          <w:p w:rsidR="00DF6DD3" w:rsidRPr="00DF6DD3" w:rsidRDefault="00DF6DD3" w:rsidP="00DF6DD3">
            <w:pPr>
              <w:spacing w:after="0" w:line="240" w:lineRule="auto"/>
              <w:jc w:val="right"/>
              <w:rPr>
                <w:rFonts w:ascii="Arial" w:eastAsia="Times New Roman" w:hAnsi="Arial" w:cs="Arial"/>
                <w:color w:val="000000"/>
                <w:lang w:eastAsia="en-AU"/>
              </w:rPr>
            </w:pPr>
            <w:r w:rsidRPr="00DF6DD3">
              <w:rPr>
                <w:rFonts w:ascii="Arial" w:eastAsia="Times New Roman" w:hAnsi="Arial" w:cs="Arial"/>
                <w:color w:val="000000"/>
                <w:lang w:eastAsia="en-AU"/>
              </w:rPr>
              <w:t>90.7%</w:t>
            </w:r>
          </w:p>
        </w:tc>
        <w:tc>
          <w:tcPr>
            <w:tcW w:w="1080" w:type="dxa"/>
            <w:tcBorders>
              <w:top w:val="nil"/>
              <w:left w:val="single" w:sz="8" w:space="0" w:color="auto"/>
              <w:bottom w:val="single" w:sz="4" w:space="0" w:color="auto"/>
              <w:right w:val="nil"/>
            </w:tcBorders>
            <w:shd w:val="clear" w:color="auto" w:fill="auto"/>
            <w:noWrap/>
            <w:vAlign w:val="bottom"/>
            <w:hideMark/>
          </w:tcPr>
          <w:p w:rsidR="00DF6DD3" w:rsidRPr="00DF6DD3" w:rsidRDefault="00DF6DD3" w:rsidP="00DF6DD3">
            <w:pPr>
              <w:spacing w:after="0" w:line="240" w:lineRule="auto"/>
              <w:jc w:val="right"/>
              <w:rPr>
                <w:rFonts w:ascii="Arial" w:eastAsia="Times New Roman" w:hAnsi="Arial" w:cs="Arial"/>
                <w:color w:val="000000"/>
                <w:lang w:eastAsia="en-AU"/>
              </w:rPr>
            </w:pPr>
            <w:r w:rsidRPr="00DF6DD3">
              <w:rPr>
                <w:rFonts w:ascii="Arial" w:eastAsia="Times New Roman" w:hAnsi="Arial" w:cs="Arial"/>
                <w:color w:val="000000"/>
                <w:lang w:eastAsia="en-AU"/>
              </w:rPr>
              <w:t>97.0%</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DF6DD3" w:rsidRPr="00DF6DD3" w:rsidRDefault="00DF6DD3" w:rsidP="00DF6DD3">
            <w:pPr>
              <w:spacing w:after="0" w:line="240" w:lineRule="auto"/>
              <w:jc w:val="right"/>
              <w:rPr>
                <w:rFonts w:ascii="Arial" w:eastAsia="Times New Roman" w:hAnsi="Arial" w:cs="Arial"/>
                <w:color w:val="000000"/>
                <w:lang w:eastAsia="en-AU"/>
              </w:rPr>
            </w:pPr>
            <w:r w:rsidRPr="00DF6DD3">
              <w:rPr>
                <w:rFonts w:ascii="Arial" w:eastAsia="Times New Roman" w:hAnsi="Arial" w:cs="Arial"/>
                <w:color w:val="000000"/>
                <w:lang w:eastAsia="en-AU"/>
              </w:rPr>
              <w:t>98.2%</w:t>
            </w:r>
          </w:p>
        </w:tc>
        <w:tc>
          <w:tcPr>
            <w:tcW w:w="1080" w:type="dxa"/>
            <w:tcBorders>
              <w:top w:val="nil"/>
              <w:left w:val="nil"/>
              <w:bottom w:val="single" w:sz="4" w:space="0" w:color="auto"/>
              <w:right w:val="single" w:sz="4" w:space="0" w:color="auto"/>
            </w:tcBorders>
            <w:shd w:val="clear" w:color="auto" w:fill="auto"/>
            <w:noWrap/>
            <w:vAlign w:val="bottom"/>
            <w:hideMark/>
          </w:tcPr>
          <w:p w:rsidR="00DF6DD3" w:rsidRPr="00DF6DD3" w:rsidRDefault="00DF6DD3" w:rsidP="00DF6DD3">
            <w:pPr>
              <w:spacing w:after="0" w:line="240" w:lineRule="auto"/>
              <w:jc w:val="right"/>
              <w:rPr>
                <w:rFonts w:ascii="Arial" w:eastAsia="Times New Roman" w:hAnsi="Arial" w:cs="Arial"/>
                <w:color w:val="000000"/>
                <w:lang w:eastAsia="en-AU"/>
              </w:rPr>
            </w:pPr>
            <w:r w:rsidRPr="00DF6DD3">
              <w:rPr>
                <w:rFonts w:ascii="Arial" w:eastAsia="Times New Roman" w:hAnsi="Arial" w:cs="Arial"/>
                <w:color w:val="000000"/>
                <w:lang w:eastAsia="en-AU"/>
              </w:rPr>
              <w:t>98.0%</w:t>
            </w:r>
          </w:p>
        </w:tc>
        <w:tc>
          <w:tcPr>
            <w:tcW w:w="1080" w:type="dxa"/>
            <w:tcBorders>
              <w:top w:val="nil"/>
              <w:left w:val="nil"/>
              <w:bottom w:val="single" w:sz="4" w:space="0" w:color="auto"/>
              <w:right w:val="single" w:sz="8" w:space="0" w:color="auto"/>
            </w:tcBorders>
            <w:shd w:val="clear" w:color="auto" w:fill="auto"/>
            <w:noWrap/>
            <w:vAlign w:val="bottom"/>
            <w:hideMark/>
          </w:tcPr>
          <w:p w:rsidR="00DF6DD3" w:rsidRPr="00DF6DD3" w:rsidRDefault="00DF6DD3" w:rsidP="00DF6DD3">
            <w:pPr>
              <w:spacing w:after="0" w:line="240" w:lineRule="auto"/>
              <w:rPr>
                <w:rFonts w:ascii="Arial" w:eastAsia="Times New Roman" w:hAnsi="Arial" w:cs="Arial"/>
                <w:color w:val="000000"/>
                <w:lang w:eastAsia="en-AU"/>
              </w:rPr>
            </w:pPr>
            <w:r w:rsidRPr="00DF6DD3">
              <w:rPr>
                <w:rFonts w:ascii="Arial" w:eastAsia="Times New Roman" w:hAnsi="Arial" w:cs="Arial"/>
                <w:color w:val="000000"/>
                <w:lang w:eastAsia="en-AU"/>
              </w:rPr>
              <w:t> </w:t>
            </w:r>
          </w:p>
        </w:tc>
      </w:tr>
      <w:tr w:rsidR="00DF6DD3" w:rsidRPr="00DF6DD3" w:rsidTr="00DF6DD3">
        <w:trPr>
          <w:trHeight w:val="278"/>
        </w:trPr>
        <w:tc>
          <w:tcPr>
            <w:tcW w:w="1080" w:type="dxa"/>
            <w:tcBorders>
              <w:top w:val="nil"/>
              <w:left w:val="single" w:sz="8" w:space="0" w:color="auto"/>
              <w:bottom w:val="single" w:sz="4" w:space="0" w:color="auto"/>
              <w:right w:val="single" w:sz="4" w:space="0" w:color="auto"/>
            </w:tcBorders>
            <w:shd w:val="clear" w:color="auto" w:fill="auto"/>
            <w:noWrap/>
            <w:vAlign w:val="bottom"/>
            <w:hideMark/>
          </w:tcPr>
          <w:p w:rsidR="00DF6DD3" w:rsidRPr="00DF6DD3" w:rsidRDefault="00DF6DD3" w:rsidP="00DF6DD3">
            <w:pPr>
              <w:spacing w:after="0" w:line="240" w:lineRule="auto"/>
              <w:rPr>
                <w:rFonts w:ascii="Arial" w:eastAsia="Times New Roman" w:hAnsi="Arial" w:cs="Arial"/>
                <w:b/>
                <w:bCs/>
                <w:color w:val="000000"/>
                <w:lang w:eastAsia="en-AU"/>
              </w:rPr>
            </w:pPr>
            <w:r w:rsidRPr="00DF6DD3">
              <w:rPr>
                <w:rFonts w:ascii="Arial" w:eastAsia="Times New Roman" w:hAnsi="Arial" w:cs="Arial"/>
                <w:b/>
                <w:bCs/>
                <w:color w:val="000000"/>
                <w:lang w:eastAsia="en-AU"/>
              </w:rPr>
              <w:t>2 years</w:t>
            </w:r>
          </w:p>
        </w:tc>
        <w:tc>
          <w:tcPr>
            <w:tcW w:w="1080" w:type="dxa"/>
            <w:tcBorders>
              <w:top w:val="nil"/>
              <w:left w:val="nil"/>
              <w:bottom w:val="single" w:sz="4" w:space="0" w:color="auto"/>
              <w:right w:val="nil"/>
            </w:tcBorders>
            <w:shd w:val="clear" w:color="auto" w:fill="auto"/>
            <w:noWrap/>
            <w:vAlign w:val="bottom"/>
            <w:hideMark/>
          </w:tcPr>
          <w:p w:rsidR="00DF6DD3" w:rsidRPr="00DF6DD3" w:rsidRDefault="00DF6DD3" w:rsidP="00DF6DD3">
            <w:pPr>
              <w:spacing w:after="0" w:line="240" w:lineRule="auto"/>
              <w:jc w:val="right"/>
              <w:rPr>
                <w:rFonts w:ascii="Arial" w:eastAsia="Times New Roman" w:hAnsi="Arial" w:cs="Arial"/>
                <w:color w:val="000000"/>
                <w:lang w:eastAsia="en-AU"/>
              </w:rPr>
            </w:pPr>
            <w:r w:rsidRPr="00DF6DD3">
              <w:rPr>
                <w:rFonts w:ascii="Arial" w:eastAsia="Times New Roman" w:hAnsi="Arial" w:cs="Arial"/>
                <w:color w:val="000000"/>
                <w:lang w:eastAsia="en-AU"/>
              </w:rPr>
              <w:t>88.8%</w:t>
            </w:r>
          </w:p>
        </w:tc>
        <w:tc>
          <w:tcPr>
            <w:tcW w:w="1080" w:type="dxa"/>
            <w:tcBorders>
              <w:top w:val="nil"/>
              <w:left w:val="single" w:sz="8" w:space="0" w:color="auto"/>
              <w:bottom w:val="single" w:sz="4" w:space="0" w:color="auto"/>
              <w:right w:val="nil"/>
            </w:tcBorders>
            <w:shd w:val="clear" w:color="auto" w:fill="auto"/>
            <w:noWrap/>
            <w:vAlign w:val="bottom"/>
            <w:hideMark/>
          </w:tcPr>
          <w:p w:rsidR="00DF6DD3" w:rsidRPr="00DF6DD3" w:rsidRDefault="00DF6DD3" w:rsidP="00DF6DD3">
            <w:pPr>
              <w:spacing w:after="0" w:line="240" w:lineRule="auto"/>
              <w:jc w:val="right"/>
              <w:rPr>
                <w:rFonts w:ascii="Arial" w:eastAsia="Times New Roman" w:hAnsi="Arial" w:cs="Arial"/>
                <w:color w:val="000000"/>
                <w:lang w:eastAsia="en-AU"/>
              </w:rPr>
            </w:pPr>
            <w:r w:rsidRPr="00DF6DD3">
              <w:rPr>
                <w:rFonts w:ascii="Arial" w:eastAsia="Times New Roman" w:hAnsi="Arial" w:cs="Arial"/>
                <w:color w:val="000000"/>
                <w:lang w:eastAsia="en-AU"/>
              </w:rPr>
              <w:t>94.5%</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DF6DD3" w:rsidRPr="00DF6DD3" w:rsidRDefault="00DF6DD3" w:rsidP="00DF6DD3">
            <w:pPr>
              <w:spacing w:after="0" w:line="240" w:lineRule="auto"/>
              <w:jc w:val="right"/>
              <w:rPr>
                <w:rFonts w:ascii="Arial" w:eastAsia="Times New Roman" w:hAnsi="Arial" w:cs="Arial"/>
                <w:color w:val="000000"/>
                <w:lang w:eastAsia="en-AU"/>
              </w:rPr>
            </w:pPr>
            <w:r w:rsidRPr="00DF6DD3">
              <w:rPr>
                <w:rFonts w:ascii="Arial" w:eastAsia="Times New Roman" w:hAnsi="Arial" w:cs="Arial"/>
                <w:color w:val="000000"/>
                <w:lang w:eastAsia="en-AU"/>
              </w:rPr>
              <w:t>97.1%</w:t>
            </w:r>
          </w:p>
        </w:tc>
        <w:tc>
          <w:tcPr>
            <w:tcW w:w="1080" w:type="dxa"/>
            <w:tcBorders>
              <w:top w:val="nil"/>
              <w:left w:val="nil"/>
              <w:bottom w:val="single" w:sz="4" w:space="0" w:color="auto"/>
              <w:right w:val="single" w:sz="4" w:space="0" w:color="auto"/>
            </w:tcBorders>
            <w:shd w:val="clear" w:color="auto" w:fill="auto"/>
            <w:noWrap/>
            <w:vAlign w:val="bottom"/>
            <w:hideMark/>
          </w:tcPr>
          <w:p w:rsidR="00DF6DD3" w:rsidRPr="00DF6DD3" w:rsidRDefault="00DF6DD3" w:rsidP="00DF6DD3">
            <w:pPr>
              <w:spacing w:after="0" w:line="240" w:lineRule="auto"/>
              <w:rPr>
                <w:rFonts w:ascii="Arial" w:eastAsia="Times New Roman" w:hAnsi="Arial" w:cs="Arial"/>
                <w:color w:val="000000"/>
                <w:lang w:eastAsia="en-AU"/>
              </w:rPr>
            </w:pPr>
            <w:r w:rsidRPr="00DF6DD3">
              <w:rPr>
                <w:rFonts w:ascii="Arial" w:eastAsia="Times New Roman" w:hAnsi="Arial" w:cs="Arial"/>
                <w:color w:val="000000"/>
                <w:lang w:eastAsia="en-AU"/>
              </w:rPr>
              <w:t> </w:t>
            </w:r>
          </w:p>
        </w:tc>
        <w:tc>
          <w:tcPr>
            <w:tcW w:w="1080" w:type="dxa"/>
            <w:tcBorders>
              <w:top w:val="nil"/>
              <w:left w:val="nil"/>
              <w:bottom w:val="single" w:sz="4" w:space="0" w:color="auto"/>
              <w:right w:val="single" w:sz="8" w:space="0" w:color="auto"/>
            </w:tcBorders>
            <w:shd w:val="clear" w:color="auto" w:fill="auto"/>
            <w:noWrap/>
            <w:vAlign w:val="bottom"/>
            <w:hideMark/>
          </w:tcPr>
          <w:p w:rsidR="00DF6DD3" w:rsidRPr="00DF6DD3" w:rsidRDefault="00DF6DD3" w:rsidP="00DF6DD3">
            <w:pPr>
              <w:spacing w:after="0" w:line="240" w:lineRule="auto"/>
              <w:rPr>
                <w:rFonts w:ascii="Arial" w:eastAsia="Times New Roman" w:hAnsi="Arial" w:cs="Arial"/>
                <w:color w:val="000000"/>
                <w:lang w:eastAsia="en-AU"/>
              </w:rPr>
            </w:pPr>
            <w:r w:rsidRPr="00DF6DD3">
              <w:rPr>
                <w:rFonts w:ascii="Arial" w:eastAsia="Times New Roman" w:hAnsi="Arial" w:cs="Arial"/>
                <w:color w:val="000000"/>
                <w:lang w:eastAsia="en-AU"/>
              </w:rPr>
              <w:t> </w:t>
            </w:r>
          </w:p>
        </w:tc>
      </w:tr>
      <w:tr w:rsidR="00DF6DD3" w:rsidRPr="00DF6DD3" w:rsidTr="00DF6DD3">
        <w:trPr>
          <w:trHeight w:val="285"/>
        </w:trPr>
        <w:tc>
          <w:tcPr>
            <w:tcW w:w="1080" w:type="dxa"/>
            <w:tcBorders>
              <w:top w:val="nil"/>
              <w:left w:val="single" w:sz="8" w:space="0" w:color="auto"/>
              <w:bottom w:val="single" w:sz="8" w:space="0" w:color="auto"/>
              <w:right w:val="single" w:sz="4" w:space="0" w:color="auto"/>
            </w:tcBorders>
            <w:shd w:val="clear" w:color="auto" w:fill="auto"/>
            <w:noWrap/>
            <w:vAlign w:val="bottom"/>
            <w:hideMark/>
          </w:tcPr>
          <w:p w:rsidR="00DF6DD3" w:rsidRPr="00DF6DD3" w:rsidRDefault="00DF6DD3" w:rsidP="00DF6DD3">
            <w:pPr>
              <w:spacing w:after="0" w:line="240" w:lineRule="auto"/>
              <w:rPr>
                <w:rFonts w:ascii="Arial" w:eastAsia="Times New Roman" w:hAnsi="Arial" w:cs="Arial"/>
                <w:b/>
                <w:bCs/>
                <w:color w:val="000000"/>
                <w:lang w:eastAsia="en-AU"/>
              </w:rPr>
            </w:pPr>
            <w:r w:rsidRPr="00DF6DD3">
              <w:rPr>
                <w:rFonts w:ascii="Arial" w:eastAsia="Times New Roman" w:hAnsi="Arial" w:cs="Arial"/>
                <w:b/>
                <w:bCs/>
                <w:color w:val="000000"/>
                <w:lang w:eastAsia="en-AU"/>
              </w:rPr>
              <w:t>1 year</w:t>
            </w:r>
          </w:p>
        </w:tc>
        <w:tc>
          <w:tcPr>
            <w:tcW w:w="1080" w:type="dxa"/>
            <w:tcBorders>
              <w:top w:val="nil"/>
              <w:left w:val="nil"/>
              <w:bottom w:val="single" w:sz="8" w:space="0" w:color="auto"/>
              <w:right w:val="nil"/>
            </w:tcBorders>
            <w:shd w:val="clear" w:color="auto" w:fill="auto"/>
            <w:noWrap/>
            <w:vAlign w:val="bottom"/>
            <w:hideMark/>
          </w:tcPr>
          <w:p w:rsidR="00DF6DD3" w:rsidRPr="00DF6DD3" w:rsidRDefault="00DF6DD3" w:rsidP="00DF6DD3">
            <w:pPr>
              <w:spacing w:after="0" w:line="240" w:lineRule="auto"/>
              <w:jc w:val="right"/>
              <w:rPr>
                <w:rFonts w:ascii="Arial" w:eastAsia="Times New Roman" w:hAnsi="Arial" w:cs="Arial"/>
                <w:color w:val="000000"/>
                <w:lang w:eastAsia="en-AU"/>
              </w:rPr>
            </w:pPr>
            <w:r w:rsidRPr="00DF6DD3">
              <w:rPr>
                <w:rFonts w:ascii="Arial" w:eastAsia="Times New Roman" w:hAnsi="Arial" w:cs="Arial"/>
                <w:color w:val="000000"/>
                <w:lang w:eastAsia="en-AU"/>
              </w:rPr>
              <w:t>89.5%</w:t>
            </w:r>
          </w:p>
        </w:tc>
        <w:tc>
          <w:tcPr>
            <w:tcW w:w="1080" w:type="dxa"/>
            <w:tcBorders>
              <w:top w:val="nil"/>
              <w:left w:val="single" w:sz="8" w:space="0" w:color="auto"/>
              <w:bottom w:val="single" w:sz="8" w:space="0" w:color="auto"/>
              <w:right w:val="nil"/>
            </w:tcBorders>
            <w:shd w:val="clear" w:color="auto" w:fill="auto"/>
            <w:noWrap/>
            <w:vAlign w:val="bottom"/>
            <w:hideMark/>
          </w:tcPr>
          <w:p w:rsidR="00DF6DD3" w:rsidRPr="00DF6DD3" w:rsidRDefault="00DF6DD3" w:rsidP="00DF6DD3">
            <w:pPr>
              <w:spacing w:after="0" w:line="240" w:lineRule="auto"/>
              <w:jc w:val="right"/>
              <w:rPr>
                <w:rFonts w:ascii="Arial" w:eastAsia="Times New Roman" w:hAnsi="Arial" w:cs="Arial"/>
                <w:color w:val="000000"/>
                <w:lang w:eastAsia="en-AU"/>
              </w:rPr>
            </w:pPr>
            <w:r w:rsidRPr="00DF6DD3">
              <w:rPr>
                <w:rFonts w:ascii="Arial" w:eastAsia="Times New Roman" w:hAnsi="Arial" w:cs="Arial"/>
                <w:color w:val="000000"/>
                <w:lang w:eastAsia="en-AU"/>
              </w:rPr>
              <w:t>94.8%</w:t>
            </w:r>
          </w:p>
        </w:tc>
        <w:tc>
          <w:tcPr>
            <w:tcW w:w="1080" w:type="dxa"/>
            <w:tcBorders>
              <w:top w:val="nil"/>
              <w:left w:val="single" w:sz="8" w:space="0" w:color="auto"/>
              <w:bottom w:val="single" w:sz="8" w:space="0" w:color="auto"/>
              <w:right w:val="single" w:sz="8" w:space="0" w:color="auto"/>
            </w:tcBorders>
            <w:shd w:val="clear" w:color="auto" w:fill="auto"/>
            <w:noWrap/>
            <w:vAlign w:val="bottom"/>
            <w:hideMark/>
          </w:tcPr>
          <w:p w:rsidR="00DF6DD3" w:rsidRPr="00DF6DD3" w:rsidRDefault="00DF6DD3" w:rsidP="00DF6DD3">
            <w:pPr>
              <w:spacing w:after="0" w:line="240" w:lineRule="auto"/>
              <w:rPr>
                <w:rFonts w:ascii="Arial" w:eastAsia="Times New Roman" w:hAnsi="Arial" w:cs="Arial"/>
                <w:color w:val="000000"/>
                <w:lang w:eastAsia="en-AU"/>
              </w:rPr>
            </w:pPr>
            <w:r w:rsidRPr="00DF6DD3">
              <w:rPr>
                <w:rFonts w:ascii="Arial" w:eastAsia="Times New Roman" w:hAnsi="Arial" w:cs="Arial"/>
                <w:color w:val="000000"/>
                <w:lang w:eastAsia="en-AU"/>
              </w:rPr>
              <w:t> </w:t>
            </w:r>
          </w:p>
        </w:tc>
        <w:tc>
          <w:tcPr>
            <w:tcW w:w="1080" w:type="dxa"/>
            <w:tcBorders>
              <w:top w:val="nil"/>
              <w:left w:val="nil"/>
              <w:bottom w:val="single" w:sz="8" w:space="0" w:color="auto"/>
              <w:right w:val="single" w:sz="4" w:space="0" w:color="auto"/>
            </w:tcBorders>
            <w:shd w:val="clear" w:color="auto" w:fill="auto"/>
            <w:noWrap/>
            <w:vAlign w:val="bottom"/>
            <w:hideMark/>
          </w:tcPr>
          <w:p w:rsidR="00DF6DD3" w:rsidRPr="00DF6DD3" w:rsidRDefault="00DF6DD3" w:rsidP="00DF6DD3">
            <w:pPr>
              <w:spacing w:after="0" w:line="240" w:lineRule="auto"/>
              <w:rPr>
                <w:rFonts w:ascii="Arial" w:eastAsia="Times New Roman" w:hAnsi="Arial" w:cs="Arial"/>
                <w:color w:val="000000"/>
                <w:lang w:eastAsia="en-AU"/>
              </w:rPr>
            </w:pPr>
            <w:r w:rsidRPr="00DF6DD3">
              <w:rPr>
                <w:rFonts w:ascii="Arial" w:eastAsia="Times New Roman" w:hAnsi="Arial" w:cs="Arial"/>
                <w:color w:val="000000"/>
                <w:lang w:eastAsia="en-AU"/>
              </w:rPr>
              <w:t> </w:t>
            </w:r>
          </w:p>
        </w:tc>
        <w:tc>
          <w:tcPr>
            <w:tcW w:w="1080" w:type="dxa"/>
            <w:tcBorders>
              <w:top w:val="nil"/>
              <w:left w:val="nil"/>
              <w:bottom w:val="single" w:sz="8" w:space="0" w:color="auto"/>
              <w:right w:val="single" w:sz="8" w:space="0" w:color="auto"/>
            </w:tcBorders>
            <w:shd w:val="clear" w:color="auto" w:fill="auto"/>
            <w:noWrap/>
            <w:vAlign w:val="bottom"/>
            <w:hideMark/>
          </w:tcPr>
          <w:p w:rsidR="00DF6DD3" w:rsidRPr="00DF6DD3" w:rsidRDefault="00DF6DD3" w:rsidP="00DF6DD3">
            <w:pPr>
              <w:spacing w:after="0" w:line="240" w:lineRule="auto"/>
              <w:rPr>
                <w:rFonts w:ascii="Arial" w:eastAsia="Times New Roman" w:hAnsi="Arial" w:cs="Arial"/>
                <w:color w:val="000000"/>
                <w:lang w:eastAsia="en-AU"/>
              </w:rPr>
            </w:pPr>
            <w:r w:rsidRPr="00DF6DD3">
              <w:rPr>
                <w:rFonts w:ascii="Arial" w:eastAsia="Times New Roman" w:hAnsi="Arial" w:cs="Arial"/>
                <w:color w:val="000000"/>
                <w:lang w:eastAsia="en-AU"/>
              </w:rPr>
              <w:t> </w:t>
            </w:r>
          </w:p>
        </w:tc>
      </w:tr>
    </w:tbl>
    <w:p w:rsidR="005A26F9" w:rsidRDefault="005A26F9" w:rsidP="007E7D11"/>
    <w:p w:rsidR="00BF2EF0" w:rsidRDefault="0080201D" w:rsidP="007E7D11">
      <w:r>
        <w:t>Footnote 1</w:t>
      </w:r>
      <w:r w:rsidR="005A26F9">
        <w:t xml:space="preserve">: </w:t>
      </w:r>
      <w:r w:rsidR="005A26F9" w:rsidRPr="005A26F9">
        <w:t>The chart shows the percentage who say that services help their child gain needed skills and/ or services support me to assist my child, separately for those who have been in the Scheme for approximately one to four years. Cohort 5 (i.e. those in the Scheme for five years) is not shown for these two indicators due to insufficient numbers.</w:t>
      </w:r>
    </w:p>
    <w:p w:rsidR="00BF2EF0" w:rsidRDefault="008E5CF2" w:rsidP="00BF2EF0">
      <w:pPr>
        <w:pStyle w:val="Heading2"/>
      </w:pPr>
      <w:bookmarkStart w:id="31" w:name="_Toc121151408"/>
      <w:r>
        <w:lastRenderedPageBreak/>
        <w:t>Slide 26</w:t>
      </w:r>
      <w:r w:rsidR="00BF2EF0">
        <w:t>: Participants aged 0 to 14</w:t>
      </w:r>
      <w:bookmarkEnd w:id="31"/>
    </w:p>
    <w:p w:rsidR="00BF2EF0" w:rsidRDefault="00BF2EF0" w:rsidP="00BF2EF0">
      <w:pPr>
        <w:pStyle w:val="Heading5"/>
      </w:pPr>
      <w:r>
        <w:t xml:space="preserve">Daily living – development </w:t>
      </w:r>
    </w:p>
    <w:p w:rsidR="00BF2EF0" w:rsidRPr="005A26F9" w:rsidRDefault="00BF2EF0" w:rsidP="00BF2EF0">
      <w:pPr>
        <w:pStyle w:val="Heading5"/>
        <w:rPr>
          <w:i/>
        </w:rPr>
      </w:pPr>
      <w:r>
        <w:rPr>
          <w:i/>
        </w:rPr>
        <w:t>Concerns about development in six or more areas</w:t>
      </w:r>
      <w:r w:rsidRPr="005A26F9">
        <w:rPr>
          <w:i/>
        </w:rPr>
        <w:t xml:space="preserve"> (</w:t>
      </w:r>
      <w:r w:rsidR="0080201D">
        <w:rPr>
          <w:i/>
        </w:rPr>
        <w:t>Footnote 1</w:t>
      </w:r>
      <w:r>
        <w:rPr>
          <w:i/>
        </w:rPr>
        <w:t xml:space="preserve"> and 2</w:t>
      </w:r>
      <w:r w:rsidRPr="005A26F9">
        <w:rPr>
          <w:i/>
        </w:rPr>
        <w:t xml:space="preserve">) </w:t>
      </w:r>
    </w:p>
    <w:p w:rsidR="00247E01" w:rsidRDefault="00247E01" w:rsidP="00247E01">
      <w:r>
        <w:t>There has been an increase in the percentage of respondents reporting concerns about development in six or more areas between baseline and latest review period across all cohorts. For participants in the Scheme for five years, the increase between baseline and fifth review was 18.5 percentage points from 66.7% to 85.2%.2 For participants in the Scheme for four years, the increase between baseline and fourth review was 19.4 percentage-points from 55.7% to 75.1%, including a 3.5 percentage point increase in the latest year.</w:t>
      </w:r>
    </w:p>
    <w:p w:rsidR="00BF2EF0" w:rsidRDefault="00247E01" w:rsidP="00247E01">
      <w:r>
        <w:t>For participants in the Scheme for three years, the increase between baseline and third review was 13.4 percentage points from 60.2% to 73.6%, including a 3.5 percentage point increase in the latest year. For participants in the Scheme for two years, the increase between baseline and third review was 9.8 percentage-points from 66.5% to 76.3%, including a 3.6 percentage-point increase in the latest year. While for participants who have been in the Scheme for one year, there was an increase of 6.0 percentage points.</w:t>
      </w:r>
    </w:p>
    <w:p w:rsidR="00D762FA" w:rsidRDefault="00D762FA" w:rsidP="00247E01">
      <w:r>
        <w:t>Single group (P0toSS), by time in the Scheme:</w:t>
      </w:r>
    </w:p>
    <w:tbl>
      <w:tblPr>
        <w:tblW w:w="7420" w:type="dxa"/>
        <w:tblLook w:val="04A0" w:firstRow="1" w:lastRow="0" w:firstColumn="1" w:lastColumn="0" w:noHBand="0" w:noVBand="1"/>
      </w:tblPr>
      <w:tblGrid>
        <w:gridCol w:w="1060"/>
        <w:gridCol w:w="1121"/>
        <w:gridCol w:w="1060"/>
        <w:gridCol w:w="1060"/>
        <w:gridCol w:w="1060"/>
        <w:gridCol w:w="1060"/>
        <w:gridCol w:w="1060"/>
      </w:tblGrid>
      <w:tr w:rsidR="00247E01" w:rsidRPr="00247E01" w:rsidTr="00247E01">
        <w:trPr>
          <w:trHeight w:val="293"/>
        </w:trPr>
        <w:tc>
          <w:tcPr>
            <w:tcW w:w="1060" w:type="dxa"/>
            <w:tcBorders>
              <w:top w:val="single" w:sz="8" w:space="0" w:color="auto"/>
              <w:left w:val="single" w:sz="8" w:space="0" w:color="auto"/>
              <w:bottom w:val="single" w:sz="8" w:space="0" w:color="auto"/>
              <w:right w:val="nil"/>
            </w:tcBorders>
            <w:shd w:val="clear" w:color="auto" w:fill="auto"/>
            <w:noWrap/>
            <w:vAlign w:val="bottom"/>
            <w:hideMark/>
          </w:tcPr>
          <w:p w:rsidR="00247E01" w:rsidRPr="00247E01" w:rsidRDefault="00247E01" w:rsidP="00247E01">
            <w:pPr>
              <w:spacing w:after="0" w:line="240" w:lineRule="auto"/>
              <w:rPr>
                <w:rFonts w:ascii="Arial" w:eastAsia="Times New Roman" w:hAnsi="Arial" w:cs="Arial"/>
                <w:b/>
                <w:bCs/>
                <w:color w:val="000000"/>
                <w:lang w:eastAsia="en-AU"/>
              </w:rPr>
            </w:pPr>
            <w:r w:rsidRPr="00247E01">
              <w:rPr>
                <w:rFonts w:ascii="Arial" w:eastAsia="Times New Roman" w:hAnsi="Arial" w:cs="Arial"/>
                <w:b/>
                <w:bCs/>
                <w:color w:val="000000"/>
                <w:lang w:eastAsia="en-AU"/>
              </w:rPr>
              <w:t>Cohort</w:t>
            </w:r>
          </w:p>
        </w:tc>
        <w:tc>
          <w:tcPr>
            <w:tcW w:w="10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47E01" w:rsidRPr="00247E01" w:rsidRDefault="00247E01" w:rsidP="00247E01">
            <w:pPr>
              <w:spacing w:after="0" w:line="240" w:lineRule="auto"/>
              <w:rPr>
                <w:rFonts w:ascii="Arial" w:eastAsia="Times New Roman" w:hAnsi="Arial" w:cs="Arial"/>
                <w:b/>
                <w:bCs/>
                <w:color w:val="000000"/>
                <w:lang w:eastAsia="en-AU"/>
              </w:rPr>
            </w:pPr>
            <w:r w:rsidRPr="00247E01">
              <w:rPr>
                <w:rFonts w:ascii="Arial" w:eastAsia="Times New Roman" w:hAnsi="Arial" w:cs="Arial"/>
                <w:b/>
                <w:bCs/>
                <w:color w:val="000000"/>
                <w:lang w:eastAsia="en-AU"/>
              </w:rPr>
              <w:t>B</w:t>
            </w:r>
            <w:r w:rsidR="00E86C1D">
              <w:rPr>
                <w:rFonts w:ascii="Arial" w:eastAsia="Times New Roman" w:hAnsi="Arial" w:cs="Arial"/>
                <w:b/>
                <w:bCs/>
                <w:color w:val="000000"/>
                <w:lang w:eastAsia="en-AU"/>
              </w:rPr>
              <w:t>aseline</w:t>
            </w:r>
          </w:p>
        </w:tc>
        <w:tc>
          <w:tcPr>
            <w:tcW w:w="1060" w:type="dxa"/>
            <w:tcBorders>
              <w:top w:val="single" w:sz="8" w:space="0" w:color="auto"/>
              <w:left w:val="nil"/>
              <w:bottom w:val="single" w:sz="8" w:space="0" w:color="auto"/>
              <w:right w:val="nil"/>
            </w:tcBorders>
            <w:shd w:val="clear" w:color="auto" w:fill="auto"/>
            <w:noWrap/>
            <w:vAlign w:val="bottom"/>
            <w:hideMark/>
          </w:tcPr>
          <w:p w:rsidR="00247E01" w:rsidRPr="00247E01" w:rsidRDefault="00E86C1D" w:rsidP="00247E01">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1</w:t>
            </w:r>
          </w:p>
        </w:tc>
        <w:tc>
          <w:tcPr>
            <w:tcW w:w="10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47E01" w:rsidRPr="00247E01" w:rsidRDefault="00E86C1D" w:rsidP="00247E01">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2</w:t>
            </w:r>
          </w:p>
        </w:tc>
        <w:tc>
          <w:tcPr>
            <w:tcW w:w="1060" w:type="dxa"/>
            <w:tcBorders>
              <w:top w:val="single" w:sz="8" w:space="0" w:color="auto"/>
              <w:left w:val="nil"/>
              <w:bottom w:val="single" w:sz="8" w:space="0" w:color="auto"/>
              <w:right w:val="nil"/>
            </w:tcBorders>
            <w:shd w:val="clear" w:color="auto" w:fill="auto"/>
            <w:noWrap/>
            <w:vAlign w:val="bottom"/>
            <w:hideMark/>
          </w:tcPr>
          <w:p w:rsidR="00247E01" w:rsidRPr="00247E01" w:rsidRDefault="00E86C1D" w:rsidP="00247E01">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3</w:t>
            </w:r>
          </w:p>
        </w:tc>
        <w:tc>
          <w:tcPr>
            <w:tcW w:w="10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47E01" w:rsidRPr="00247E01" w:rsidRDefault="00E86C1D" w:rsidP="00247E01">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4</w:t>
            </w:r>
          </w:p>
        </w:tc>
        <w:tc>
          <w:tcPr>
            <w:tcW w:w="1060" w:type="dxa"/>
            <w:tcBorders>
              <w:top w:val="single" w:sz="8" w:space="0" w:color="auto"/>
              <w:left w:val="nil"/>
              <w:bottom w:val="single" w:sz="8" w:space="0" w:color="auto"/>
              <w:right w:val="single" w:sz="8" w:space="0" w:color="auto"/>
            </w:tcBorders>
            <w:shd w:val="clear" w:color="auto" w:fill="auto"/>
            <w:noWrap/>
            <w:vAlign w:val="bottom"/>
            <w:hideMark/>
          </w:tcPr>
          <w:p w:rsidR="00247E01" w:rsidRPr="00247E01" w:rsidRDefault="00E86C1D" w:rsidP="00247E01">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5</w:t>
            </w:r>
          </w:p>
        </w:tc>
      </w:tr>
      <w:tr w:rsidR="00247E01" w:rsidRPr="00247E01" w:rsidTr="00247E01">
        <w:trPr>
          <w:trHeight w:val="285"/>
        </w:trPr>
        <w:tc>
          <w:tcPr>
            <w:tcW w:w="1060" w:type="dxa"/>
            <w:tcBorders>
              <w:top w:val="nil"/>
              <w:left w:val="single" w:sz="8" w:space="0" w:color="auto"/>
              <w:bottom w:val="single" w:sz="4" w:space="0" w:color="auto"/>
              <w:right w:val="nil"/>
            </w:tcBorders>
            <w:shd w:val="clear" w:color="auto" w:fill="auto"/>
            <w:noWrap/>
            <w:vAlign w:val="bottom"/>
            <w:hideMark/>
          </w:tcPr>
          <w:p w:rsidR="00247E01" w:rsidRPr="00247E01" w:rsidRDefault="00247E01" w:rsidP="00247E01">
            <w:pPr>
              <w:spacing w:after="0" w:line="240" w:lineRule="auto"/>
              <w:rPr>
                <w:rFonts w:ascii="Arial" w:eastAsia="Times New Roman" w:hAnsi="Arial" w:cs="Arial"/>
                <w:b/>
                <w:bCs/>
                <w:color w:val="000000"/>
                <w:lang w:eastAsia="en-AU"/>
              </w:rPr>
            </w:pPr>
            <w:r w:rsidRPr="00247E01">
              <w:rPr>
                <w:rFonts w:ascii="Arial" w:eastAsia="Times New Roman" w:hAnsi="Arial" w:cs="Arial"/>
                <w:b/>
                <w:bCs/>
                <w:color w:val="000000"/>
                <w:lang w:eastAsia="en-AU"/>
              </w:rPr>
              <w:t>5 years</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rsidR="00247E01" w:rsidRPr="00247E01" w:rsidRDefault="00247E01" w:rsidP="00247E01">
            <w:pPr>
              <w:spacing w:after="0" w:line="240" w:lineRule="auto"/>
              <w:jc w:val="right"/>
              <w:rPr>
                <w:rFonts w:ascii="Arial" w:eastAsia="Times New Roman" w:hAnsi="Arial" w:cs="Arial"/>
                <w:color w:val="000000"/>
                <w:lang w:eastAsia="en-AU"/>
              </w:rPr>
            </w:pPr>
            <w:r w:rsidRPr="00247E01">
              <w:rPr>
                <w:rFonts w:ascii="Arial" w:eastAsia="Times New Roman" w:hAnsi="Arial" w:cs="Arial"/>
                <w:color w:val="000000"/>
                <w:lang w:eastAsia="en-AU"/>
              </w:rPr>
              <w:t>66.7%</w:t>
            </w:r>
          </w:p>
        </w:tc>
        <w:tc>
          <w:tcPr>
            <w:tcW w:w="1060" w:type="dxa"/>
            <w:tcBorders>
              <w:top w:val="nil"/>
              <w:left w:val="nil"/>
              <w:bottom w:val="single" w:sz="4" w:space="0" w:color="auto"/>
              <w:right w:val="nil"/>
            </w:tcBorders>
            <w:shd w:val="clear" w:color="auto" w:fill="auto"/>
            <w:noWrap/>
            <w:vAlign w:val="bottom"/>
            <w:hideMark/>
          </w:tcPr>
          <w:p w:rsidR="00247E01" w:rsidRPr="00247E01" w:rsidRDefault="00247E01" w:rsidP="00247E01">
            <w:pPr>
              <w:spacing w:after="0" w:line="240" w:lineRule="auto"/>
              <w:rPr>
                <w:rFonts w:ascii="Arial" w:eastAsia="Times New Roman" w:hAnsi="Arial" w:cs="Arial"/>
                <w:color w:val="000000"/>
                <w:lang w:eastAsia="en-AU"/>
              </w:rPr>
            </w:pPr>
            <w:r w:rsidRPr="00247E01">
              <w:rPr>
                <w:rFonts w:ascii="Arial" w:eastAsia="Times New Roman" w:hAnsi="Arial" w:cs="Arial"/>
                <w:color w:val="000000"/>
                <w:lang w:eastAsia="en-AU"/>
              </w:rPr>
              <w:t> </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rsidR="00247E01" w:rsidRPr="00247E01" w:rsidRDefault="00247E01" w:rsidP="00247E01">
            <w:pPr>
              <w:spacing w:after="0" w:line="240" w:lineRule="auto"/>
              <w:rPr>
                <w:rFonts w:ascii="Arial" w:eastAsia="Times New Roman" w:hAnsi="Arial" w:cs="Arial"/>
                <w:color w:val="000000"/>
                <w:lang w:eastAsia="en-AU"/>
              </w:rPr>
            </w:pPr>
            <w:r w:rsidRPr="00247E01">
              <w:rPr>
                <w:rFonts w:ascii="Arial" w:eastAsia="Times New Roman" w:hAnsi="Arial" w:cs="Arial"/>
                <w:color w:val="000000"/>
                <w:lang w:eastAsia="en-AU"/>
              </w:rPr>
              <w:t> </w:t>
            </w:r>
          </w:p>
        </w:tc>
        <w:tc>
          <w:tcPr>
            <w:tcW w:w="1060" w:type="dxa"/>
            <w:tcBorders>
              <w:top w:val="nil"/>
              <w:left w:val="nil"/>
              <w:bottom w:val="single" w:sz="4" w:space="0" w:color="auto"/>
              <w:right w:val="nil"/>
            </w:tcBorders>
            <w:shd w:val="clear" w:color="auto" w:fill="auto"/>
            <w:noWrap/>
            <w:vAlign w:val="bottom"/>
            <w:hideMark/>
          </w:tcPr>
          <w:p w:rsidR="00247E01" w:rsidRPr="00247E01" w:rsidRDefault="00247E01" w:rsidP="00247E01">
            <w:pPr>
              <w:spacing w:after="0" w:line="240" w:lineRule="auto"/>
              <w:rPr>
                <w:rFonts w:ascii="Arial" w:eastAsia="Times New Roman" w:hAnsi="Arial" w:cs="Arial"/>
                <w:color w:val="000000"/>
                <w:lang w:eastAsia="en-AU"/>
              </w:rPr>
            </w:pPr>
            <w:r w:rsidRPr="00247E01">
              <w:rPr>
                <w:rFonts w:ascii="Arial" w:eastAsia="Times New Roman" w:hAnsi="Arial" w:cs="Arial"/>
                <w:color w:val="000000"/>
                <w:lang w:eastAsia="en-AU"/>
              </w:rPr>
              <w:t> </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rsidR="00247E01" w:rsidRPr="00247E01" w:rsidRDefault="00247E01" w:rsidP="00247E01">
            <w:pPr>
              <w:spacing w:after="0" w:line="240" w:lineRule="auto"/>
              <w:rPr>
                <w:rFonts w:ascii="Arial" w:eastAsia="Times New Roman" w:hAnsi="Arial" w:cs="Arial"/>
                <w:color w:val="000000"/>
                <w:lang w:eastAsia="en-AU"/>
              </w:rPr>
            </w:pPr>
            <w:r w:rsidRPr="00247E01">
              <w:rPr>
                <w:rFonts w:ascii="Arial" w:eastAsia="Times New Roman" w:hAnsi="Arial" w:cs="Arial"/>
                <w:color w:val="000000"/>
                <w:lang w:eastAsia="en-AU"/>
              </w:rPr>
              <w:t> </w:t>
            </w:r>
          </w:p>
        </w:tc>
        <w:tc>
          <w:tcPr>
            <w:tcW w:w="1060" w:type="dxa"/>
            <w:tcBorders>
              <w:top w:val="nil"/>
              <w:left w:val="nil"/>
              <w:bottom w:val="single" w:sz="4" w:space="0" w:color="auto"/>
              <w:right w:val="single" w:sz="8" w:space="0" w:color="auto"/>
            </w:tcBorders>
            <w:shd w:val="clear" w:color="auto" w:fill="auto"/>
            <w:noWrap/>
            <w:vAlign w:val="bottom"/>
            <w:hideMark/>
          </w:tcPr>
          <w:p w:rsidR="00247E01" w:rsidRPr="00247E01" w:rsidRDefault="00247E01" w:rsidP="00247E01">
            <w:pPr>
              <w:spacing w:after="0" w:line="240" w:lineRule="auto"/>
              <w:jc w:val="right"/>
              <w:rPr>
                <w:rFonts w:ascii="Arial" w:eastAsia="Times New Roman" w:hAnsi="Arial" w:cs="Arial"/>
                <w:color w:val="000000"/>
                <w:lang w:eastAsia="en-AU"/>
              </w:rPr>
            </w:pPr>
            <w:r w:rsidRPr="00247E01">
              <w:rPr>
                <w:rFonts w:ascii="Arial" w:eastAsia="Times New Roman" w:hAnsi="Arial" w:cs="Arial"/>
                <w:color w:val="000000"/>
                <w:lang w:eastAsia="en-AU"/>
              </w:rPr>
              <w:t>85.2%</w:t>
            </w:r>
          </w:p>
        </w:tc>
      </w:tr>
      <w:tr w:rsidR="00247E01" w:rsidRPr="00247E01" w:rsidTr="00247E01">
        <w:trPr>
          <w:trHeight w:val="285"/>
        </w:trPr>
        <w:tc>
          <w:tcPr>
            <w:tcW w:w="1060" w:type="dxa"/>
            <w:tcBorders>
              <w:top w:val="nil"/>
              <w:left w:val="single" w:sz="8" w:space="0" w:color="auto"/>
              <w:bottom w:val="single" w:sz="4" w:space="0" w:color="auto"/>
              <w:right w:val="nil"/>
            </w:tcBorders>
            <w:shd w:val="clear" w:color="auto" w:fill="auto"/>
            <w:noWrap/>
            <w:vAlign w:val="bottom"/>
            <w:hideMark/>
          </w:tcPr>
          <w:p w:rsidR="00247E01" w:rsidRPr="00247E01" w:rsidRDefault="00247E01" w:rsidP="00247E01">
            <w:pPr>
              <w:spacing w:after="0" w:line="240" w:lineRule="auto"/>
              <w:rPr>
                <w:rFonts w:ascii="Arial" w:eastAsia="Times New Roman" w:hAnsi="Arial" w:cs="Arial"/>
                <w:b/>
                <w:bCs/>
                <w:color w:val="000000"/>
                <w:lang w:eastAsia="en-AU"/>
              </w:rPr>
            </w:pPr>
            <w:r w:rsidRPr="00247E01">
              <w:rPr>
                <w:rFonts w:ascii="Arial" w:eastAsia="Times New Roman" w:hAnsi="Arial" w:cs="Arial"/>
                <w:b/>
                <w:bCs/>
                <w:color w:val="000000"/>
                <w:lang w:eastAsia="en-AU"/>
              </w:rPr>
              <w:t>4 years</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rsidR="00247E01" w:rsidRPr="00247E01" w:rsidRDefault="00247E01" w:rsidP="00247E01">
            <w:pPr>
              <w:spacing w:after="0" w:line="240" w:lineRule="auto"/>
              <w:jc w:val="right"/>
              <w:rPr>
                <w:rFonts w:ascii="Arial" w:eastAsia="Times New Roman" w:hAnsi="Arial" w:cs="Arial"/>
                <w:color w:val="000000"/>
                <w:lang w:eastAsia="en-AU"/>
              </w:rPr>
            </w:pPr>
            <w:r w:rsidRPr="00247E01">
              <w:rPr>
                <w:rFonts w:ascii="Arial" w:eastAsia="Times New Roman" w:hAnsi="Arial" w:cs="Arial"/>
                <w:color w:val="000000"/>
                <w:lang w:eastAsia="en-AU"/>
              </w:rPr>
              <w:t>55.7%</w:t>
            </w:r>
          </w:p>
        </w:tc>
        <w:tc>
          <w:tcPr>
            <w:tcW w:w="1060" w:type="dxa"/>
            <w:tcBorders>
              <w:top w:val="nil"/>
              <w:left w:val="nil"/>
              <w:bottom w:val="single" w:sz="4" w:space="0" w:color="auto"/>
              <w:right w:val="nil"/>
            </w:tcBorders>
            <w:shd w:val="clear" w:color="auto" w:fill="auto"/>
            <w:noWrap/>
            <w:vAlign w:val="bottom"/>
            <w:hideMark/>
          </w:tcPr>
          <w:p w:rsidR="00247E01" w:rsidRPr="00247E01" w:rsidRDefault="00247E01" w:rsidP="00247E01">
            <w:pPr>
              <w:spacing w:after="0" w:line="240" w:lineRule="auto"/>
              <w:jc w:val="right"/>
              <w:rPr>
                <w:rFonts w:ascii="Arial" w:eastAsia="Times New Roman" w:hAnsi="Arial" w:cs="Arial"/>
                <w:color w:val="000000"/>
                <w:lang w:eastAsia="en-AU"/>
              </w:rPr>
            </w:pPr>
            <w:r w:rsidRPr="00247E01">
              <w:rPr>
                <w:rFonts w:ascii="Arial" w:eastAsia="Times New Roman" w:hAnsi="Arial" w:cs="Arial"/>
                <w:color w:val="000000"/>
                <w:lang w:eastAsia="en-AU"/>
              </w:rPr>
              <w:t>63.5%</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rsidR="00247E01" w:rsidRPr="00247E01" w:rsidRDefault="00247E01" w:rsidP="00247E01">
            <w:pPr>
              <w:spacing w:after="0" w:line="240" w:lineRule="auto"/>
              <w:jc w:val="right"/>
              <w:rPr>
                <w:rFonts w:ascii="Arial" w:eastAsia="Times New Roman" w:hAnsi="Arial" w:cs="Arial"/>
                <w:color w:val="000000"/>
                <w:lang w:eastAsia="en-AU"/>
              </w:rPr>
            </w:pPr>
            <w:r w:rsidRPr="00247E01">
              <w:rPr>
                <w:rFonts w:ascii="Arial" w:eastAsia="Times New Roman" w:hAnsi="Arial" w:cs="Arial"/>
                <w:color w:val="000000"/>
                <w:lang w:eastAsia="en-AU"/>
              </w:rPr>
              <w:t>70.0%</w:t>
            </w:r>
          </w:p>
        </w:tc>
        <w:tc>
          <w:tcPr>
            <w:tcW w:w="1060" w:type="dxa"/>
            <w:tcBorders>
              <w:top w:val="nil"/>
              <w:left w:val="nil"/>
              <w:bottom w:val="single" w:sz="4" w:space="0" w:color="auto"/>
              <w:right w:val="nil"/>
            </w:tcBorders>
            <w:shd w:val="clear" w:color="auto" w:fill="auto"/>
            <w:noWrap/>
            <w:vAlign w:val="bottom"/>
            <w:hideMark/>
          </w:tcPr>
          <w:p w:rsidR="00247E01" w:rsidRPr="00247E01" w:rsidRDefault="00247E01" w:rsidP="00247E01">
            <w:pPr>
              <w:spacing w:after="0" w:line="240" w:lineRule="auto"/>
              <w:jc w:val="right"/>
              <w:rPr>
                <w:rFonts w:ascii="Arial" w:eastAsia="Times New Roman" w:hAnsi="Arial" w:cs="Arial"/>
                <w:color w:val="000000"/>
                <w:lang w:eastAsia="en-AU"/>
              </w:rPr>
            </w:pPr>
            <w:r w:rsidRPr="00247E01">
              <w:rPr>
                <w:rFonts w:ascii="Arial" w:eastAsia="Times New Roman" w:hAnsi="Arial" w:cs="Arial"/>
                <w:color w:val="000000"/>
                <w:lang w:eastAsia="en-AU"/>
              </w:rPr>
              <w:t>71.6%</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rsidR="00247E01" w:rsidRPr="00247E01" w:rsidRDefault="00247E01" w:rsidP="00247E01">
            <w:pPr>
              <w:spacing w:after="0" w:line="240" w:lineRule="auto"/>
              <w:jc w:val="right"/>
              <w:rPr>
                <w:rFonts w:ascii="Arial" w:eastAsia="Times New Roman" w:hAnsi="Arial" w:cs="Arial"/>
                <w:color w:val="000000"/>
                <w:lang w:eastAsia="en-AU"/>
              </w:rPr>
            </w:pPr>
            <w:r w:rsidRPr="00247E01">
              <w:rPr>
                <w:rFonts w:ascii="Arial" w:eastAsia="Times New Roman" w:hAnsi="Arial" w:cs="Arial"/>
                <w:color w:val="000000"/>
                <w:lang w:eastAsia="en-AU"/>
              </w:rPr>
              <w:t>75.1%</w:t>
            </w:r>
          </w:p>
        </w:tc>
        <w:tc>
          <w:tcPr>
            <w:tcW w:w="1060" w:type="dxa"/>
            <w:tcBorders>
              <w:top w:val="nil"/>
              <w:left w:val="nil"/>
              <w:bottom w:val="single" w:sz="4" w:space="0" w:color="auto"/>
              <w:right w:val="single" w:sz="8" w:space="0" w:color="auto"/>
            </w:tcBorders>
            <w:shd w:val="clear" w:color="auto" w:fill="auto"/>
            <w:noWrap/>
            <w:vAlign w:val="bottom"/>
            <w:hideMark/>
          </w:tcPr>
          <w:p w:rsidR="00247E01" w:rsidRPr="00247E01" w:rsidRDefault="00247E01" w:rsidP="00247E01">
            <w:pPr>
              <w:spacing w:after="0" w:line="240" w:lineRule="auto"/>
              <w:rPr>
                <w:rFonts w:ascii="Arial" w:eastAsia="Times New Roman" w:hAnsi="Arial" w:cs="Arial"/>
                <w:color w:val="000000"/>
                <w:lang w:eastAsia="en-AU"/>
              </w:rPr>
            </w:pPr>
            <w:r w:rsidRPr="00247E01">
              <w:rPr>
                <w:rFonts w:ascii="Arial" w:eastAsia="Times New Roman" w:hAnsi="Arial" w:cs="Arial"/>
                <w:color w:val="000000"/>
                <w:lang w:eastAsia="en-AU"/>
              </w:rPr>
              <w:t> </w:t>
            </w:r>
          </w:p>
        </w:tc>
      </w:tr>
      <w:tr w:rsidR="00247E01" w:rsidRPr="00247E01" w:rsidTr="00247E01">
        <w:trPr>
          <w:trHeight w:val="285"/>
        </w:trPr>
        <w:tc>
          <w:tcPr>
            <w:tcW w:w="1060" w:type="dxa"/>
            <w:tcBorders>
              <w:top w:val="nil"/>
              <w:left w:val="single" w:sz="8" w:space="0" w:color="auto"/>
              <w:bottom w:val="single" w:sz="4" w:space="0" w:color="auto"/>
              <w:right w:val="nil"/>
            </w:tcBorders>
            <w:shd w:val="clear" w:color="auto" w:fill="auto"/>
            <w:noWrap/>
            <w:vAlign w:val="bottom"/>
            <w:hideMark/>
          </w:tcPr>
          <w:p w:rsidR="00247E01" w:rsidRPr="00247E01" w:rsidRDefault="00247E01" w:rsidP="00247E01">
            <w:pPr>
              <w:spacing w:after="0" w:line="240" w:lineRule="auto"/>
              <w:rPr>
                <w:rFonts w:ascii="Arial" w:eastAsia="Times New Roman" w:hAnsi="Arial" w:cs="Arial"/>
                <w:b/>
                <w:bCs/>
                <w:color w:val="000000"/>
                <w:lang w:eastAsia="en-AU"/>
              </w:rPr>
            </w:pPr>
            <w:r w:rsidRPr="00247E01">
              <w:rPr>
                <w:rFonts w:ascii="Arial" w:eastAsia="Times New Roman" w:hAnsi="Arial" w:cs="Arial"/>
                <w:b/>
                <w:bCs/>
                <w:color w:val="000000"/>
                <w:lang w:eastAsia="en-AU"/>
              </w:rPr>
              <w:t>3 years</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rsidR="00247E01" w:rsidRPr="00247E01" w:rsidRDefault="00247E01" w:rsidP="00247E01">
            <w:pPr>
              <w:spacing w:after="0" w:line="240" w:lineRule="auto"/>
              <w:jc w:val="right"/>
              <w:rPr>
                <w:rFonts w:ascii="Arial" w:eastAsia="Times New Roman" w:hAnsi="Arial" w:cs="Arial"/>
                <w:color w:val="000000"/>
                <w:lang w:eastAsia="en-AU"/>
              </w:rPr>
            </w:pPr>
            <w:r w:rsidRPr="00247E01">
              <w:rPr>
                <w:rFonts w:ascii="Arial" w:eastAsia="Times New Roman" w:hAnsi="Arial" w:cs="Arial"/>
                <w:color w:val="000000"/>
                <w:lang w:eastAsia="en-AU"/>
              </w:rPr>
              <w:t>60.2%</w:t>
            </w:r>
          </w:p>
        </w:tc>
        <w:tc>
          <w:tcPr>
            <w:tcW w:w="1060" w:type="dxa"/>
            <w:tcBorders>
              <w:top w:val="nil"/>
              <w:left w:val="nil"/>
              <w:bottom w:val="single" w:sz="4" w:space="0" w:color="auto"/>
              <w:right w:val="nil"/>
            </w:tcBorders>
            <w:shd w:val="clear" w:color="auto" w:fill="auto"/>
            <w:noWrap/>
            <w:vAlign w:val="bottom"/>
            <w:hideMark/>
          </w:tcPr>
          <w:p w:rsidR="00247E01" w:rsidRPr="00247E01" w:rsidRDefault="00247E01" w:rsidP="00247E01">
            <w:pPr>
              <w:spacing w:after="0" w:line="240" w:lineRule="auto"/>
              <w:jc w:val="right"/>
              <w:rPr>
                <w:rFonts w:ascii="Arial" w:eastAsia="Times New Roman" w:hAnsi="Arial" w:cs="Arial"/>
                <w:color w:val="000000"/>
                <w:lang w:eastAsia="en-AU"/>
              </w:rPr>
            </w:pPr>
            <w:r w:rsidRPr="00247E01">
              <w:rPr>
                <w:rFonts w:ascii="Arial" w:eastAsia="Times New Roman" w:hAnsi="Arial" w:cs="Arial"/>
                <w:color w:val="000000"/>
                <w:lang w:eastAsia="en-AU"/>
              </w:rPr>
              <w:t>66.2%</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rsidR="00247E01" w:rsidRPr="00247E01" w:rsidRDefault="00247E01" w:rsidP="00247E01">
            <w:pPr>
              <w:spacing w:after="0" w:line="240" w:lineRule="auto"/>
              <w:jc w:val="right"/>
              <w:rPr>
                <w:rFonts w:ascii="Arial" w:eastAsia="Times New Roman" w:hAnsi="Arial" w:cs="Arial"/>
                <w:color w:val="000000"/>
                <w:lang w:eastAsia="en-AU"/>
              </w:rPr>
            </w:pPr>
            <w:r w:rsidRPr="00247E01">
              <w:rPr>
                <w:rFonts w:ascii="Arial" w:eastAsia="Times New Roman" w:hAnsi="Arial" w:cs="Arial"/>
                <w:color w:val="000000"/>
                <w:lang w:eastAsia="en-AU"/>
              </w:rPr>
              <w:t>70.1%</w:t>
            </w:r>
          </w:p>
        </w:tc>
        <w:tc>
          <w:tcPr>
            <w:tcW w:w="1060" w:type="dxa"/>
            <w:tcBorders>
              <w:top w:val="nil"/>
              <w:left w:val="nil"/>
              <w:bottom w:val="single" w:sz="4" w:space="0" w:color="auto"/>
              <w:right w:val="nil"/>
            </w:tcBorders>
            <w:shd w:val="clear" w:color="auto" w:fill="auto"/>
            <w:noWrap/>
            <w:vAlign w:val="bottom"/>
            <w:hideMark/>
          </w:tcPr>
          <w:p w:rsidR="00247E01" w:rsidRPr="00247E01" w:rsidRDefault="00247E01" w:rsidP="00247E01">
            <w:pPr>
              <w:spacing w:after="0" w:line="240" w:lineRule="auto"/>
              <w:jc w:val="right"/>
              <w:rPr>
                <w:rFonts w:ascii="Arial" w:eastAsia="Times New Roman" w:hAnsi="Arial" w:cs="Arial"/>
                <w:color w:val="000000"/>
                <w:lang w:eastAsia="en-AU"/>
              </w:rPr>
            </w:pPr>
            <w:r w:rsidRPr="00247E01">
              <w:rPr>
                <w:rFonts w:ascii="Arial" w:eastAsia="Times New Roman" w:hAnsi="Arial" w:cs="Arial"/>
                <w:color w:val="000000"/>
                <w:lang w:eastAsia="en-AU"/>
              </w:rPr>
              <w:t>73.6%</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rsidR="00247E01" w:rsidRPr="00247E01" w:rsidRDefault="00247E01" w:rsidP="00247E01">
            <w:pPr>
              <w:spacing w:after="0" w:line="240" w:lineRule="auto"/>
              <w:rPr>
                <w:rFonts w:ascii="Arial" w:eastAsia="Times New Roman" w:hAnsi="Arial" w:cs="Arial"/>
                <w:color w:val="000000"/>
                <w:lang w:eastAsia="en-AU"/>
              </w:rPr>
            </w:pPr>
            <w:r w:rsidRPr="00247E01">
              <w:rPr>
                <w:rFonts w:ascii="Arial" w:eastAsia="Times New Roman" w:hAnsi="Arial" w:cs="Arial"/>
                <w:color w:val="000000"/>
                <w:lang w:eastAsia="en-AU"/>
              </w:rPr>
              <w:t> </w:t>
            </w:r>
          </w:p>
        </w:tc>
        <w:tc>
          <w:tcPr>
            <w:tcW w:w="1060" w:type="dxa"/>
            <w:tcBorders>
              <w:top w:val="nil"/>
              <w:left w:val="nil"/>
              <w:bottom w:val="single" w:sz="4" w:space="0" w:color="auto"/>
              <w:right w:val="single" w:sz="8" w:space="0" w:color="auto"/>
            </w:tcBorders>
            <w:shd w:val="clear" w:color="auto" w:fill="auto"/>
            <w:noWrap/>
            <w:vAlign w:val="bottom"/>
            <w:hideMark/>
          </w:tcPr>
          <w:p w:rsidR="00247E01" w:rsidRPr="00247E01" w:rsidRDefault="00247E01" w:rsidP="00247E01">
            <w:pPr>
              <w:spacing w:after="0" w:line="240" w:lineRule="auto"/>
              <w:rPr>
                <w:rFonts w:ascii="Arial" w:eastAsia="Times New Roman" w:hAnsi="Arial" w:cs="Arial"/>
                <w:color w:val="000000"/>
                <w:lang w:eastAsia="en-AU"/>
              </w:rPr>
            </w:pPr>
            <w:r w:rsidRPr="00247E01">
              <w:rPr>
                <w:rFonts w:ascii="Arial" w:eastAsia="Times New Roman" w:hAnsi="Arial" w:cs="Arial"/>
                <w:color w:val="000000"/>
                <w:lang w:eastAsia="en-AU"/>
              </w:rPr>
              <w:t> </w:t>
            </w:r>
          </w:p>
        </w:tc>
      </w:tr>
      <w:tr w:rsidR="00247E01" w:rsidRPr="00247E01" w:rsidTr="00247E01">
        <w:trPr>
          <w:trHeight w:val="285"/>
        </w:trPr>
        <w:tc>
          <w:tcPr>
            <w:tcW w:w="1060" w:type="dxa"/>
            <w:tcBorders>
              <w:top w:val="nil"/>
              <w:left w:val="single" w:sz="8" w:space="0" w:color="auto"/>
              <w:bottom w:val="single" w:sz="4" w:space="0" w:color="auto"/>
              <w:right w:val="nil"/>
            </w:tcBorders>
            <w:shd w:val="clear" w:color="auto" w:fill="auto"/>
            <w:noWrap/>
            <w:vAlign w:val="bottom"/>
            <w:hideMark/>
          </w:tcPr>
          <w:p w:rsidR="00247E01" w:rsidRPr="00247E01" w:rsidRDefault="00247E01" w:rsidP="00247E01">
            <w:pPr>
              <w:spacing w:after="0" w:line="240" w:lineRule="auto"/>
              <w:rPr>
                <w:rFonts w:ascii="Arial" w:eastAsia="Times New Roman" w:hAnsi="Arial" w:cs="Arial"/>
                <w:b/>
                <w:bCs/>
                <w:color w:val="000000"/>
                <w:lang w:eastAsia="en-AU"/>
              </w:rPr>
            </w:pPr>
            <w:r w:rsidRPr="00247E01">
              <w:rPr>
                <w:rFonts w:ascii="Arial" w:eastAsia="Times New Roman" w:hAnsi="Arial" w:cs="Arial"/>
                <w:b/>
                <w:bCs/>
                <w:color w:val="000000"/>
                <w:lang w:eastAsia="en-AU"/>
              </w:rPr>
              <w:t>2 years</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rsidR="00247E01" w:rsidRPr="00247E01" w:rsidRDefault="00247E01" w:rsidP="00247E01">
            <w:pPr>
              <w:spacing w:after="0" w:line="240" w:lineRule="auto"/>
              <w:jc w:val="right"/>
              <w:rPr>
                <w:rFonts w:ascii="Arial" w:eastAsia="Times New Roman" w:hAnsi="Arial" w:cs="Arial"/>
                <w:color w:val="000000"/>
                <w:lang w:eastAsia="en-AU"/>
              </w:rPr>
            </w:pPr>
            <w:r w:rsidRPr="00247E01">
              <w:rPr>
                <w:rFonts w:ascii="Arial" w:eastAsia="Times New Roman" w:hAnsi="Arial" w:cs="Arial"/>
                <w:color w:val="000000"/>
                <w:lang w:eastAsia="en-AU"/>
              </w:rPr>
              <w:t>66.5%</w:t>
            </w:r>
          </w:p>
        </w:tc>
        <w:tc>
          <w:tcPr>
            <w:tcW w:w="1060" w:type="dxa"/>
            <w:tcBorders>
              <w:top w:val="nil"/>
              <w:left w:val="nil"/>
              <w:bottom w:val="single" w:sz="4" w:space="0" w:color="auto"/>
              <w:right w:val="nil"/>
            </w:tcBorders>
            <w:shd w:val="clear" w:color="auto" w:fill="auto"/>
            <w:noWrap/>
            <w:vAlign w:val="bottom"/>
            <w:hideMark/>
          </w:tcPr>
          <w:p w:rsidR="00247E01" w:rsidRPr="00247E01" w:rsidRDefault="00247E01" w:rsidP="00247E01">
            <w:pPr>
              <w:spacing w:after="0" w:line="240" w:lineRule="auto"/>
              <w:jc w:val="right"/>
              <w:rPr>
                <w:rFonts w:ascii="Arial" w:eastAsia="Times New Roman" w:hAnsi="Arial" w:cs="Arial"/>
                <w:color w:val="000000"/>
                <w:lang w:eastAsia="en-AU"/>
              </w:rPr>
            </w:pPr>
            <w:r w:rsidRPr="00247E01">
              <w:rPr>
                <w:rFonts w:ascii="Arial" w:eastAsia="Times New Roman" w:hAnsi="Arial" w:cs="Arial"/>
                <w:color w:val="000000"/>
                <w:lang w:eastAsia="en-AU"/>
              </w:rPr>
              <w:t>72.6%</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rsidR="00247E01" w:rsidRPr="00247E01" w:rsidRDefault="00247E01" w:rsidP="00247E01">
            <w:pPr>
              <w:spacing w:after="0" w:line="240" w:lineRule="auto"/>
              <w:jc w:val="right"/>
              <w:rPr>
                <w:rFonts w:ascii="Arial" w:eastAsia="Times New Roman" w:hAnsi="Arial" w:cs="Arial"/>
                <w:color w:val="000000"/>
                <w:lang w:eastAsia="en-AU"/>
              </w:rPr>
            </w:pPr>
            <w:r w:rsidRPr="00247E01">
              <w:rPr>
                <w:rFonts w:ascii="Arial" w:eastAsia="Times New Roman" w:hAnsi="Arial" w:cs="Arial"/>
                <w:color w:val="000000"/>
                <w:lang w:eastAsia="en-AU"/>
              </w:rPr>
              <w:t>76.3%</w:t>
            </w:r>
          </w:p>
        </w:tc>
        <w:tc>
          <w:tcPr>
            <w:tcW w:w="1060" w:type="dxa"/>
            <w:tcBorders>
              <w:top w:val="nil"/>
              <w:left w:val="nil"/>
              <w:bottom w:val="single" w:sz="4" w:space="0" w:color="auto"/>
              <w:right w:val="nil"/>
            </w:tcBorders>
            <w:shd w:val="clear" w:color="auto" w:fill="auto"/>
            <w:noWrap/>
            <w:vAlign w:val="bottom"/>
            <w:hideMark/>
          </w:tcPr>
          <w:p w:rsidR="00247E01" w:rsidRPr="00247E01" w:rsidRDefault="00247E01" w:rsidP="00247E01">
            <w:pPr>
              <w:spacing w:after="0" w:line="240" w:lineRule="auto"/>
              <w:rPr>
                <w:rFonts w:ascii="Arial" w:eastAsia="Times New Roman" w:hAnsi="Arial" w:cs="Arial"/>
                <w:color w:val="000000"/>
                <w:lang w:eastAsia="en-AU"/>
              </w:rPr>
            </w:pPr>
            <w:r w:rsidRPr="00247E01">
              <w:rPr>
                <w:rFonts w:ascii="Arial" w:eastAsia="Times New Roman" w:hAnsi="Arial" w:cs="Arial"/>
                <w:color w:val="000000"/>
                <w:lang w:eastAsia="en-AU"/>
              </w:rPr>
              <w:t> </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rsidR="00247E01" w:rsidRPr="00247E01" w:rsidRDefault="00247E01" w:rsidP="00247E01">
            <w:pPr>
              <w:spacing w:after="0" w:line="240" w:lineRule="auto"/>
              <w:rPr>
                <w:rFonts w:ascii="Arial" w:eastAsia="Times New Roman" w:hAnsi="Arial" w:cs="Arial"/>
                <w:color w:val="000000"/>
                <w:lang w:eastAsia="en-AU"/>
              </w:rPr>
            </w:pPr>
            <w:r w:rsidRPr="00247E01">
              <w:rPr>
                <w:rFonts w:ascii="Arial" w:eastAsia="Times New Roman" w:hAnsi="Arial" w:cs="Arial"/>
                <w:color w:val="000000"/>
                <w:lang w:eastAsia="en-AU"/>
              </w:rPr>
              <w:t> </w:t>
            </w:r>
          </w:p>
        </w:tc>
        <w:tc>
          <w:tcPr>
            <w:tcW w:w="1060" w:type="dxa"/>
            <w:tcBorders>
              <w:top w:val="nil"/>
              <w:left w:val="nil"/>
              <w:bottom w:val="single" w:sz="4" w:space="0" w:color="auto"/>
              <w:right w:val="single" w:sz="8" w:space="0" w:color="auto"/>
            </w:tcBorders>
            <w:shd w:val="clear" w:color="auto" w:fill="auto"/>
            <w:noWrap/>
            <w:vAlign w:val="bottom"/>
            <w:hideMark/>
          </w:tcPr>
          <w:p w:rsidR="00247E01" w:rsidRPr="00247E01" w:rsidRDefault="00247E01" w:rsidP="00247E01">
            <w:pPr>
              <w:spacing w:after="0" w:line="240" w:lineRule="auto"/>
              <w:rPr>
                <w:rFonts w:ascii="Arial" w:eastAsia="Times New Roman" w:hAnsi="Arial" w:cs="Arial"/>
                <w:color w:val="000000"/>
                <w:lang w:eastAsia="en-AU"/>
              </w:rPr>
            </w:pPr>
            <w:r w:rsidRPr="00247E01">
              <w:rPr>
                <w:rFonts w:ascii="Arial" w:eastAsia="Times New Roman" w:hAnsi="Arial" w:cs="Arial"/>
                <w:color w:val="000000"/>
                <w:lang w:eastAsia="en-AU"/>
              </w:rPr>
              <w:t> </w:t>
            </w:r>
          </w:p>
        </w:tc>
      </w:tr>
      <w:tr w:rsidR="00247E01" w:rsidRPr="00247E01" w:rsidTr="00247E01">
        <w:trPr>
          <w:trHeight w:val="293"/>
        </w:trPr>
        <w:tc>
          <w:tcPr>
            <w:tcW w:w="1060" w:type="dxa"/>
            <w:tcBorders>
              <w:top w:val="nil"/>
              <w:left w:val="single" w:sz="8" w:space="0" w:color="auto"/>
              <w:bottom w:val="single" w:sz="8" w:space="0" w:color="auto"/>
              <w:right w:val="nil"/>
            </w:tcBorders>
            <w:shd w:val="clear" w:color="auto" w:fill="auto"/>
            <w:noWrap/>
            <w:vAlign w:val="bottom"/>
            <w:hideMark/>
          </w:tcPr>
          <w:p w:rsidR="00247E01" w:rsidRPr="00247E01" w:rsidRDefault="00247E01" w:rsidP="00247E01">
            <w:pPr>
              <w:spacing w:after="0" w:line="240" w:lineRule="auto"/>
              <w:rPr>
                <w:rFonts w:ascii="Arial" w:eastAsia="Times New Roman" w:hAnsi="Arial" w:cs="Arial"/>
                <w:b/>
                <w:bCs/>
                <w:color w:val="000000"/>
                <w:lang w:eastAsia="en-AU"/>
              </w:rPr>
            </w:pPr>
            <w:r w:rsidRPr="00247E01">
              <w:rPr>
                <w:rFonts w:ascii="Arial" w:eastAsia="Times New Roman" w:hAnsi="Arial" w:cs="Arial"/>
                <w:b/>
                <w:bCs/>
                <w:color w:val="000000"/>
                <w:lang w:eastAsia="en-AU"/>
              </w:rPr>
              <w:t>1 year</w:t>
            </w:r>
          </w:p>
        </w:tc>
        <w:tc>
          <w:tcPr>
            <w:tcW w:w="1060" w:type="dxa"/>
            <w:tcBorders>
              <w:top w:val="nil"/>
              <w:left w:val="single" w:sz="8" w:space="0" w:color="auto"/>
              <w:bottom w:val="single" w:sz="8" w:space="0" w:color="auto"/>
              <w:right w:val="single" w:sz="8" w:space="0" w:color="auto"/>
            </w:tcBorders>
            <w:shd w:val="clear" w:color="auto" w:fill="auto"/>
            <w:noWrap/>
            <w:vAlign w:val="bottom"/>
            <w:hideMark/>
          </w:tcPr>
          <w:p w:rsidR="00247E01" w:rsidRPr="00247E01" w:rsidRDefault="00247E01" w:rsidP="00247E01">
            <w:pPr>
              <w:spacing w:after="0" w:line="240" w:lineRule="auto"/>
              <w:jc w:val="right"/>
              <w:rPr>
                <w:rFonts w:ascii="Arial" w:eastAsia="Times New Roman" w:hAnsi="Arial" w:cs="Arial"/>
                <w:color w:val="000000"/>
                <w:lang w:eastAsia="en-AU"/>
              </w:rPr>
            </w:pPr>
            <w:r w:rsidRPr="00247E01">
              <w:rPr>
                <w:rFonts w:ascii="Arial" w:eastAsia="Times New Roman" w:hAnsi="Arial" w:cs="Arial"/>
                <w:color w:val="000000"/>
                <w:lang w:eastAsia="en-AU"/>
              </w:rPr>
              <w:t>68.4%</w:t>
            </w:r>
          </w:p>
        </w:tc>
        <w:tc>
          <w:tcPr>
            <w:tcW w:w="1060" w:type="dxa"/>
            <w:tcBorders>
              <w:top w:val="nil"/>
              <w:left w:val="nil"/>
              <w:bottom w:val="single" w:sz="8" w:space="0" w:color="auto"/>
              <w:right w:val="nil"/>
            </w:tcBorders>
            <w:shd w:val="clear" w:color="auto" w:fill="auto"/>
            <w:noWrap/>
            <w:vAlign w:val="bottom"/>
            <w:hideMark/>
          </w:tcPr>
          <w:p w:rsidR="00247E01" w:rsidRPr="00247E01" w:rsidRDefault="00247E01" w:rsidP="00247E01">
            <w:pPr>
              <w:spacing w:after="0" w:line="240" w:lineRule="auto"/>
              <w:jc w:val="right"/>
              <w:rPr>
                <w:rFonts w:ascii="Arial" w:eastAsia="Times New Roman" w:hAnsi="Arial" w:cs="Arial"/>
                <w:color w:val="000000"/>
                <w:lang w:eastAsia="en-AU"/>
              </w:rPr>
            </w:pPr>
            <w:r w:rsidRPr="00247E01">
              <w:rPr>
                <w:rFonts w:ascii="Arial" w:eastAsia="Times New Roman" w:hAnsi="Arial" w:cs="Arial"/>
                <w:color w:val="000000"/>
                <w:lang w:eastAsia="en-AU"/>
              </w:rPr>
              <w:t>74.4%</w:t>
            </w:r>
          </w:p>
        </w:tc>
        <w:tc>
          <w:tcPr>
            <w:tcW w:w="1060" w:type="dxa"/>
            <w:tcBorders>
              <w:top w:val="nil"/>
              <w:left w:val="single" w:sz="8" w:space="0" w:color="auto"/>
              <w:bottom w:val="single" w:sz="8" w:space="0" w:color="auto"/>
              <w:right w:val="single" w:sz="8" w:space="0" w:color="auto"/>
            </w:tcBorders>
            <w:shd w:val="clear" w:color="auto" w:fill="auto"/>
            <w:noWrap/>
            <w:vAlign w:val="bottom"/>
            <w:hideMark/>
          </w:tcPr>
          <w:p w:rsidR="00247E01" w:rsidRPr="00247E01" w:rsidRDefault="00247E01" w:rsidP="00247E01">
            <w:pPr>
              <w:spacing w:after="0" w:line="240" w:lineRule="auto"/>
              <w:rPr>
                <w:rFonts w:ascii="Arial" w:eastAsia="Times New Roman" w:hAnsi="Arial" w:cs="Arial"/>
                <w:color w:val="000000"/>
                <w:lang w:eastAsia="en-AU"/>
              </w:rPr>
            </w:pPr>
            <w:r w:rsidRPr="00247E01">
              <w:rPr>
                <w:rFonts w:ascii="Arial" w:eastAsia="Times New Roman" w:hAnsi="Arial" w:cs="Arial"/>
                <w:color w:val="000000"/>
                <w:lang w:eastAsia="en-AU"/>
              </w:rPr>
              <w:t> </w:t>
            </w:r>
          </w:p>
        </w:tc>
        <w:tc>
          <w:tcPr>
            <w:tcW w:w="1060" w:type="dxa"/>
            <w:tcBorders>
              <w:top w:val="nil"/>
              <w:left w:val="nil"/>
              <w:bottom w:val="single" w:sz="8" w:space="0" w:color="auto"/>
              <w:right w:val="nil"/>
            </w:tcBorders>
            <w:shd w:val="clear" w:color="auto" w:fill="auto"/>
            <w:noWrap/>
            <w:vAlign w:val="bottom"/>
            <w:hideMark/>
          </w:tcPr>
          <w:p w:rsidR="00247E01" w:rsidRPr="00247E01" w:rsidRDefault="00247E01" w:rsidP="00247E01">
            <w:pPr>
              <w:spacing w:after="0" w:line="240" w:lineRule="auto"/>
              <w:rPr>
                <w:rFonts w:ascii="Arial" w:eastAsia="Times New Roman" w:hAnsi="Arial" w:cs="Arial"/>
                <w:color w:val="000000"/>
                <w:lang w:eastAsia="en-AU"/>
              </w:rPr>
            </w:pPr>
            <w:r w:rsidRPr="00247E01">
              <w:rPr>
                <w:rFonts w:ascii="Arial" w:eastAsia="Times New Roman" w:hAnsi="Arial" w:cs="Arial"/>
                <w:color w:val="000000"/>
                <w:lang w:eastAsia="en-AU"/>
              </w:rPr>
              <w:t> </w:t>
            </w:r>
          </w:p>
        </w:tc>
        <w:tc>
          <w:tcPr>
            <w:tcW w:w="1060" w:type="dxa"/>
            <w:tcBorders>
              <w:top w:val="nil"/>
              <w:left w:val="single" w:sz="8" w:space="0" w:color="auto"/>
              <w:bottom w:val="single" w:sz="8" w:space="0" w:color="auto"/>
              <w:right w:val="single" w:sz="8" w:space="0" w:color="auto"/>
            </w:tcBorders>
            <w:shd w:val="clear" w:color="auto" w:fill="auto"/>
            <w:noWrap/>
            <w:vAlign w:val="bottom"/>
            <w:hideMark/>
          </w:tcPr>
          <w:p w:rsidR="00247E01" w:rsidRPr="00247E01" w:rsidRDefault="00247E01" w:rsidP="00247E01">
            <w:pPr>
              <w:spacing w:after="0" w:line="240" w:lineRule="auto"/>
              <w:rPr>
                <w:rFonts w:ascii="Arial" w:eastAsia="Times New Roman" w:hAnsi="Arial" w:cs="Arial"/>
                <w:color w:val="000000"/>
                <w:lang w:eastAsia="en-AU"/>
              </w:rPr>
            </w:pPr>
            <w:r w:rsidRPr="00247E01">
              <w:rPr>
                <w:rFonts w:ascii="Arial" w:eastAsia="Times New Roman" w:hAnsi="Arial" w:cs="Arial"/>
                <w:color w:val="000000"/>
                <w:lang w:eastAsia="en-AU"/>
              </w:rPr>
              <w:t> </w:t>
            </w:r>
          </w:p>
        </w:tc>
        <w:tc>
          <w:tcPr>
            <w:tcW w:w="1060" w:type="dxa"/>
            <w:tcBorders>
              <w:top w:val="nil"/>
              <w:left w:val="nil"/>
              <w:bottom w:val="single" w:sz="8" w:space="0" w:color="auto"/>
              <w:right w:val="single" w:sz="8" w:space="0" w:color="auto"/>
            </w:tcBorders>
            <w:shd w:val="clear" w:color="auto" w:fill="auto"/>
            <w:noWrap/>
            <w:vAlign w:val="bottom"/>
            <w:hideMark/>
          </w:tcPr>
          <w:p w:rsidR="00247E01" w:rsidRPr="00247E01" w:rsidRDefault="00247E01" w:rsidP="00247E01">
            <w:pPr>
              <w:spacing w:after="0" w:line="240" w:lineRule="auto"/>
              <w:rPr>
                <w:rFonts w:ascii="Arial" w:eastAsia="Times New Roman" w:hAnsi="Arial" w:cs="Arial"/>
                <w:color w:val="000000"/>
                <w:lang w:eastAsia="en-AU"/>
              </w:rPr>
            </w:pPr>
            <w:r w:rsidRPr="00247E01">
              <w:rPr>
                <w:rFonts w:ascii="Arial" w:eastAsia="Times New Roman" w:hAnsi="Arial" w:cs="Arial"/>
                <w:color w:val="000000"/>
                <w:lang w:eastAsia="en-AU"/>
              </w:rPr>
              <w:t> </w:t>
            </w:r>
          </w:p>
        </w:tc>
      </w:tr>
    </w:tbl>
    <w:p w:rsidR="00247E01" w:rsidRDefault="00247E01" w:rsidP="00247E01"/>
    <w:p w:rsidR="00247E01" w:rsidRDefault="0080201D" w:rsidP="00247E01">
      <w:r>
        <w:t>Footnote 1</w:t>
      </w:r>
      <w:r w:rsidR="00247E01">
        <w:t xml:space="preserve"> Parents/carers are asked whether they have concerns about their child’s development in eight areas (shown on the next slide). This slide shows the percentage who say they have concerns in six or more of these eight areas. Note that an increase in the percentage indicates deterioration.</w:t>
      </w:r>
    </w:p>
    <w:p w:rsidR="00247E01" w:rsidRDefault="00247E01" w:rsidP="00247E01">
      <w:r>
        <w:t>Footnote 2 For those in the Scheme for five years, only baseline and review 5 percentages are shown, since the numbers are too small to show percentages at other review time points.</w:t>
      </w:r>
    </w:p>
    <w:p w:rsidR="008A4475" w:rsidRDefault="008A4475" w:rsidP="008A4475">
      <w:pPr>
        <w:pStyle w:val="Heading2"/>
      </w:pPr>
      <w:bookmarkStart w:id="32" w:name="_Toc121151409"/>
      <w:r>
        <w:t>Slide 27: Participants aged 0 to 14</w:t>
      </w:r>
      <w:bookmarkEnd w:id="32"/>
    </w:p>
    <w:p w:rsidR="008A4475" w:rsidRDefault="008A4475" w:rsidP="008A4475">
      <w:pPr>
        <w:pStyle w:val="Heading5"/>
      </w:pPr>
      <w:r>
        <w:t xml:space="preserve">Daily living – development </w:t>
      </w:r>
    </w:p>
    <w:p w:rsidR="008A4475" w:rsidRPr="00137FB7" w:rsidRDefault="008A4475" w:rsidP="00137FB7">
      <w:pPr>
        <w:pStyle w:val="Heading5"/>
      </w:pPr>
      <w:r w:rsidRPr="00137FB7">
        <w:t xml:space="preserve">Concerns about development in eight areas </w:t>
      </w:r>
    </w:p>
    <w:p w:rsidR="008A4475" w:rsidRPr="00137FB7" w:rsidRDefault="008A4475" w:rsidP="00137FB7">
      <w:pPr>
        <w:pStyle w:val="Heading5"/>
        <w:rPr>
          <w:i/>
        </w:rPr>
      </w:pPr>
      <w:r w:rsidRPr="00137FB7">
        <w:rPr>
          <w:i/>
        </w:rPr>
        <w:t>Participants who have been in the Scheme for four years (</w:t>
      </w:r>
      <w:r w:rsidR="0080201D">
        <w:rPr>
          <w:i/>
        </w:rPr>
        <w:t>Footnote 1</w:t>
      </w:r>
      <w:r w:rsidRPr="00137FB7">
        <w:rPr>
          <w:i/>
        </w:rPr>
        <w:t>)</w:t>
      </w:r>
    </w:p>
    <w:p w:rsidR="008A4475" w:rsidRPr="00C00606" w:rsidRDefault="008A4475" w:rsidP="008A4475">
      <w:pPr>
        <w:autoSpaceDE w:val="0"/>
        <w:autoSpaceDN w:val="0"/>
        <w:adjustRightInd w:val="0"/>
        <w:spacing w:after="0" w:line="240" w:lineRule="auto"/>
        <w:rPr>
          <w:rFonts w:cstheme="minorHAnsi"/>
          <w:color w:val="000000"/>
        </w:rPr>
      </w:pPr>
      <w:r w:rsidRPr="00C00606">
        <w:rPr>
          <w:rFonts w:cstheme="minorHAnsi"/>
          <w:color w:val="000000"/>
        </w:rPr>
        <w:t>Language/communication was the area with the highest percentage of concerns at fourth review (94.0%), followed by social interaction (89.0%) and self-care (86.2%). Eating/feeding was by far the area with the lowest percentage of concerns (59.0%).</w:t>
      </w:r>
    </w:p>
    <w:p w:rsidR="008A4475" w:rsidRPr="00C00606" w:rsidRDefault="008A4475" w:rsidP="00520EF6">
      <w:pPr>
        <w:autoSpaceDE w:val="0"/>
        <w:autoSpaceDN w:val="0"/>
        <w:adjustRightInd w:val="0"/>
        <w:spacing w:before="120" w:after="0" w:line="240" w:lineRule="auto"/>
        <w:rPr>
          <w:rFonts w:cstheme="minorHAnsi"/>
          <w:color w:val="000000"/>
        </w:rPr>
      </w:pPr>
      <w:r w:rsidRPr="00C00606">
        <w:rPr>
          <w:rFonts w:cstheme="minorHAnsi"/>
          <w:color w:val="000000"/>
        </w:rPr>
        <w:t xml:space="preserve">Compared to baseline, the percentage of parents/carers expressing concern about their child’s development after </w:t>
      </w:r>
      <w:r w:rsidR="005A7C7C">
        <w:rPr>
          <w:rFonts w:cstheme="minorHAnsi"/>
          <w:color w:val="000000"/>
        </w:rPr>
        <w:t>Four years in the Scheme</w:t>
      </w:r>
      <w:r w:rsidRPr="00C00606">
        <w:rPr>
          <w:rFonts w:cstheme="minorHAnsi"/>
          <w:color w:val="000000"/>
        </w:rPr>
        <w:t xml:space="preserve"> has:</w:t>
      </w:r>
    </w:p>
    <w:p w:rsidR="008A4475" w:rsidRPr="00C00606" w:rsidRDefault="008A4475" w:rsidP="00B83265">
      <w:pPr>
        <w:pStyle w:val="ListParagraph"/>
        <w:numPr>
          <w:ilvl w:val="0"/>
          <w:numId w:val="21"/>
        </w:numPr>
        <w:autoSpaceDE w:val="0"/>
        <w:autoSpaceDN w:val="0"/>
        <w:adjustRightInd w:val="0"/>
        <w:spacing w:after="0" w:line="240" w:lineRule="auto"/>
        <w:rPr>
          <w:rFonts w:cstheme="minorHAnsi"/>
          <w:color w:val="000000"/>
        </w:rPr>
      </w:pPr>
      <w:r w:rsidRPr="00C00606">
        <w:rPr>
          <w:rFonts w:cstheme="minorHAnsi"/>
          <w:color w:val="000000"/>
        </w:rPr>
        <w:t>increased by 12 or more percentage points in five areas – social interaction (24.5 percentage points), cognitive development (21.3 percentage points), self-care (15.7 percentage points), fine motor skills (13.8 percentage points) and sensory processing (12.1 percentage points)</w:t>
      </w:r>
    </w:p>
    <w:p w:rsidR="008A4475" w:rsidRPr="00C00606" w:rsidRDefault="008A4475" w:rsidP="00B83265">
      <w:pPr>
        <w:pStyle w:val="ListParagraph"/>
        <w:numPr>
          <w:ilvl w:val="0"/>
          <w:numId w:val="20"/>
        </w:numPr>
        <w:autoSpaceDE w:val="0"/>
        <w:autoSpaceDN w:val="0"/>
        <w:adjustRightInd w:val="0"/>
        <w:spacing w:after="0" w:line="240" w:lineRule="auto"/>
        <w:rPr>
          <w:rFonts w:cstheme="minorHAnsi"/>
          <w:color w:val="000000"/>
        </w:rPr>
      </w:pPr>
      <w:r w:rsidRPr="00C00606">
        <w:rPr>
          <w:rFonts w:cstheme="minorHAnsi"/>
          <w:color w:val="000000"/>
        </w:rPr>
        <w:t>increased slightly for gross motor skills and language/communication by 1.4 and 3.8 percentage points, respectively</w:t>
      </w:r>
    </w:p>
    <w:p w:rsidR="008A4475" w:rsidRPr="00C00606" w:rsidRDefault="008A4475" w:rsidP="00B83265">
      <w:pPr>
        <w:pStyle w:val="ListParagraph"/>
        <w:numPr>
          <w:ilvl w:val="0"/>
          <w:numId w:val="20"/>
        </w:numPr>
        <w:autoSpaceDE w:val="0"/>
        <w:autoSpaceDN w:val="0"/>
        <w:adjustRightInd w:val="0"/>
        <w:spacing w:after="0" w:line="240" w:lineRule="auto"/>
        <w:rPr>
          <w:rFonts w:cstheme="minorHAnsi"/>
          <w:color w:val="000000"/>
        </w:rPr>
      </w:pPr>
      <w:r w:rsidRPr="00C00606">
        <w:rPr>
          <w:rFonts w:cstheme="minorHAnsi"/>
          <w:color w:val="000000"/>
        </w:rPr>
        <w:t>decreased by 8.3 percentage points for eating/feeding.</w:t>
      </w:r>
    </w:p>
    <w:p w:rsidR="008A4475" w:rsidRDefault="008A4475" w:rsidP="00520EF6">
      <w:pPr>
        <w:spacing w:before="120"/>
        <w:rPr>
          <w:rFonts w:cstheme="minorHAnsi"/>
          <w:color w:val="000000"/>
        </w:rPr>
      </w:pPr>
      <w:r w:rsidRPr="00C00606">
        <w:rPr>
          <w:rFonts w:cstheme="minorHAnsi"/>
          <w:color w:val="000000"/>
        </w:rPr>
        <w:lastRenderedPageBreak/>
        <w:t>Over the latest year there were small changes across most areas (between -1.2 and +2.1 percentage points), while three areas had larger deterioration – sensory processing, cognitive development, and fine motor skills (4.9, 4.1 and 3.6 percentage points, respectively).</w:t>
      </w:r>
    </w:p>
    <w:p w:rsidR="00520EF6" w:rsidRPr="00C00606" w:rsidRDefault="00520EF6" w:rsidP="00520EF6">
      <w:pPr>
        <w:spacing w:before="120"/>
        <w:rPr>
          <w:rFonts w:cstheme="minorHAnsi"/>
        </w:rPr>
      </w:pPr>
      <w:r>
        <w:rPr>
          <w:rFonts w:cstheme="minorHAnsi"/>
          <w:color w:val="000000"/>
        </w:rPr>
        <w:t>Radar chart 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276"/>
        <w:gridCol w:w="792"/>
        <w:gridCol w:w="1051"/>
        <w:gridCol w:w="709"/>
        <w:gridCol w:w="1134"/>
        <w:gridCol w:w="1068"/>
        <w:gridCol w:w="1058"/>
        <w:gridCol w:w="1134"/>
      </w:tblGrid>
      <w:tr w:rsidR="00137FB7" w:rsidRPr="00137FB7" w:rsidTr="009B241D">
        <w:trPr>
          <w:trHeight w:val="945"/>
        </w:trPr>
        <w:tc>
          <w:tcPr>
            <w:tcW w:w="1129" w:type="dxa"/>
            <w:hideMark/>
          </w:tcPr>
          <w:p w:rsidR="00137FB7" w:rsidRPr="00137FB7" w:rsidRDefault="00137FB7" w:rsidP="00137FB7">
            <w:pPr>
              <w:rPr>
                <w:b/>
                <w:bCs/>
                <w:sz w:val="18"/>
                <w:szCs w:val="18"/>
              </w:rPr>
            </w:pPr>
            <w:r w:rsidRPr="00137FB7">
              <w:rPr>
                <w:b/>
                <w:bCs/>
                <w:sz w:val="18"/>
                <w:szCs w:val="18"/>
              </w:rPr>
              <w:t> </w:t>
            </w:r>
          </w:p>
        </w:tc>
        <w:tc>
          <w:tcPr>
            <w:tcW w:w="1276" w:type="dxa"/>
            <w:hideMark/>
          </w:tcPr>
          <w:p w:rsidR="00137FB7" w:rsidRDefault="00137FB7" w:rsidP="00137FB7">
            <w:pPr>
              <w:rPr>
                <w:b/>
                <w:bCs/>
                <w:sz w:val="18"/>
                <w:szCs w:val="18"/>
              </w:rPr>
            </w:pPr>
            <w:r w:rsidRPr="00137FB7">
              <w:rPr>
                <w:b/>
                <w:bCs/>
                <w:sz w:val="18"/>
                <w:szCs w:val="18"/>
              </w:rPr>
              <w:t>Cognitive development</w:t>
            </w:r>
          </w:p>
          <w:p w:rsidR="000E58B0" w:rsidRPr="00137FB7" w:rsidRDefault="000E58B0" w:rsidP="00137FB7">
            <w:pPr>
              <w:rPr>
                <w:b/>
                <w:bCs/>
                <w:sz w:val="18"/>
                <w:szCs w:val="18"/>
              </w:rPr>
            </w:pPr>
            <w:r>
              <w:rPr>
                <w:b/>
                <w:bCs/>
                <w:sz w:val="18"/>
                <w:szCs w:val="18"/>
              </w:rPr>
              <w:t>(CD)</w:t>
            </w:r>
          </w:p>
        </w:tc>
        <w:tc>
          <w:tcPr>
            <w:tcW w:w="792" w:type="dxa"/>
            <w:hideMark/>
          </w:tcPr>
          <w:p w:rsidR="00137FB7" w:rsidRDefault="00137FB7" w:rsidP="00137FB7">
            <w:pPr>
              <w:rPr>
                <w:b/>
                <w:bCs/>
                <w:sz w:val="18"/>
                <w:szCs w:val="18"/>
              </w:rPr>
            </w:pPr>
            <w:r w:rsidRPr="00137FB7">
              <w:rPr>
                <w:b/>
                <w:bCs/>
                <w:sz w:val="18"/>
                <w:szCs w:val="18"/>
              </w:rPr>
              <w:t>Eating/feeding</w:t>
            </w:r>
          </w:p>
          <w:p w:rsidR="000E58B0" w:rsidRPr="00137FB7" w:rsidRDefault="000E58B0" w:rsidP="00137FB7">
            <w:pPr>
              <w:rPr>
                <w:b/>
                <w:bCs/>
                <w:sz w:val="18"/>
                <w:szCs w:val="18"/>
              </w:rPr>
            </w:pPr>
            <w:r>
              <w:rPr>
                <w:b/>
                <w:bCs/>
                <w:sz w:val="18"/>
                <w:szCs w:val="18"/>
              </w:rPr>
              <w:t>(E/F)</w:t>
            </w:r>
          </w:p>
        </w:tc>
        <w:tc>
          <w:tcPr>
            <w:tcW w:w="1051" w:type="dxa"/>
            <w:hideMark/>
          </w:tcPr>
          <w:p w:rsidR="00137FB7" w:rsidRDefault="00137FB7" w:rsidP="00137FB7">
            <w:pPr>
              <w:rPr>
                <w:b/>
                <w:bCs/>
                <w:sz w:val="18"/>
                <w:szCs w:val="18"/>
              </w:rPr>
            </w:pPr>
            <w:r w:rsidRPr="00137FB7">
              <w:rPr>
                <w:b/>
                <w:bCs/>
                <w:sz w:val="18"/>
                <w:szCs w:val="18"/>
              </w:rPr>
              <w:t>Fine motor skills</w:t>
            </w:r>
          </w:p>
          <w:p w:rsidR="000E58B0" w:rsidRPr="00137FB7" w:rsidRDefault="000E58B0" w:rsidP="00137FB7">
            <w:pPr>
              <w:rPr>
                <w:b/>
                <w:bCs/>
                <w:sz w:val="18"/>
                <w:szCs w:val="18"/>
              </w:rPr>
            </w:pPr>
            <w:r>
              <w:rPr>
                <w:b/>
                <w:bCs/>
                <w:sz w:val="18"/>
                <w:szCs w:val="18"/>
              </w:rPr>
              <w:t>(FMS)</w:t>
            </w:r>
          </w:p>
        </w:tc>
        <w:tc>
          <w:tcPr>
            <w:tcW w:w="709" w:type="dxa"/>
            <w:hideMark/>
          </w:tcPr>
          <w:p w:rsidR="00137FB7" w:rsidRDefault="00137FB7" w:rsidP="00137FB7">
            <w:pPr>
              <w:rPr>
                <w:b/>
                <w:bCs/>
                <w:sz w:val="18"/>
                <w:szCs w:val="18"/>
              </w:rPr>
            </w:pPr>
            <w:r w:rsidRPr="00137FB7">
              <w:rPr>
                <w:b/>
                <w:bCs/>
                <w:sz w:val="18"/>
                <w:szCs w:val="18"/>
              </w:rPr>
              <w:t>Gross motor skills</w:t>
            </w:r>
          </w:p>
          <w:p w:rsidR="000E58B0" w:rsidRPr="00137FB7" w:rsidRDefault="000E58B0" w:rsidP="00137FB7">
            <w:pPr>
              <w:rPr>
                <w:b/>
                <w:bCs/>
                <w:sz w:val="18"/>
                <w:szCs w:val="18"/>
              </w:rPr>
            </w:pPr>
            <w:r>
              <w:rPr>
                <w:b/>
                <w:bCs/>
                <w:sz w:val="18"/>
                <w:szCs w:val="18"/>
              </w:rPr>
              <w:t>(GMS)</w:t>
            </w:r>
          </w:p>
        </w:tc>
        <w:tc>
          <w:tcPr>
            <w:tcW w:w="1134" w:type="dxa"/>
            <w:hideMark/>
          </w:tcPr>
          <w:p w:rsidR="00137FB7" w:rsidRDefault="00137FB7" w:rsidP="00137FB7">
            <w:pPr>
              <w:rPr>
                <w:b/>
                <w:bCs/>
                <w:sz w:val="18"/>
                <w:szCs w:val="18"/>
              </w:rPr>
            </w:pPr>
            <w:r w:rsidRPr="00137FB7">
              <w:rPr>
                <w:b/>
                <w:bCs/>
                <w:sz w:val="18"/>
                <w:szCs w:val="18"/>
              </w:rPr>
              <w:t>Language/communication</w:t>
            </w:r>
          </w:p>
          <w:p w:rsidR="000E58B0" w:rsidRPr="00137FB7" w:rsidRDefault="000E58B0" w:rsidP="00137FB7">
            <w:pPr>
              <w:rPr>
                <w:b/>
                <w:bCs/>
                <w:sz w:val="18"/>
                <w:szCs w:val="18"/>
              </w:rPr>
            </w:pPr>
            <w:r>
              <w:rPr>
                <w:b/>
                <w:bCs/>
                <w:sz w:val="18"/>
                <w:szCs w:val="18"/>
              </w:rPr>
              <w:t>(L/C)</w:t>
            </w:r>
          </w:p>
        </w:tc>
        <w:tc>
          <w:tcPr>
            <w:tcW w:w="1068" w:type="dxa"/>
            <w:hideMark/>
          </w:tcPr>
          <w:p w:rsidR="00137FB7" w:rsidRDefault="00137FB7" w:rsidP="00137FB7">
            <w:pPr>
              <w:rPr>
                <w:b/>
                <w:bCs/>
                <w:sz w:val="18"/>
                <w:szCs w:val="18"/>
              </w:rPr>
            </w:pPr>
            <w:r w:rsidRPr="00137FB7">
              <w:rPr>
                <w:b/>
                <w:bCs/>
                <w:sz w:val="18"/>
                <w:szCs w:val="18"/>
              </w:rPr>
              <w:t>Self-care</w:t>
            </w:r>
          </w:p>
          <w:p w:rsidR="000E58B0" w:rsidRPr="00137FB7" w:rsidRDefault="000E58B0" w:rsidP="00137FB7">
            <w:pPr>
              <w:rPr>
                <w:b/>
                <w:bCs/>
                <w:sz w:val="18"/>
                <w:szCs w:val="18"/>
              </w:rPr>
            </w:pPr>
            <w:r>
              <w:rPr>
                <w:b/>
                <w:bCs/>
                <w:sz w:val="18"/>
                <w:szCs w:val="18"/>
              </w:rPr>
              <w:t>(SC)</w:t>
            </w:r>
          </w:p>
        </w:tc>
        <w:tc>
          <w:tcPr>
            <w:tcW w:w="1058" w:type="dxa"/>
            <w:hideMark/>
          </w:tcPr>
          <w:p w:rsidR="00137FB7" w:rsidRDefault="00137FB7" w:rsidP="00137FB7">
            <w:pPr>
              <w:rPr>
                <w:b/>
                <w:bCs/>
                <w:sz w:val="18"/>
                <w:szCs w:val="18"/>
              </w:rPr>
            </w:pPr>
            <w:r w:rsidRPr="00137FB7">
              <w:rPr>
                <w:b/>
                <w:bCs/>
                <w:sz w:val="18"/>
                <w:szCs w:val="18"/>
              </w:rPr>
              <w:t>Sensory processing</w:t>
            </w:r>
          </w:p>
          <w:p w:rsidR="000E58B0" w:rsidRPr="00137FB7" w:rsidRDefault="000E58B0" w:rsidP="00137FB7">
            <w:pPr>
              <w:rPr>
                <w:b/>
                <w:bCs/>
                <w:sz w:val="18"/>
                <w:szCs w:val="18"/>
              </w:rPr>
            </w:pPr>
            <w:r>
              <w:rPr>
                <w:b/>
                <w:bCs/>
                <w:sz w:val="18"/>
                <w:szCs w:val="18"/>
              </w:rPr>
              <w:t>(SP)</w:t>
            </w:r>
          </w:p>
        </w:tc>
        <w:tc>
          <w:tcPr>
            <w:tcW w:w="1134" w:type="dxa"/>
            <w:hideMark/>
          </w:tcPr>
          <w:p w:rsidR="00137FB7" w:rsidRDefault="00137FB7" w:rsidP="00137FB7">
            <w:pPr>
              <w:rPr>
                <w:b/>
                <w:bCs/>
                <w:sz w:val="18"/>
                <w:szCs w:val="18"/>
              </w:rPr>
            </w:pPr>
            <w:r w:rsidRPr="00137FB7">
              <w:rPr>
                <w:b/>
                <w:bCs/>
                <w:sz w:val="18"/>
                <w:szCs w:val="18"/>
              </w:rPr>
              <w:t>Social interaction</w:t>
            </w:r>
          </w:p>
          <w:p w:rsidR="000E58B0" w:rsidRPr="00137FB7" w:rsidRDefault="000E58B0" w:rsidP="00137FB7">
            <w:pPr>
              <w:rPr>
                <w:b/>
                <w:bCs/>
                <w:sz w:val="18"/>
                <w:szCs w:val="18"/>
              </w:rPr>
            </w:pPr>
            <w:r>
              <w:rPr>
                <w:b/>
                <w:bCs/>
                <w:sz w:val="18"/>
                <w:szCs w:val="18"/>
              </w:rPr>
              <w:t>(SI)</w:t>
            </w:r>
          </w:p>
        </w:tc>
      </w:tr>
      <w:tr w:rsidR="00137FB7" w:rsidRPr="00137FB7" w:rsidTr="009B241D">
        <w:trPr>
          <w:trHeight w:val="285"/>
        </w:trPr>
        <w:tc>
          <w:tcPr>
            <w:tcW w:w="1129" w:type="dxa"/>
            <w:noWrap/>
            <w:hideMark/>
          </w:tcPr>
          <w:p w:rsidR="00137FB7" w:rsidRPr="00137FB7" w:rsidRDefault="00137FB7">
            <w:pPr>
              <w:rPr>
                <w:sz w:val="18"/>
                <w:szCs w:val="18"/>
              </w:rPr>
            </w:pPr>
            <w:r w:rsidRPr="00137FB7">
              <w:rPr>
                <w:sz w:val="18"/>
                <w:szCs w:val="18"/>
              </w:rPr>
              <w:t>Baseline</w:t>
            </w:r>
          </w:p>
        </w:tc>
        <w:tc>
          <w:tcPr>
            <w:tcW w:w="1276" w:type="dxa"/>
            <w:noWrap/>
            <w:hideMark/>
          </w:tcPr>
          <w:p w:rsidR="00137FB7" w:rsidRPr="00137FB7" w:rsidRDefault="00137FB7" w:rsidP="00137FB7">
            <w:pPr>
              <w:rPr>
                <w:sz w:val="18"/>
                <w:szCs w:val="18"/>
              </w:rPr>
            </w:pPr>
            <w:r w:rsidRPr="00137FB7">
              <w:rPr>
                <w:sz w:val="18"/>
                <w:szCs w:val="18"/>
              </w:rPr>
              <w:t>63.5%</w:t>
            </w:r>
          </w:p>
        </w:tc>
        <w:tc>
          <w:tcPr>
            <w:tcW w:w="792" w:type="dxa"/>
            <w:noWrap/>
            <w:hideMark/>
          </w:tcPr>
          <w:p w:rsidR="00137FB7" w:rsidRPr="00137FB7" w:rsidRDefault="00137FB7" w:rsidP="00137FB7">
            <w:pPr>
              <w:rPr>
                <w:sz w:val="18"/>
                <w:szCs w:val="18"/>
              </w:rPr>
            </w:pPr>
            <w:r w:rsidRPr="00137FB7">
              <w:rPr>
                <w:sz w:val="18"/>
                <w:szCs w:val="18"/>
              </w:rPr>
              <w:t>67.3%</w:t>
            </w:r>
          </w:p>
        </w:tc>
        <w:tc>
          <w:tcPr>
            <w:tcW w:w="1051" w:type="dxa"/>
            <w:noWrap/>
            <w:hideMark/>
          </w:tcPr>
          <w:p w:rsidR="00137FB7" w:rsidRPr="00137FB7" w:rsidRDefault="00137FB7" w:rsidP="00137FB7">
            <w:pPr>
              <w:rPr>
                <w:sz w:val="18"/>
                <w:szCs w:val="18"/>
              </w:rPr>
            </w:pPr>
            <w:r w:rsidRPr="00137FB7">
              <w:rPr>
                <w:sz w:val="18"/>
                <w:szCs w:val="18"/>
              </w:rPr>
              <w:t>70.7%</w:t>
            </w:r>
          </w:p>
        </w:tc>
        <w:tc>
          <w:tcPr>
            <w:tcW w:w="709" w:type="dxa"/>
            <w:noWrap/>
            <w:hideMark/>
          </w:tcPr>
          <w:p w:rsidR="00137FB7" w:rsidRPr="00137FB7" w:rsidRDefault="00137FB7" w:rsidP="00137FB7">
            <w:pPr>
              <w:rPr>
                <w:sz w:val="18"/>
                <w:szCs w:val="18"/>
              </w:rPr>
            </w:pPr>
            <w:r w:rsidRPr="00137FB7">
              <w:rPr>
                <w:sz w:val="18"/>
                <w:szCs w:val="18"/>
              </w:rPr>
              <w:t>76.1%</w:t>
            </w:r>
          </w:p>
        </w:tc>
        <w:tc>
          <w:tcPr>
            <w:tcW w:w="1134" w:type="dxa"/>
            <w:noWrap/>
            <w:hideMark/>
          </w:tcPr>
          <w:p w:rsidR="00137FB7" w:rsidRPr="00137FB7" w:rsidRDefault="00137FB7" w:rsidP="00137FB7">
            <w:pPr>
              <w:rPr>
                <w:sz w:val="18"/>
                <w:szCs w:val="18"/>
              </w:rPr>
            </w:pPr>
            <w:r w:rsidRPr="00137FB7">
              <w:rPr>
                <w:sz w:val="18"/>
                <w:szCs w:val="18"/>
              </w:rPr>
              <w:t>90.1%</w:t>
            </w:r>
          </w:p>
        </w:tc>
        <w:tc>
          <w:tcPr>
            <w:tcW w:w="1068" w:type="dxa"/>
            <w:noWrap/>
            <w:hideMark/>
          </w:tcPr>
          <w:p w:rsidR="00137FB7" w:rsidRPr="00137FB7" w:rsidRDefault="00137FB7" w:rsidP="00137FB7">
            <w:pPr>
              <w:rPr>
                <w:sz w:val="18"/>
                <w:szCs w:val="18"/>
              </w:rPr>
            </w:pPr>
            <w:r w:rsidRPr="00137FB7">
              <w:rPr>
                <w:sz w:val="18"/>
                <w:szCs w:val="18"/>
              </w:rPr>
              <w:t>70.4%</w:t>
            </w:r>
          </w:p>
        </w:tc>
        <w:tc>
          <w:tcPr>
            <w:tcW w:w="1058" w:type="dxa"/>
            <w:noWrap/>
            <w:hideMark/>
          </w:tcPr>
          <w:p w:rsidR="00137FB7" w:rsidRPr="00137FB7" w:rsidRDefault="00137FB7" w:rsidP="00137FB7">
            <w:pPr>
              <w:rPr>
                <w:sz w:val="18"/>
                <w:szCs w:val="18"/>
              </w:rPr>
            </w:pPr>
            <w:r w:rsidRPr="00137FB7">
              <w:rPr>
                <w:sz w:val="18"/>
                <w:szCs w:val="18"/>
              </w:rPr>
              <w:t>54.6%</w:t>
            </w:r>
          </w:p>
        </w:tc>
        <w:tc>
          <w:tcPr>
            <w:tcW w:w="1134" w:type="dxa"/>
            <w:noWrap/>
            <w:hideMark/>
          </w:tcPr>
          <w:p w:rsidR="00137FB7" w:rsidRPr="00137FB7" w:rsidRDefault="00137FB7" w:rsidP="00137FB7">
            <w:pPr>
              <w:rPr>
                <w:sz w:val="18"/>
                <w:szCs w:val="18"/>
              </w:rPr>
            </w:pPr>
            <w:r w:rsidRPr="00137FB7">
              <w:rPr>
                <w:sz w:val="18"/>
                <w:szCs w:val="18"/>
              </w:rPr>
              <w:t>64.5%</w:t>
            </w:r>
          </w:p>
        </w:tc>
      </w:tr>
      <w:tr w:rsidR="00137FB7" w:rsidRPr="00137FB7" w:rsidTr="009B241D">
        <w:trPr>
          <w:trHeight w:val="293"/>
        </w:trPr>
        <w:tc>
          <w:tcPr>
            <w:tcW w:w="1129" w:type="dxa"/>
            <w:noWrap/>
            <w:hideMark/>
          </w:tcPr>
          <w:p w:rsidR="00137FB7" w:rsidRPr="00137FB7" w:rsidRDefault="00137FB7">
            <w:pPr>
              <w:rPr>
                <w:sz w:val="18"/>
                <w:szCs w:val="18"/>
              </w:rPr>
            </w:pPr>
            <w:r w:rsidRPr="00137FB7">
              <w:rPr>
                <w:sz w:val="18"/>
                <w:szCs w:val="18"/>
              </w:rPr>
              <w:t>Review 1</w:t>
            </w:r>
          </w:p>
        </w:tc>
        <w:tc>
          <w:tcPr>
            <w:tcW w:w="1276" w:type="dxa"/>
            <w:noWrap/>
            <w:hideMark/>
          </w:tcPr>
          <w:p w:rsidR="00137FB7" w:rsidRPr="00137FB7" w:rsidRDefault="00137FB7" w:rsidP="00137FB7">
            <w:pPr>
              <w:rPr>
                <w:sz w:val="18"/>
                <w:szCs w:val="18"/>
              </w:rPr>
            </w:pPr>
            <w:r w:rsidRPr="00137FB7">
              <w:rPr>
                <w:sz w:val="18"/>
                <w:szCs w:val="18"/>
              </w:rPr>
              <w:t>71.8%</w:t>
            </w:r>
          </w:p>
        </w:tc>
        <w:tc>
          <w:tcPr>
            <w:tcW w:w="792" w:type="dxa"/>
            <w:noWrap/>
            <w:hideMark/>
          </w:tcPr>
          <w:p w:rsidR="00137FB7" w:rsidRPr="00137FB7" w:rsidRDefault="00137FB7" w:rsidP="00137FB7">
            <w:pPr>
              <w:rPr>
                <w:sz w:val="18"/>
                <w:szCs w:val="18"/>
              </w:rPr>
            </w:pPr>
            <w:r w:rsidRPr="00137FB7">
              <w:rPr>
                <w:sz w:val="18"/>
                <w:szCs w:val="18"/>
              </w:rPr>
              <w:t>67.8%</w:t>
            </w:r>
          </w:p>
        </w:tc>
        <w:tc>
          <w:tcPr>
            <w:tcW w:w="1051" w:type="dxa"/>
            <w:noWrap/>
            <w:hideMark/>
          </w:tcPr>
          <w:p w:rsidR="00137FB7" w:rsidRPr="00137FB7" w:rsidRDefault="00137FB7" w:rsidP="00137FB7">
            <w:pPr>
              <w:rPr>
                <w:sz w:val="18"/>
                <w:szCs w:val="18"/>
              </w:rPr>
            </w:pPr>
            <w:r w:rsidRPr="00137FB7">
              <w:rPr>
                <w:sz w:val="18"/>
                <w:szCs w:val="18"/>
              </w:rPr>
              <w:t>76.0%</w:t>
            </w:r>
          </w:p>
        </w:tc>
        <w:tc>
          <w:tcPr>
            <w:tcW w:w="709" w:type="dxa"/>
            <w:noWrap/>
            <w:hideMark/>
          </w:tcPr>
          <w:p w:rsidR="00137FB7" w:rsidRPr="00137FB7" w:rsidRDefault="00137FB7" w:rsidP="00137FB7">
            <w:pPr>
              <w:rPr>
                <w:sz w:val="18"/>
                <w:szCs w:val="18"/>
              </w:rPr>
            </w:pPr>
            <w:r w:rsidRPr="00137FB7">
              <w:rPr>
                <w:sz w:val="18"/>
                <w:szCs w:val="18"/>
              </w:rPr>
              <w:t>78.1%</w:t>
            </w:r>
          </w:p>
        </w:tc>
        <w:tc>
          <w:tcPr>
            <w:tcW w:w="1134" w:type="dxa"/>
            <w:noWrap/>
            <w:hideMark/>
          </w:tcPr>
          <w:p w:rsidR="00137FB7" w:rsidRPr="00137FB7" w:rsidRDefault="00137FB7" w:rsidP="00137FB7">
            <w:pPr>
              <w:rPr>
                <w:sz w:val="18"/>
                <w:szCs w:val="18"/>
              </w:rPr>
            </w:pPr>
            <w:r w:rsidRPr="00137FB7">
              <w:rPr>
                <w:sz w:val="18"/>
                <w:szCs w:val="18"/>
              </w:rPr>
              <w:t>92.9%</w:t>
            </w:r>
          </w:p>
        </w:tc>
        <w:tc>
          <w:tcPr>
            <w:tcW w:w="1068" w:type="dxa"/>
            <w:noWrap/>
            <w:hideMark/>
          </w:tcPr>
          <w:p w:rsidR="00137FB7" w:rsidRPr="00137FB7" w:rsidRDefault="00137FB7" w:rsidP="00137FB7">
            <w:pPr>
              <w:rPr>
                <w:sz w:val="18"/>
                <w:szCs w:val="18"/>
              </w:rPr>
            </w:pPr>
            <w:r w:rsidRPr="00137FB7">
              <w:rPr>
                <w:sz w:val="18"/>
                <w:szCs w:val="18"/>
              </w:rPr>
              <w:t>80.5%</w:t>
            </w:r>
          </w:p>
        </w:tc>
        <w:tc>
          <w:tcPr>
            <w:tcW w:w="1058" w:type="dxa"/>
            <w:noWrap/>
            <w:hideMark/>
          </w:tcPr>
          <w:p w:rsidR="00137FB7" w:rsidRPr="00137FB7" w:rsidRDefault="00137FB7" w:rsidP="00137FB7">
            <w:pPr>
              <w:rPr>
                <w:sz w:val="18"/>
                <w:szCs w:val="18"/>
              </w:rPr>
            </w:pPr>
            <w:r w:rsidRPr="00137FB7">
              <w:rPr>
                <w:sz w:val="18"/>
                <w:szCs w:val="18"/>
              </w:rPr>
              <w:t>58.6%</w:t>
            </w:r>
          </w:p>
        </w:tc>
        <w:tc>
          <w:tcPr>
            <w:tcW w:w="1134" w:type="dxa"/>
            <w:noWrap/>
            <w:hideMark/>
          </w:tcPr>
          <w:p w:rsidR="00137FB7" w:rsidRPr="00137FB7" w:rsidRDefault="00137FB7" w:rsidP="00137FB7">
            <w:pPr>
              <w:rPr>
                <w:sz w:val="18"/>
                <w:szCs w:val="18"/>
              </w:rPr>
            </w:pPr>
            <w:r w:rsidRPr="00137FB7">
              <w:rPr>
                <w:sz w:val="18"/>
                <w:szCs w:val="18"/>
              </w:rPr>
              <w:t>72.7%</w:t>
            </w:r>
          </w:p>
        </w:tc>
      </w:tr>
      <w:tr w:rsidR="00137FB7" w:rsidRPr="00137FB7" w:rsidTr="009B241D">
        <w:trPr>
          <w:trHeight w:val="285"/>
        </w:trPr>
        <w:tc>
          <w:tcPr>
            <w:tcW w:w="1129" w:type="dxa"/>
            <w:noWrap/>
            <w:hideMark/>
          </w:tcPr>
          <w:p w:rsidR="00137FB7" w:rsidRPr="00137FB7" w:rsidRDefault="00137FB7">
            <w:pPr>
              <w:rPr>
                <w:sz w:val="18"/>
                <w:szCs w:val="18"/>
              </w:rPr>
            </w:pPr>
            <w:r w:rsidRPr="00137FB7">
              <w:rPr>
                <w:sz w:val="18"/>
                <w:szCs w:val="18"/>
              </w:rPr>
              <w:t>Review 2</w:t>
            </w:r>
          </w:p>
        </w:tc>
        <w:tc>
          <w:tcPr>
            <w:tcW w:w="1276" w:type="dxa"/>
            <w:noWrap/>
            <w:hideMark/>
          </w:tcPr>
          <w:p w:rsidR="00137FB7" w:rsidRPr="00137FB7" w:rsidRDefault="00137FB7" w:rsidP="00137FB7">
            <w:pPr>
              <w:rPr>
                <w:sz w:val="18"/>
                <w:szCs w:val="18"/>
              </w:rPr>
            </w:pPr>
            <w:r w:rsidRPr="00137FB7">
              <w:rPr>
                <w:sz w:val="18"/>
                <w:szCs w:val="18"/>
              </w:rPr>
              <w:t>73.6%</w:t>
            </w:r>
          </w:p>
        </w:tc>
        <w:tc>
          <w:tcPr>
            <w:tcW w:w="792" w:type="dxa"/>
            <w:noWrap/>
            <w:hideMark/>
          </w:tcPr>
          <w:p w:rsidR="00137FB7" w:rsidRPr="00137FB7" w:rsidRDefault="00137FB7" w:rsidP="00137FB7">
            <w:pPr>
              <w:rPr>
                <w:sz w:val="18"/>
                <w:szCs w:val="18"/>
              </w:rPr>
            </w:pPr>
            <w:r w:rsidRPr="00137FB7">
              <w:rPr>
                <w:sz w:val="18"/>
                <w:szCs w:val="18"/>
              </w:rPr>
              <w:t>63.6%</w:t>
            </w:r>
          </w:p>
        </w:tc>
        <w:tc>
          <w:tcPr>
            <w:tcW w:w="1051" w:type="dxa"/>
            <w:noWrap/>
            <w:hideMark/>
          </w:tcPr>
          <w:p w:rsidR="00137FB7" w:rsidRPr="00137FB7" w:rsidRDefault="00137FB7" w:rsidP="00137FB7">
            <w:pPr>
              <w:rPr>
                <w:sz w:val="18"/>
                <w:szCs w:val="18"/>
              </w:rPr>
            </w:pPr>
            <w:r w:rsidRPr="00137FB7">
              <w:rPr>
                <w:sz w:val="18"/>
                <w:szCs w:val="18"/>
              </w:rPr>
              <w:t>79.9%</w:t>
            </w:r>
          </w:p>
        </w:tc>
        <w:tc>
          <w:tcPr>
            <w:tcW w:w="709" w:type="dxa"/>
            <w:noWrap/>
            <w:hideMark/>
          </w:tcPr>
          <w:p w:rsidR="00137FB7" w:rsidRPr="00137FB7" w:rsidRDefault="00137FB7" w:rsidP="00137FB7">
            <w:pPr>
              <w:rPr>
                <w:sz w:val="18"/>
                <w:szCs w:val="18"/>
              </w:rPr>
            </w:pPr>
            <w:r w:rsidRPr="00137FB7">
              <w:rPr>
                <w:sz w:val="18"/>
                <w:szCs w:val="18"/>
              </w:rPr>
              <w:t>78.8%</w:t>
            </w:r>
          </w:p>
        </w:tc>
        <w:tc>
          <w:tcPr>
            <w:tcW w:w="1134" w:type="dxa"/>
            <w:noWrap/>
            <w:hideMark/>
          </w:tcPr>
          <w:p w:rsidR="00137FB7" w:rsidRPr="00137FB7" w:rsidRDefault="00137FB7" w:rsidP="00137FB7">
            <w:pPr>
              <w:rPr>
                <w:sz w:val="18"/>
                <w:szCs w:val="18"/>
              </w:rPr>
            </w:pPr>
            <w:r w:rsidRPr="00137FB7">
              <w:rPr>
                <w:sz w:val="18"/>
                <w:szCs w:val="18"/>
              </w:rPr>
              <w:t>93.4%</w:t>
            </w:r>
          </w:p>
        </w:tc>
        <w:tc>
          <w:tcPr>
            <w:tcW w:w="1068" w:type="dxa"/>
            <w:noWrap/>
            <w:hideMark/>
          </w:tcPr>
          <w:p w:rsidR="00137FB7" w:rsidRPr="00137FB7" w:rsidRDefault="00137FB7" w:rsidP="00137FB7">
            <w:pPr>
              <w:rPr>
                <w:sz w:val="18"/>
                <w:szCs w:val="18"/>
              </w:rPr>
            </w:pPr>
            <w:r w:rsidRPr="00137FB7">
              <w:rPr>
                <w:sz w:val="18"/>
                <w:szCs w:val="18"/>
              </w:rPr>
              <w:t>87.0%</w:t>
            </w:r>
          </w:p>
        </w:tc>
        <w:tc>
          <w:tcPr>
            <w:tcW w:w="1058" w:type="dxa"/>
            <w:noWrap/>
            <w:hideMark/>
          </w:tcPr>
          <w:p w:rsidR="00137FB7" w:rsidRPr="00137FB7" w:rsidRDefault="00137FB7" w:rsidP="00137FB7">
            <w:pPr>
              <w:rPr>
                <w:sz w:val="18"/>
                <w:szCs w:val="18"/>
              </w:rPr>
            </w:pPr>
            <w:r w:rsidRPr="00137FB7">
              <w:rPr>
                <w:sz w:val="18"/>
                <w:szCs w:val="18"/>
              </w:rPr>
              <w:t>61.0%</w:t>
            </w:r>
          </w:p>
        </w:tc>
        <w:tc>
          <w:tcPr>
            <w:tcW w:w="1134" w:type="dxa"/>
            <w:noWrap/>
            <w:hideMark/>
          </w:tcPr>
          <w:p w:rsidR="00137FB7" w:rsidRPr="00137FB7" w:rsidRDefault="00137FB7" w:rsidP="00137FB7">
            <w:pPr>
              <w:rPr>
                <w:sz w:val="18"/>
                <w:szCs w:val="18"/>
              </w:rPr>
            </w:pPr>
            <w:r w:rsidRPr="00137FB7">
              <w:rPr>
                <w:sz w:val="18"/>
                <w:szCs w:val="18"/>
              </w:rPr>
              <w:t>83.3%</w:t>
            </w:r>
          </w:p>
        </w:tc>
      </w:tr>
      <w:tr w:rsidR="00137FB7" w:rsidRPr="00137FB7" w:rsidTr="009B241D">
        <w:trPr>
          <w:trHeight w:val="285"/>
        </w:trPr>
        <w:tc>
          <w:tcPr>
            <w:tcW w:w="1129" w:type="dxa"/>
            <w:noWrap/>
            <w:hideMark/>
          </w:tcPr>
          <w:p w:rsidR="00137FB7" w:rsidRPr="00137FB7" w:rsidRDefault="00137FB7">
            <w:pPr>
              <w:rPr>
                <w:sz w:val="18"/>
                <w:szCs w:val="18"/>
              </w:rPr>
            </w:pPr>
            <w:r w:rsidRPr="00137FB7">
              <w:rPr>
                <w:sz w:val="18"/>
                <w:szCs w:val="18"/>
              </w:rPr>
              <w:t>Review 3</w:t>
            </w:r>
          </w:p>
        </w:tc>
        <w:tc>
          <w:tcPr>
            <w:tcW w:w="1276" w:type="dxa"/>
            <w:noWrap/>
            <w:hideMark/>
          </w:tcPr>
          <w:p w:rsidR="00137FB7" w:rsidRPr="00137FB7" w:rsidRDefault="00137FB7" w:rsidP="00137FB7">
            <w:pPr>
              <w:rPr>
                <w:sz w:val="18"/>
                <w:szCs w:val="18"/>
              </w:rPr>
            </w:pPr>
            <w:r w:rsidRPr="00137FB7">
              <w:rPr>
                <w:sz w:val="18"/>
                <w:szCs w:val="18"/>
              </w:rPr>
              <w:t>80.7%</w:t>
            </w:r>
          </w:p>
        </w:tc>
        <w:tc>
          <w:tcPr>
            <w:tcW w:w="792" w:type="dxa"/>
            <w:noWrap/>
            <w:hideMark/>
          </w:tcPr>
          <w:p w:rsidR="00137FB7" w:rsidRPr="00137FB7" w:rsidRDefault="00137FB7" w:rsidP="00137FB7">
            <w:pPr>
              <w:rPr>
                <w:sz w:val="18"/>
                <w:szCs w:val="18"/>
              </w:rPr>
            </w:pPr>
            <w:r w:rsidRPr="00137FB7">
              <w:rPr>
                <w:sz w:val="18"/>
                <w:szCs w:val="18"/>
              </w:rPr>
              <w:t>59.3%</w:t>
            </w:r>
          </w:p>
        </w:tc>
        <w:tc>
          <w:tcPr>
            <w:tcW w:w="1051" w:type="dxa"/>
            <w:noWrap/>
            <w:hideMark/>
          </w:tcPr>
          <w:p w:rsidR="00137FB7" w:rsidRPr="00137FB7" w:rsidRDefault="00137FB7" w:rsidP="00137FB7">
            <w:pPr>
              <w:rPr>
                <w:sz w:val="18"/>
                <w:szCs w:val="18"/>
              </w:rPr>
            </w:pPr>
            <w:r w:rsidRPr="00137FB7">
              <w:rPr>
                <w:sz w:val="18"/>
                <w:szCs w:val="18"/>
              </w:rPr>
              <w:t>81.0%</w:t>
            </w:r>
          </w:p>
        </w:tc>
        <w:tc>
          <w:tcPr>
            <w:tcW w:w="709" w:type="dxa"/>
            <w:noWrap/>
            <w:hideMark/>
          </w:tcPr>
          <w:p w:rsidR="00137FB7" w:rsidRPr="00137FB7" w:rsidRDefault="00137FB7" w:rsidP="00137FB7">
            <w:pPr>
              <w:rPr>
                <w:sz w:val="18"/>
                <w:szCs w:val="18"/>
              </w:rPr>
            </w:pPr>
            <w:r w:rsidRPr="00137FB7">
              <w:rPr>
                <w:sz w:val="18"/>
                <w:szCs w:val="18"/>
              </w:rPr>
              <w:t>75.4%</w:t>
            </w:r>
          </w:p>
        </w:tc>
        <w:tc>
          <w:tcPr>
            <w:tcW w:w="1134" w:type="dxa"/>
            <w:noWrap/>
            <w:hideMark/>
          </w:tcPr>
          <w:p w:rsidR="00137FB7" w:rsidRPr="00137FB7" w:rsidRDefault="00137FB7" w:rsidP="00137FB7">
            <w:pPr>
              <w:rPr>
                <w:sz w:val="18"/>
                <w:szCs w:val="18"/>
              </w:rPr>
            </w:pPr>
            <w:r w:rsidRPr="00137FB7">
              <w:rPr>
                <w:sz w:val="18"/>
                <w:szCs w:val="18"/>
              </w:rPr>
              <w:t>95.2%</w:t>
            </w:r>
          </w:p>
        </w:tc>
        <w:tc>
          <w:tcPr>
            <w:tcW w:w="1068" w:type="dxa"/>
            <w:noWrap/>
            <w:hideMark/>
          </w:tcPr>
          <w:p w:rsidR="00137FB7" w:rsidRPr="00137FB7" w:rsidRDefault="00137FB7" w:rsidP="00137FB7">
            <w:pPr>
              <w:rPr>
                <w:sz w:val="18"/>
                <w:szCs w:val="18"/>
              </w:rPr>
            </w:pPr>
            <w:r w:rsidRPr="00137FB7">
              <w:rPr>
                <w:sz w:val="18"/>
                <w:szCs w:val="18"/>
              </w:rPr>
              <w:t>85.9%</w:t>
            </w:r>
          </w:p>
        </w:tc>
        <w:tc>
          <w:tcPr>
            <w:tcW w:w="1058" w:type="dxa"/>
            <w:noWrap/>
            <w:hideMark/>
          </w:tcPr>
          <w:p w:rsidR="00137FB7" w:rsidRPr="00137FB7" w:rsidRDefault="00137FB7" w:rsidP="00137FB7">
            <w:pPr>
              <w:rPr>
                <w:sz w:val="18"/>
                <w:szCs w:val="18"/>
              </w:rPr>
            </w:pPr>
            <w:r w:rsidRPr="00137FB7">
              <w:rPr>
                <w:sz w:val="18"/>
                <w:szCs w:val="18"/>
              </w:rPr>
              <w:t>61.9%</w:t>
            </w:r>
          </w:p>
        </w:tc>
        <w:tc>
          <w:tcPr>
            <w:tcW w:w="1134" w:type="dxa"/>
            <w:noWrap/>
            <w:hideMark/>
          </w:tcPr>
          <w:p w:rsidR="00137FB7" w:rsidRPr="00137FB7" w:rsidRDefault="00137FB7" w:rsidP="00137FB7">
            <w:pPr>
              <w:rPr>
                <w:sz w:val="18"/>
                <w:szCs w:val="18"/>
              </w:rPr>
            </w:pPr>
            <w:r w:rsidRPr="00137FB7">
              <w:rPr>
                <w:sz w:val="18"/>
                <w:szCs w:val="18"/>
              </w:rPr>
              <w:t>89.3%</w:t>
            </w:r>
          </w:p>
        </w:tc>
      </w:tr>
      <w:tr w:rsidR="00137FB7" w:rsidRPr="00137FB7" w:rsidTr="009B241D">
        <w:trPr>
          <w:trHeight w:val="293"/>
        </w:trPr>
        <w:tc>
          <w:tcPr>
            <w:tcW w:w="1129" w:type="dxa"/>
            <w:noWrap/>
            <w:hideMark/>
          </w:tcPr>
          <w:p w:rsidR="00137FB7" w:rsidRPr="00137FB7" w:rsidRDefault="00137FB7">
            <w:pPr>
              <w:rPr>
                <w:sz w:val="18"/>
                <w:szCs w:val="18"/>
              </w:rPr>
            </w:pPr>
            <w:r w:rsidRPr="00137FB7">
              <w:rPr>
                <w:sz w:val="18"/>
                <w:szCs w:val="18"/>
              </w:rPr>
              <w:t>Review 4</w:t>
            </w:r>
          </w:p>
        </w:tc>
        <w:tc>
          <w:tcPr>
            <w:tcW w:w="1276" w:type="dxa"/>
            <w:noWrap/>
            <w:hideMark/>
          </w:tcPr>
          <w:p w:rsidR="00137FB7" w:rsidRPr="00137FB7" w:rsidRDefault="00137FB7" w:rsidP="00137FB7">
            <w:pPr>
              <w:rPr>
                <w:sz w:val="18"/>
                <w:szCs w:val="18"/>
              </w:rPr>
            </w:pPr>
            <w:r w:rsidRPr="00137FB7">
              <w:rPr>
                <w:sz w:val="18"/>
                <w:szCs w:val="18"/>
              </w:rPr>
              <w:t>84.8%</w:t>
            </w:r>
          </w:p>
        </w:tc>
        <w:tc>
          <w:tcPr>
            <w:tcW w:w="792" w:type="dxa"/>
            <w:noWrap/>
            <w:hideMark/>
          </w:tcPr>
          <w:p w:rsidR="00137FB7" w:rsidRPr="00137FB7" w:rsidRDefault="00137FB7" w:rsidP="00137FB7">
            <w:pPr>
              <w:rPr>
                <w:sz w:val="18"/>
                <w:szCs w:val="18"/>
              </w:rPr>
            </w:pPr>
            <w:r w:rsidRPr="00137FB7">
              <w:rPr>
                <w:sz w:val="18"/>
                <w:szCs w:val="18"/>
              </w:rPr>
              <w:t>59.0%</w:t>
            </w:r>
          </w:p>
        </w:tc>
        <w:tc>
          <w:tcPr>
            <w:tcW w:w="1051" w:type="dxa"/>
            <w:noWrap/>
            <w:hideMark/>
          </w:tcPr>
          <w:p w:rsidR="00137FB7" w:rsidRPr="00137FB7" w:rsidRDefault="00137FB7" w:rsidP="00137FB7">
            <w:pPr>
              <w:rPr>
                <w:sz w:val="18"/>
                <w:szCs w:val="18"/>
              </w:rPr>
            </w:pPr>
            <w:r w:rsidRPr="00137FB7">
              <w:rPr>
                <w:sz w:val="18"/>
                <w:szCs w:val="18"/>
              </w:rPr>
              <w:t>84.5%</w:t>
            </w:r>
          </w:p>
        </w:tc>
        <w:tc>
          <w:tcPr>
            <w:tcW w:w="709" w:type="dxa"/>
            <w:noWrap/>
            <w:hideMark/>
          </w:tcPr>
          <w:p w:rsidR="00137FB7" w:rsidRPr="00137FB7" w:rsidRDefault="00137FB7" w:rsidP="00137FB7">
            <w:pPr>
              <w:rPr>
                <w:sz w:val="18"/>
                <w:szCs w:val="18"/>
              </w:rPr>
            </w:pPr>
            <w:r w:rsidRPr="00137FB7">
              <w:rPr>
                <w:sz w:val="18"/>
                <w:szCs w:val="18"/>
              </w:rPr>
              <w:t>77.5%</w:t>
            </w:r>
          </w:p>
        </w:tc>
        <w:tc>
          <w:tcPr>
            <w:tcW w:w="1134" w:type="dxa"/>
            <w:noWrap/>
            <w:hideMark/>
          </w:tcPr>
          <w:p w:rsidR="00137FB7" w:rsidRPr="00137FB7" w:rsidRDefault="00137FB7" w:rsidP="00137FB7">
            <w:pPr>
              <w:rPr>
                <w:sz w:val="18"/>
                <w:szCs w:val="18"/>
              </w:rPr>
            </w:pPr>
            <w:r w:rsidRPr="00137FB7">
              <w:rPr>
                <w:sz w:val="18"/>
                <w:szCs w:val="18"/>
              </w:rPr>
              <w:t>94.0%</w:t>
            </w:r>
          </w:p>
        </w:tc>
        <w:tc>
          <w:tcPr>
            <w:tcW w:w="1068" w:type="dxa"/>
            <w:noWrap/>
            <w:hideMark/>
          </w:tcPr>
          <w:p w:rsidR="00137FB7" w:rsidRPr="00137FB7" w:rsidRDefault="00137FB7" w:rsidP="00137FB7">
            <w:pPr>
              <w:rPr>
                <w:sz w:val="18"/>
                <w:szCs w:val="18"/>
              </w:rPr>
            </w:pPr>
            <w:r w:rsidRPr="00137FB7">
              <w:rPr>
                <w:sz w:val="18"/>
                <w:szCs w:val="18"/>
              </w:rPr>
              <w:t>86.2%</w:t>
            </w:r>
          </w:p>
        </w:tc>
        <w:tc>
          <w:tcPr>
            <w:tcW w:w="1058" w:type="dxa"/>
            <w:noWrap/>
            <w:hideMark/>
          </w:tcPr>
          <w:p w:rsidR="00137FB7" w:rsidRPr="00137FB7" w:rsidRDefault="00137FB7" w:rsidP="00137FB7">
            <w:pPr>
              <w:rPr>
                <w:sz w:val="18"/>
                <w:szCs w:val="18"/>
              </w:rPr>
            </w:pPr>
            <w:r w:rsidRPr="00137FB7">
              <w:rPr>
                <w:sz w:val="18"/>
                <w:szCs w:val="18"/>
              </w:rPr>
              <w:t>66.8%</w:t>
            </w:r>
          </w:p>
        </w:tc>
        <w:tc>
          <w:tcPr>
            <w:tcW w:w="1134" w:type="dxa"/>
            <w:noWrap/>
            <w:hideMark/>
          </w:tcPr>
          <w:p w:rsidR="00137FB7" w:rsidRPr="00137FB7" w:rsidRDefault="00137FB7" w:rsidP="00137FB7">
            <w:pPr>
              <w:rPr>
                <w:sz w:val="18"/>
                <w:szCs w:val="18"/>
              </w:rPr>
            </w:pPr>
            <w:r w:rsidRPr="00137FB7">
              <w:rPr>
                <w:sz w:val="18"/>
                <w:szCs w:val="18"/>
              </w:rPr>
              <w:t>89.0%</w:t>
            </w:r>
          </w:p>
        </w:tc>
      </w:tr>
    </w:tbl>
    <w:p w:rsidR="008A4475" w:rsidRDefault="008A4475" w:rsidP="00247E01"/>
    <w:p w:rsidR="00520EF6" w:rsidRPr="00C00606" w:rsidRDefault="00520EF6" w:rsidP="00520EF6">
      <w:pPr>
        <w:spacing w:before="120"/>
        <w:rPr>
          <w:rFonts w:cstheme="minorHAnsi"/>
        </w:rPr>
      </w:pPr>
      <w:r>
        <w:rPr>
          <w:rFonts w:cstheme="minorHAnsi"/>
          <w:color w:val="000000"/>
        </w:rPr>
        <w:t>Radar chart 2:</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276"/>
        <w:gridCol w:w="792"/>
        <w:gridCol w:w="1051"/>
        <w:gridCol w:w="709"/>
        <w:gridCol w:w="1134"/>
        <w:gridCol w:w="1068"/>
        <w:gridCol w:w="1058"/>
        <w:gridCol w:w="1134"/>
      </w:tblGrid>
      <w:tr w:rsidR="00520EF6" w:rsidRPr="00137FB7" w:rsidTr="006F2D9E">
        <w:trPr>
          <w:trHeight w:val="945"/>
        </w:trPr>
        <w:tc>
          <w:tcPr>
            <w:tcW w:w="1129" w:type="dxa"/>
            <w:hideMark/>
          </w:tcPr>
          <w:p w:rsidR="00520EF6" w:rsidRPr="00137FB7" w:rsidRDefault="00520EF6" w:rsidP="006F2D9E">
            <w:pPr>
              <w:rPr>
                <w:b/>
                <w:bCs/>
                <w:sz w:val="18"/>
                <w:szCs w:val="18"/>
              </w:rPr>
            </w:pPr>
            <w:r w:rsidRPr="00137FB7">
              <w:rPr>
                <w:b/>
                <w:bCs/>
                <w:sz w:val="18"/>
                <w:szCs w:val="18"/>
              </w:rPr>
              <w:t> </w:t>
            </w:r>
          </w:p>
        </w:tc>
        <w:tc>
          <w:tcPr>
            <w:tcW w:w="1276" w:type="dxa"/>
            <w:hideMark/>
          </w:tcPr>
          <w:p w:rsidR="00520EF6" w:rsidRDefault="00520EF6" w:rsidP="006F2D9E">
            <w:pPr>
              <w:rPr>
                <w:b/>
                <w:bCs/>
                <w:sz w:val="18"/>
                <w:szCs w:val="18"/>
              </w:rPr>
            </w:pPr>
            <w:r w:rsidRPr="00137FB7">
              <w:rPr>
                <w:b/>
                <w:bCs/>
                <w:sz w:val="18"/>
                <w:szCs w:val="18"/>
              </w:rPr>
              <w:t>Cognitive development</w:t>
            </w:r>
          </w:p>
          <w:p w:rsidR="00520EF6" w:rsidRPr="00137FB7" w:rsidRDefault="00520EF6" w:rsidP="006F2D9E">
            <w:pPr>
              <w:rPr>
                <w:b/>
                <w:bCs/>
                <w:sz w:val="18"/>
                <w:szCs w:val="18"/>
              </w:rPr>
            </w:pPr>
            <w:r>
              <w:rPr>
                <w:b/>
                <w:bCs/>
                <w:sz w:val="18"/>
                <w:szCs w:val="18"/>
              </w:rPr>
              <w:t>(CD)</w:t>
            </w:r>
          </w:p>
        </w:tc>
        <w:tc>
          <w:tcPr>
            <w:tcW w:w="792" w:type="dxa"/>
            <w:hideMark/>
          </w:tcPr>
          <w:p w:rsidR="00520EF6" w:rsidRDefault="00520EF6" w:rsidP="006F2D9E">
            <w:pPr>
              <w:rPr>
                <w:b/>
                <w:bCs/>
                <w:sz w:val="18"/>
                <w:szCs w:val="18"/>
              </w:rPr>
            </w:pPr>
            <w:r w:rsidRPr="00137FB7">
              <w:rPr>
                <w:b/>
                <w:bCs/>
                <w:sz w:val="18"/>
                <w:szCs w:val="18"/>
              </w:rPr>
              <w:t>Eating/feeding</w:t>
            </w:r>
          </w:p>
          <w:p w:rsidR="00520EF6" w:rsidRPr="00137FB7" w:rsidRDefault="00520EF6" w:rsidP="006F2D9E">
            <w:pPr>
              <w:rPr>
                <w:b/>
                <w:bCs/>
                <w:sz w:val="18"/>
                <w:szCs w:val="18"/>
              </w:rPr>
            </w:pPr>
            <w:r>
              <w:rPr>
                <w:b/>
                <w:bCs/>
                <w:sz w:val="18"/>
                <w:szCs w:val="18"/>
              </w:rPr>
              <w:t>(E/F)</w:t>
            </w:r>
          </w:p>
        </w:tc>
        <w:tc>
          <w:tcPr>
            <w:tcW w:w="1051" w:type="dxa"/>
            <w:hideMark/>
          </w:tcPr>
          <w:p w:rsidR="00520EF6" w:rsidRDefault="00520EF6" w:rsidP="006F2D9E">
            <w:pPr>
              <w:rPr>
                <w:b/>
                <w:bCs/>
                <w:sz w:val="18"/>
                <w:szCs w:val="18"/>
              </w:rPr>
            </w:pPr>
            <w:r w:rsidRPr="00137FB7">
              <w:rPr>
                <w:b/>
                <w:bCs/>
                <w:sz w:val="18"/>
                <w:szCs w:val="18"/>
              </w:rPr>
              <w:t>Fine motor skills</w:t>
            </w:r>
          </w:p>
          <w:p w:rsidR="00520EF6" w:rsidRPr="00137FB7" w:rsidRDefault="00520EF6" w:rsidP="006F2D9E">
            <w:pPr>
              <w:rPr>
                <w:b/>
                <w:bCs/>
                <w:sz w:val="18"/>
                <w:szCs w:val="18"/>
              </w:rPr>
            </w:pPr>
            <w:r>
              <w:rPr>
                <w:b/>
                <w:bCs/>
                <w:sz w:val="18"/>
                <w:szCs w:val="18"/>
              </w:rPr>
              <w:t>(FMS)</w:t>
            </w:r>
          </w:p>
        </w:tc>
        <w:tc>
          <w:tcPr>
            <w:tcW w:w="709" w:type="dxa"/>
            <w:hideMark/>
          </w:tcPr>
          <w:p w:rsidR="00520EF6" w:rsidRDefault="00520EF6" w:rsidP="006F2D9E">
            <w:pPr>
              <w:rPr>
                <w:b/>
                <w:bCs/>
                <w:sz w:val="18"/>
                <w:szCs w:val="18"/>
              </w:rPr>
            </w:pPr>
            <w:r w:rsidRPr="00137FB7">
              <w:rPr>
                <w:b/>
                <w:bCs/>
                <w:sz w:val="18"/>
                <w:szCs w:val="18"/>
              </w:rPr>
              <w:t>Gross motor skills</w:t>
            </w:r>
          </w:p>
          <w:p w:rsidR="00520EF6" w:rsidRPr="00137FB7" w:rsidRDefault="00520EF6" w:rsidP="006F2D9E">
            <w:pPr>
              <w:rPr>
                <w:b/>
                <w:bCs/>
                <w:sz w:val="18"/>
                <w:szCs w:val="18"/>
              </w:rPr>
            </w:pPr>
            <w:r>
              <w:rPr>
                <w:b/>
                <w:bCs/>
                <w:sz w:val="18"/>
                <w:szCs w:val="18"/>
              </w:rPr>
              <w:t>(GMS)</w:t>
            </w:r>
          </w:p>
        </w:tc>
        <w:tc>
          <w:tcPr>
            <w:tcW w:w="1134" w:type="dxa"/>
            <w:hideMark/>
          </w:tcPr>
          <w:p w:rsidR="00520EF6" w:rsidRDefault="00520EF6" w:rsidP="006F2D9E">
            <w:pPr>
              <w:rPr>
                <w:b/>
                <w:bCs/>
                <w:sz w:val="18"/>
                <w:szCs w:val="18"/>
              </w:rPr>
            </w:pPr>
            <w:r w:rsidRPr="00137FB7">
              <w:rPr>
                <w:b/>
                <w:bCs/>
                <w:sz w:val="18"/>
                <w:szCs w:val="18"/>
              </w:rPr>
              <w:t>Language/communication</w:t>
            </w:r>
          </w:p>
          <w:p w:rsidR="00520EF6" w:rsidRPr="00137FB7" w:rsidRDefault="00520EF6" w:rsidP="006F2D9E">
            <w:pPr>
              <w:rPr>
                <w:b/>
                <w:bCs/>
                <w:sz w:val="18"/>
                <w:szCs w:val="18"/>
              </w:rPr>
            </w:pPr>
            <w:r>
              <w:rPr>
                <w:b/>
                <w:bCs/>
                <w:sz w:val="18"/>
                <w:szCs w:val="18"/>
              </w:rPr>
              <w:t>(L/C)</w:t>
            </w:r>
          </w:p>
        </w:tc>
        <w:tc>
          <w:tcPr>
            <w:tcW w:w="1068" w:type="dxa"/>
            <w:hideMark/>
          </w:tcPr>
          <w:p w:rsidR="00520EF6" w:rsidRDefault="00520EF6" w:rsidP="006F2D9E">
            <w:pPr>
              <w:rPr>
                <w:b/>
                <w:bCs/>
                <w:sz w:val="18"/>
                <w:szCs w:val="18"/>
              </w:rPr>
            </w:pPr>
            <w:r w:rsidRPr="00137FB7">
              <w:rPr>
                <w:b/>
                <w:bCs/>
                <w:sz w:val="18"/>
                <w:szCs w:val="18"/>
              </w:rPr>
              <w:t>Self-care</w:t>
            </w:r>
          </w:p>
          <w:p w:rsidR="00520EF6" w:rsidRPr="00137FB7" w:rsidRDefault="00520EF6" w:rsidP="006F2D9E">
            <w:pPr>
              <w:rPr>
                <w:b/>
                <w:bCs/>
                <w:sz w:val="18"/>
                <w:szCs w:val="18"/>
              </w:rPr>
            </w:pPr>
            <w:r>
              <w:rPr>
                <w:b/>
                <w:bCs/>
                <w:sz w:val="18"/>
                <w:szCs w:val="18"/>
              </w:rPr>
              <w:t>(SC)</w:t>
            </w:r>
          </w:p>
        </w:tc>
        <w:tc>
          <w:tcPr>
            <w:tcW w:w="1058" w:type="dxa"/>
            <w:hideMark/>
          </w:tcPr>
          <w:p w:rsidR="00520EF6" w:rsidRDefault="00520EF6" w:rsidP="006F2D9E">
            <w:pPr>
              <w:rPr>
                <w:b/>
                <w:bCs/>
                <w:sz w:val="18"/>
                <w:szCs w:val="18"/>
              </w:rPr>
            </w:pPr>
            <w:r w:rsidRPr="00137FB7">
              <w:rPr>
                <w:b/>
                <w:bCs/>
                <w:sz w:val="18"/>
                <w:szCs w:val="18"/>
              </w:rPr>
              <w:t>Sensory processing</w:t>
            </w:r>
          </w:p>
          <w:p w:rsidR="00520EF6" w:rsidRPr="00137FB7" w:rsidRDefault="00520EF6" w:rsidP="006F2D9E">
            <w:pPr>
              <w:rPr>
                <w:b/>
                <w:bCs/>
                <w:sz w:val="18"/>
                <w:szCs w:val="18"/>
              </w:rPr>
            </w:pPr>
            <w:r>
              <w:rPr>
                <w:b/>
                <w:bCs/>
                <w:sz w:val="18"/>
                <w:szCs w:val="18"/>
              </w:rPr>
              <w:t>(SP)</w:t>
            </w:r>
          </w:p>
        </w:tc>
        <w:tc>
          <w:tcPr>
            <w:tcW w:w="1134" w:type="dxa"/>
            <w:hideMark/>
          </w:tcPr>
          <w:p w:rsidR="00520EF6" w:rsidRDefault="00520EF6" w:rsidP="006F2D9E">
            <w:pPr>
              <w:rPr>
                <w:b/>
                <w:bCs/>
                <w:sz w:val="18"/>
                <w:szCs w:val="18"/>
              </w:rPr>
            </w:pPr>
            <w:r w:rsidRPr="00137FB7">
              <w:rPr>
                <w:b/>
                <w:bCs/>
                <w:sz w:val="18"/>
                <w:szCs w:val="18"/>
              </w:rPr>
              <w:t>Social interaction</w:t>
            </w:r>
          </w:p>
          <w:p w:rsidR="00520EF6" w:rsidRPr="00137FB7" w:rsidRDefault="00520EF6" w:rsidP="006F2D9E">
            <w:pPr>
              <w:rPr>
                <w:b/>
                <w:bCs/>
                <w:sz w:val="18"/>
                <w:szCs w:val="18"/>
              </w:rPr>
            </w:pPr>
            <w:r>
              <w:rPr>
                <w:b/>
                <w:bCs/>
                <w:sz w:val="18"/>
                <w:szCs w:val="18"/>
              </w:rPr>
              <w:t>(SI)</w:t>
            </w:r>
          </w:p>
        </w:tc>
      </w:tr>
      <w:tr w:rsidR="00520EF6" w:rsidRPr="00137FB7" w:rsidTr="006F2D9E">
        <w:trPr>
          <w:trHeight w:val="285"/>
        </w:trPr>
        <w:tc>
          <w:tcPr>
            <w:tcW w:w="1129" w:type="dxa"/>
            <w:noWrap/>
            <w:hideMark/>
          </w:tcPr>
          <w:p w:rsidR="00520EF6" w:rsidRPr="00137FB7" w:rsidRDefault="00520EF6" w:rsidP="006F2D9E">
            <w:pPr>
              <w:rPr>
                <w:sz w:val="18"/>
                <w:szCs w:val="18"/>
              </w:rPr>
            </w:pPr>
            <w:r w:rsidRPr="00137FB7">
              <w:rPr>
                <w:sz w:val="18"/>
                <w:szCs w:val="18"/>
              </w:rPr>
              <w:t>Baseline</w:t>
            </w:r>
          </w:p>
        </w:tc>
        <w:tc>
          <w:tcPr>
            <w:tcW w:w="1276" w:type="dxa"/>
            <w:noWrap/>
            <w:hideMark/>
          </w:tcPr>
          <w:p w:rsidR="00520EF6" w:rsidRPr="00137FB7" w:rsidRDefault="00520EF6" w:rsidP="006F2D9E">
            <w:pPr>
              <w:rPr>
                <w:sz w:val="18"/>
                <w:szCs w:val="18"/>
              </w:rPr>
            </w:pPr>
            <w:r w:rsidRPr="00137FB7">
              <w:rPr>
                <w:sz w:val="18"/>
                <w:szCs w:val="18"/>
              </w:rPr>
              <w:t>63.5%</w:t>
            </w:r>
          </w:p>
        </w:tc>
        <w:tc>
          <w:tcPr>
            <w:tcW w:w="792" w:type="dxa"/>
            <w:noWrap/>
            <w:hideMark/>
          </w:tcPr>
          <w:p w:rsidR="00520EF6" w:rsidRPr="00137FB7" w:rsidRDefault="00520EF6" w:rsidP="006F2D9E">
            <w:pPr>
              <w:rPr>
                <w:sz w:val="18"/>
                <w:szCs w:val="18"/>
              </w:rPr>
            </w:pPr>
            <w:r w:rsidRPr="00137FB7">
              <w:rPr>
                <w:sz w:val="18"/>
                <w:szCs w:val="18"/>
              </w:rPr>
              <w:t>67.3%</w:t>
            </w:r>
          </w:p>
        </w:tc>
        <w:tc>
          <w:tcPr>
            <w:tcW w:w="1051" w:type="dxa"/>
            <w:noWrap/>
            <w:hideMark/>
          </w:tcPr>
          <w:p w:rsidR="00520EF6" w:rsidRPr="00137FB7" w:rsidRDefault="00520EF6" w:rsidP="006F2D9E">
            <w:pPr>
              <w:rPr>
                <w:sz w:val="18"/>
                <w:szCs w:val="18"/>
              </w:rPr>
            </w:pPr>
            <w:r w:rsidRPr="00137FB7">
              <w:rPr>
                <w:sz w:val="18"/>
                <w:szCs w:val="18"/>
              </w:rPr>
              <w:t>70.7%</w:t>
            </w:r>
          </w:p>
        </w:tc>
        <w:tc>
          <w:tcPr>
            <w:tcW w:w="709" w:type="dxa"/>
            <w:noWrap/>
            <w:hideMark/>
          </w:tcPr>
          <w:p w:rsidR="00520EF6" w:rsidRPr="00137FB7" w:rsidRDefault="00520EF6" w:rsidP="006F2D9E">
            <w:pPr>
              <w:rPr>
                <w:sz w:val="18"/>
                <w:szCs w:val="18"/>
              </w:rPr>
            </w:pPr>
            <w:r w:rsidRPr="00137FB7">
              <w:rPr>
                <w:sz w:val="18"/>
                <w:szCs w:val="18"/>
              </w:rPr>
              <w:t>76.1%</w:t>
            </w:r>
          </w:p>
        </w:tc>
        <w:tc>
          <w:tcPr>
            <w:tcW w:w="1134" w:type="dxa"/>
            <w:noWrap/>
            <w:hideMark/>
          </w:tcPr>
          <w:p w:rsidR="00520EF6" w:rsidRPr="00137FB7" w:rsidRDefault="00520EF6" w:rsidP="006F2D9E">
            <w:pPr>
              <w:rPr>
                <w:sz w:val="18"/>
                <w:szCs w:val="18"/>
              </w:rPr>
            </w:pPr>
            <w:r w:rsidRPr="00137FB7">
              <w:rPr>
                <w:sz w:val="18"/>
                <w:szCs w:val="18"/>
              </w:rPr>
              <w:t>90.1%</w:t>
            </w:r>
          </w:p>
        </w:tc>
        <w:tc>
          <w:tcPr>
            <w:tcW w:w="1068" w:type="dxa"/>
            <w:noWrap/>
            <w:hideMark/>
          </w:tcPr>
          <w:p w:rsidR="00520EF6" w:rsidRPr="00137FB7" w:rsidRDefault="00520EF6" w:rsidP="006F2D9E">
            <w:pPr>
              <w:rPr>
                <w:sz w:val="18"/>
                <w:szCs w:val="18"/>
              </w:rPr>
            </w:pPr>
            <w:r w:rsidRPr="00137FB7">
              <w:rPr>
                <w:sz w:val="18"/>
                <w:szCs w:val="18"/>
              </w:rPr>
              <w:t>70.4%</w:t>
            </w:r>
          </w:p>
        </w:tc>
        <w:tc>
          <w:tcPr>
            <w:tcW w:w="1058" w:type="dxa"/>
            <w:noWrap/>
            <w:hideMark/>
          </w:tcPr>
          <w:p w:rsidR="00520EF6" w:rsidRPr="00137FB7" w:rsidRDefault="00520EF6" w:rsidP="006F2D9E">
            <w:pPr>
              <w:rPr>
                <w:sz w:val="18"/>
                <w:szCs w:val="18"/>
              </w:rPr>
            </w:pPr>
            <w:r w:rsidRPr="00137FB7">
              <w:rPr>
                <w:sz w:val="18"/>
                <w:szCs w:val="18"/>
              </w:rPr>
              <w:t>54.6%</w:t>
            </w:r>
          </w:p>
        </w:tc>
        <w:tc>
          <w:tcPr>
            <w:tcW w:w="1134" w:type="dxa"/>
            <w:noWrap/>
            <w:hideMark/>
          </w:tcPr>
          <w:p w:rsidR="00520EF6" w:rsidRPr="00137FB7" w:rsidRDefault="00520EF6" w:rsidP="006F2D9E">
            <w:pPr>
              <w:rPr>
                <w:sz w:val="18"/>
                <w:szCs w:val="18"/>
              </w:rPr>
            </w:pPr>
            <w:r w:rsidRPr="00137FB7">
              <w:rPr>
                <w:sz w:val="18"/>
                <w:szCs w:val="18"/>
              </w:rPr>
              <w:t>64.5%</w:t>
            </w:r>
          </w:p>
        </w:tc>
      </w:tr>
      <w:tr w:rsidR="00520EF6" w:rsidRPr="00137FB7" w:rsidTr="006F2D9E">
        <w:trPr>
          <w:trHeight w:val="293"/>
        </w:trPr>
        <w:tc>
          <w:tcPr>
            <w:tcW w:w="1129" w:type="dxa"/>
            <w:noWrap/>
            <w:hideMark/>
          </w:tcPr>
          <w:p w:rsidR="00520EF6" w:rsidRPr="00137FB7" w:rsidRDefault="00520EF6" w:rsidP="006F2D9E">
            <w:pPr>
              <w:rPr>
                <w:sz w:val="18"/>
                <w:szCs w:val="18"/>
              </w:rPr>
            </w:pPr>
            <w:r w:rsidRPr="00137FB7">
              <w:rPr>
                <w:sz w:val="18"/>
                <w:szCs w:val="18"/>
              </w:rPr>
              <w:t>Review 4</w:t>
            </w:r>
          </w:p>
        </w:tc>
        <w:tc>
          <w:tcPr>
            <w:tcW w:w="1276" w:type="dxa"/>
            <w:noWrap/>
            <w:hideMark/>
          </w:tcPr>
          <w:p w:rsidR="00520EF6" w:rsidRPr="00137FB7" w:rsidRDefault="00520EF6" w:rsidP="006F2D9E">
            <w:pPr>
              <w:rPr>
                <w:sz w:val="18"/>
                <w:szCs w:val="18"/>
              </w:rPr>
            </w:pPr>
            <w:r w:rsidRPr="00137FB7">
              <w:rPr>
                <w:sz w:val="18"/>
                <w:szCs w:val="18"/>
              </w:rPr>
              <w:t>84.8%</w:t>
            </w:r>
          </w:p>
        </w:tc>
        <w:tc>
          <w:tcPr>
            <w:tcW w:w="792" w:type="dxa"/>
            <w:noWrap/>
            <w:hideMark/>
          </w:tcPr>
          <w:p w:rsidR="00520EF6" w:rsidRPr="00137FB7" w:rsidRDefault="00520EF6" w:rsidP="006F2D9E">
            <w:pPr>
              <w:rPr>
                <w:sz w:val="18"/>
                <w:szCs w:val="18"/>
              </w:rPr>
            </w:pPr>
            <w:r w:rsidRPr="00137FB7">
              <w:rPr>
                <w:sz w:val="18"/>
                <w:szCs w:val="18"/>
              </w:rPr>
              <w:t>59.0%</w:t>
            </w:r>
          </w:p>
        </w:tc>
        <w:tc>
          <w:tcPr>
            <w:tcW w:w="1051" w:type="dxa"/>
            <w:noWrap/>
            <w:hideMark/>
          </w:tcPr>
          <w:p w:rsidR="00520EF6" w:rsidRPr="00137FB7" w:rsidRDefault="00520EF6" w:rsidP="006F2D9E">
            <w:pPr>
              <w:rPr>
                <w:sz w:val="18"/>
                <w:szCs w:val="18"/>
              </w:rPr>
            </w:pPr>
            <w:r w:rsidRPr="00137FB7">
              <w:rPr>
                <w:sz w:val="18"/>
                <w:szCs w:val="18"/>
              </w:rPr>
              <w:t>84.5%</w:t>
            </w:r>
          </w:p>
        </w:tc>
        <w:tc>
          <w:tcPr>
            <w:tcW w:w="709" w:type="dxa"/>
            <w:noWrap/>
            <w:hideMark/>
          </w:tcPr>
          <w:p w:rsidR="00520EF6" w:rsidRPr="00137FB7" w:rsidRDefault="00520EF6" w:rsidP="006F2D9E">
            <w:pPr>
              <w:rPr>
                <w:sz w:val="18"/>
                <w:szCs w:val="18"/>
              </w:rPr>
            </w:pPr>
            <w:r w:rsidRPr="00137FB7">
              <w:rPr>
                <w:sz w:val="18"/>
                <w:szCs w:val="18"/>
              </w:rPr>
              <w:t>77.5%</w:t>
            </w:r>
          </w:p>
        </w:tc>
        <w:tc>
          <w:tcPr>
            <w:tcW w:w="1134" w:type="dxa"/>
            <w:noWrap/>
            <w:hideMark/>
          </w:tcPr>
          <w:p w:rsidR="00520EF6" w:rsidRPr="00137FB7" w:rsidRDefault="00520EF6" w:rsidP="006F2D9E">
            <w:pPr>
              <w:rPr>
                <w:sz w:val="18"/>
                <w:szCs w:val="18"/>
              </w:rPr>
            </w:pPr>
            <w:r w:rsidRPr="00137FB7">
              <w:rPr>
                <w:sz w:val="18"/>
                <w:szCs w:val="18"/>
              </w:rPr>
              <w:t>94.0%</w:t>
            </w:r>
          </w:p>
        </w:tc>
        <w:tc>
          <w:tcPr>
            <w:tcW w:w="1068" w:type="dxa"/>
            <w:noWrap/>
            <w:hideMark/>
          </w:tcPr>
          <w:p w:rsidR="00520EF6" w:rsidRPr="00137FB7" w:rsidRDefault="00520EF6" w:rsidP="006F2D9E">
            <w:pPr>
              <w:rPr>
                <w:sz w:val="18"/>
                <w:szCs w:val="18"/>
              </w:rPr>
            </w:pPr>
            <w:r w:rsidRPr="00137FB7">
              <w:rPr>
                <w:sz w:val="18"/>
                <w:szCs w:val="18"/>
              </w:rPr>
              <w:t>86.2%</w:t>
            </w:r>
          </w:p>
        </w:tc>
        <w:tc>
          <w:tcPr>
            <w:tcW w:w="1058" w:type="dxa"/>
            <w:noWrap/>
            <w:hideMark/>
          </w:tcPr>
          <w:p w:rsidR="00520EF6" w:rsidRPr="00137FB7" w:rsidRDefault="00520EF6" w:rsidP="006F2D9E">
            <w:pPr>
              <w:rPr>
                <w:sz w:val="18"/>
                <w:szCs w:val="18"/>
              </w:rPr>
            </w:pPr>
            <w:r w:rsidRPr="00137FB7">
              <w:rPr>
                <w:sz w:val="18"/>
                <w:szCs w:val="18"/>
              </w:rPr>
              <w:t>66.8%</w:t>
            </w:r>
          </w:p>
        </w:tc>
        <w:tc>
          <w:tcPr>
            <w:tcW w:w="1134" w:type="dxa"/>
            <w:noWrap/>
            <w:hideMark/>
          </w:tcPr>
          <w:p w:rsidR="00520EF6" w:rsidRPr="00137FB7" w:rsidRDefault="00520EF6" w:rsidP="006F2D9E">
            <w:pPr>
              <w:rPr>
                <w:sz w:val="18"/>
                <w:szCs w:val="18"/>
              </w:rPr>
            </w:pPr>
            <w:r w:rsidRPr="00137FB7">
              <w:rPr>
                <w:sz w:val="18"/>
                <w:szCs w:val="18"/>
              </w:rPr>
              <w:t>89.0%</w:t>
            </w:r>
          </w:p>
        </w:tc>
      </w:tr>
    </w:tbl>
    <w:p w:rsidR="00520EF6" w:rsidRDefault="00520EF6" w:rsidP="00247E01"/>
    <w:p w:rsidR="00380DD4" w:rsidRDefault="0080201D" w:rsidP="00247E01">
      <w:r>
        <w:t>Footnote 1</w:t>
      </w:r>
      <w:r w:rsidR="00380DD4">
        <w:t xml:space="preserve">: </w:t>
      </w:r>
      <w:r w:rsidR="00380DD4" w:rsidRPr="00380DD4">
        <w:t>Due to small numbers in cohort 5 (i.e. those in the Scheme for five years), baseline and review periods are shown for cohort 4.</w:t>
      </w:r>
    </w:p>
    <w:p w:rsidR="009B2609" w:rsidRDefault="009B2609" w:rsidP="009B2609">
      <w:pPr>
        <w:pStyle w:val="Heading2"/>
      </w:pPr>
      <w:bookmarkStart w:id="33" w:name="_Toc121151410"/>
      <w:r>
        <w:t>Slide 28: Participants aged 0 to 14</w:t>
      </w:r>
      <w:bookmarkEnd w:id="33"/>
    </w:p>
    <w:p w:rsidR="009B2609" w:rsidRDefault="009B2609" w:rsidP="009B2609">
      <w:pPr>
        <w:pStyle w:val="Heading5"/>
      </w:pPr>
      <w:r>
        <w:t>Daily living – independence</w:t>
      </w:r>
    </w:p>
    <w:p w:rsidR="009B2609" w:rsidRDefault="009B2609" w:rsidP="008E2880">
      <w:pPr>
        <w:pStyle w:val="Heading5"/>
      </w:pPr>
      <w:r>
        <w:t>Improving independence</w:t>
      </w:r>
    </w:p>
    <w:p w:rsidR="009B2609" w:rsidRPr="00137FB7" w:rsidRDefault="009B2609" w:rsidP="009B2609">
      <w:pPr>
        <w:pStyle w:val="Heading5"/>
        <w:rPr>
          <w:i/>
        </w:rPr>
      </w:pPr>
      <w:r>
        <w:rPr>
          <w:i/>
        </w:rPr>
        <w:t>My child is becoming more independent</w:t>
      </w:r>
    </w:p>
    <w:p w:rsidR="009B2609" w:rsidRDefault="009B2609" w:rsidP="009B2609">
      <w:r>
        <w:t>For participants who have been in the Scheme for five years, the percentage increased by 10.9 percentage points between baseline (42.4%) and fifth review (53.3%). For the C1 to C4 cohorts, there were increases of 6.2, 8.9, 9.2 and 10.9 percentage points, respectively, from baseline. Across all cohorts (particularly C1 and C2), the largest improvement was at first review.</w:t>
      </w:r>
    </w:p>
    <w:p w:rsidR="009B2609" w:rsidRDefault="009B2609" w:rsidP="009B2609">
      <w:r>
        <w:t>Overall, a higher percentage of respondents in the 0-S/S-14</w:t>
      </w:r>
      <w:r w:rsidR="00C31DDF">
        <w:t xml:space="preserve"> (</w:t>
      </w:r>
      <w:r w:rsidR="0080201D">
        <w:t>Footnote 1</w:t>
      </w:r>
      <w:r w:rsidR="00C31DDF">
        <w:t>)</w:t>
      </w:r>
      <w:r>
        <w:t xml:space="preserve"> group reported that their child is becoming more independent, compared to the S-14 group (at baseline and all review points). For example, 57.2% and 54.8% of C4 respondents said that their child is becoming more independent at review 4 for the 0-S/S-14 and S-14 groups, respectively.</w:t>
      </w:r>
    </w:p>
    <w:p w:rsidR="000E58B0" w:rsidRDefault="009B2609" w:rsidP="009B2609">
      <w:r>
        <w:t>However, improvements over time are substantially smaller in the 0-S/S-14 group, compared to children in the School to 14 age group (S-14). For example, for cohort four, there was an increase of 1.7 percentage points for the 0-S/S-14, compared to 12.4 percentage points for the S-14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660"/>
        <w:gridCol w:w="1660"/>
        <w:gridCol w:w="1660"/>
        <w:gridCol w:w="1660"/>
      </w:tblGrid>
      <w:tr w:rsidR="004B6121" w:rsidRPr="004B6121" w:rsidTr="009B241D">
        <w:trPr>
          <w:trHeight w:val="278"/>
        </w:trPr>
        <w:tc>
          <w:tcPr>
            <w:tcW w:w="1660" w:type="dxa"/>
            <w:noWrap/>
            <w:hideMark/>
          </w:tcPr>
          <w:p w:rsidR="004B6121" w:rsidRPr="004B6121" w:rsidRDefault="004B6121">
            <w:r w:rsidRPr="004B6121">
              <w:lastRenderedPageBreak/>
              <w:t> </w:t>
            </w:r>
            <w:r w:rsidR="0049347A" w:rsidRPr="004B6121">
              <w:t>Cohort</w:t>
            </w:r>
          </w:p>
        </w:tc>
        <w:tc>
          <w:tcPr>
            <w:tcW w:w="1660" w:type="dxa"/>
            <w:noWrap/>
            <w:hideMark/>
          </w:tcPr>
          <w:p w:rsidR="004B6121" w:rsidRPr="004B6121" w:rsidRDefault="0049347A">
            <w:r>
              <w:t>Time point</w:t>
            </w:r>
          </w:p>
        </w:tc>
        <w:tc>
          <w:tcPr>
            <w:tcW w:w="1660" w:type="dxa"/>
            <w:noWrap/>
            <w:hideMark/>
          </w:tcPr>
          <w:p w:rsidR="004B6121" w:rsidRPr="004B6121" w:rsidRDefault="004B6121">
            <w:r w:rsidRPr="004B6121">
              <w:t>All</w:t>
            </w:r>
          </w:p>
        </w:tc>
        <w:tc>
          <w:tcPr>
            <w:tcW w:w="1660" w:type="dxa"/>
            <w:noWrap/>
            <w:hideMark/>
          </w:tcPr>
          <w:p w:rsidR="004B6121" w:rsidRPr="004B6121" w:rsidRDefault="004B6121">
            <w:r w:rsidRPr="004B6121">
              <w:t>0-S/S-14</w:t>
            </w:r>
          </w:p>
        </w:tc>
        <w:tc>
          <w:tcPr>
            <w:tcW w:w="1660" w:type="dxa"/>
            <w:noWrap/>
            <w:hideMark/>
          </w:tcPr>
          <w:p w:rsidR="004B6121" w:rsidRPr="004B6121" w:rsidRDefault="004B6121">
            <w:r w:rsidRPr="004B6121">
              <w:t>S-14</w:t>
            </w:r>
          </w:p>
        </w:tc>
      </w:tr>
      <w:tr w:rsidR="0049347A" w:rsidRPr="004B6121" w:rsidTr="009B241D">
        <w:trPr>
          <w:trHeight w:val="270"/>
        </w:trPr>
        <w:tc>
          <w:tcPr>
            <w:tcW w:w="1660" w:type="dxa"/>
            <w:noWrap/>
            <w:hideMark/>
          </w:tcPr>
          <w:p w:rsidR="0049347A" w:rsidRPr="004B6121" w:rsidRDefault="0049347A" w:rsidP="004B6121">
            <w:r w:rsidRPr="004B6121">
              <w:t>5 Years</w:t>
            </w:r>
          </w:p>
        </w:tc>
        <w:tc>
          <w:tcPr>
            <w:tcW w:w="1660" w:type="dxa"/>
            <w:noWrap/>
            <w:hideMark/>
          </w:tcPr>
          <w:p w:rsidR="0049347A" w:rsidRPr="004B6121" w:rsidRDefault="0049347A">
            <w:r w:rsidRPr="004B6121">
              <w:t>B</w:t>
            </w:r>
          </w:p>
        </w:tc>
        <w:tc>
          <w:tcPr>
            <w:tcW w:w="1660" w:type="dxa"/>
            <w:noWrap/>
            <w:hideMark/>
          </w:tcPr>
          <w:p w:rsidR="0049347A" w:rsidRPr="004B6121" w:rsidRDefault="0049347A" w:rsidP="004B6121">
            <w:r w:rsidRPr="004B6121">
              <w:t>42.4%</w:t>
            </w:r>
          </w:p>
        </w:tc>
        <w:tc>
          <w:tcPr>
            <w:tcW w:w="1660" w:type="dxa"/>
            <w:noWrap/>
            <w:hideMark/>
          </w:tcPr>
          <w:p w:rsidR="0049347A" w:rsidRPr="004B6121" w:rsidRDefault="0049347A">
            <w:r w:rsidRPr="004B6121">
              <w:t> </w:t>
            </w:r>
          </w:p>
        </w:tc>
        <w:tc>
          <w:tcPr>
            <w:tcW w:w="1660" w:type="dxa"/>
            <w:noWrap/>
            <w:hideMark/>
          </w:tcPr>
          <w:p w:rsidR="0049347A" w:rsidRPr="004B6121" w:rsidRDefault="0049347A" w:rsidP="004B6121">
            <w:r w:rsidRPr="004B6121">
              <w:t>42.4%</w:t>
            </w:r>
          </w:p>
        </w:tc>
      </w:tr>
      <w:tr w:rsidR="0049347A" w:rsidRPr="004B6121" w:rsidTr="009B241D">
        <w:trPr>
          <w:trHeight w:val="270"/>
        </w:trPr>
        <w:tc>
          <w:tcPr>
            <w:tcW w:w="1660" w:type="dxa"/>
            <w:hideMark/>
          </w:tcPr>
          <w:p w:rsidR="0049347A" w:rsidRPr="004B6121" w:rsidRDefault="0049347A">
            <w:r w:rsidRPr="004B6121">
              <w:t>5 Years</w:t>
            </w:r>
          </w:p>
        </w:tc>
        <w:tc>
          <w:tcPr>
            <w:tcW w:w="1660" w:type="dxa"/>
            <w:noWrap/>
            <w:hideMark/>
          </w:tcPr>
          <w:p w:rsidR="0049347A" w:rsidRPr="004B6121" w:rsidRDefault="0049347A">
            <w:r w:rsidRPr="004B6121">
              <w:t>R1</w:t>
            </w:r>
          </w:p>
        </w:tc>
        <w:tc>
          <w:tcPr>
            <w:tcW w:w="1660" w:type="dxa"/>
            <w:noWrap/>
            <w:hideMark/>
          </w:tcPr>
          <w:p w:rsidR="0049347A" w:rsidRPr="004B6121" w:rsidRDefault="0049347A" w:rsidP="004B6121">
            <w:r w:rsidRPr="004B6121">
              <w:t>46.2%</w:t>
            </w:r>
          </w:p>
        </w:tc>
        <w:tc>
          <w:tcPr>
            <w:tcW w:w="1660" w:type="dxa"/>
            <w:noWrap/>
            <w:hideMark/>
          </w:tcPr>
          <w:p w:rsidR="0049347A" w:rsidRPr="004B6121" w:rsidRDefault="0049347A">
            <w:r w:rsidRPr="004B6121">
              <w:t> </w:t>
            </w:r>
          </w:p>
        </w:tc>
        <w:tc>
          <w:tcPr>
            <w:tcW w:w="1660" w:type="dxa"/>
            <w:noWrap/>
            <w:hideMark/>
          </w:tcPr>
          <w:p w:rsidR="0049347A" w:rsidRPr="004B6121" w:rsidRDefault="0049347A" w:rsidP="004B6121">
            <w:r w:rsidRPr="004B6121">
              <w:t>46.2%</w:t>
            </w:r>
          </w:p>
        </w:tc>
      </w:tr>
      <w:tr w:rsidR="0049347A" w:rsidRPr="004B6121" w:rsidTr="009B241D">
        <w:trPr>
          <w:trHeight w:val="270"/>
        </w:trPr>
        <w:tc>
          <w:tcPr>
            <w:tcW w:w="1660" w:type="dxa"/>
            <w:hideMark/>
          </w:tcPr>
          <w:p w:rsidR="0049347A" w:rsidRPr="004B6121" w:rsidRDefault="0049347A">
            <w:r w:rsidRPr="004B6121">
              <w:t>5 Years</w:t>
            </w:r>
          </w:p>
        </w:tc>
        <w:tc>
          <w:tcPr>
            <w:tcW w:w="1660" w:type="dxa"/>
            <w:noWrap/>
            <w:hideMark/>
          </w:tcPr>
          <w:p w:rsidR="0049347A" w:rsidRPr="004B6121" w:rsidRDefault="0049347A">
            <w:r w:rsidRPr="004B6121">
              <w:t>R2</w:t>
            </w:r>
          </w:p>
        </w:tc>
        <w:tc>
          <w:tcPr>
            <w:tcW w:w="1660" w:type="dxa"/>
            <w:noWrap/>
            <w:hideMark/>
          </w:tcPr>
          <w:p w:rsidR="0049347A" w:rsidRPr="004B6121" w:rsidRDefault="0049347A" w:rsidP="004B6121">
            <w:r w:rsidRPr="004B6121">
              <w:t>49.5%</w:t>
            </w:r>
          </w:p>
        </w:tc>
        <w:tc>
          <w:tcPr>
            <w:tcW w:w="1660" w:type="dxa"/>
            <w:noWrap/>
            <w:hideMark/>
          </w:tcPr>
          <w:p w:rsidR="0049347A" w:rsidRPr="004B6121" w:rsidRDefault="0049347A">
            <w:r w:rsidRPr="004B6121">
              <w:t> </w:t>
            </w:r>
          </w:p>
        </w:tc>
        <w:tc>
          <w:tcPr>
            <w:tcW w:w="1660" w:type="dxa"/>
            <w:noWrap/>
            <w:hideMark/>
          </w:tcPr>
          <w:p w:rsidR="0049347A" w:rsidRPr="004B6121" w:rsidRDefault="0049347A" w:rsidP="004B6121">
            <w:r w:rsidRPr="004B6121">
              <w:t>49.5%</w:t>
            </w:r>
          </w:p>
        </w:tc>
      </w:tr>
      <w:tr w:rsidR="0049347A" w:rsidRPr="004B6121" w:rsidTr="009B241D">
        <w:trPr>
          <w:trHeight w:val="270"/>
        </w:trPr>
        <w:tc>
          <w:tcPr>
            <w:tcW w:w="1660" w:type="dxa"/>
            <w:hideMark/>
          </w:tcPr>
          <w:p w:rsidR="0049347A" w:rsidRPr="004B6121" w:rsidRDefault="0049347A">
            <w:r w:rsidRPr="004B6121">
              <w:t>5 Years</w:t>
            </w:r>
          </w:p>
        </w:tc>
        <w:tc>
          <w:tcPr>
            <w:tcW w:w="1660" w:type="dxa"/>
            <w:noWrap/>
            <w:hideMark/>
          </w:tcPr>
          <w:p w:rsidR="0049347A" w:rsidRPr="004B6121" w:rsidRDefault="0049347A">
            <w:r w:rsidRPr="004B6121">
              <w:t>R3</w:t>
            </w:r>
          </w:p>
        </w:tc>
        <w:tc>
          <w:tcPr>
            <w:tcW w:w="1660" w:type="dxa"/>
            <w:noWrap/>
            <w:hideMark/>
          </w:tcPr>
          <w:p w:rsidR="0049347A" w:rsidRPr="004B6121" w:rsidRDefault="0049347A" w:rsidP="004B6121">
            <w:r w:rsidRPr="004B6121">
              <w:t>52.0%</w:t>
            </w:r>
          </w:p>
        </w:tc>
        <w:tc>
          <w:tcPr>
            <w:tcW w:w="1660" w:type="dxa"/>
            <w:noWrap/>
            <w:hideMark/>
          </w:tcPr>
          <w:p w:rsidR="0049347A" w:rsidRPr="004B6121" w:rsidRDefault="0049347A">
            <w:r w:rsidRPr="004B6121">
              <w:t> </w:t>
            </w:r>
          </w:p>
        </w:tc>
        <w:tc>
          <w:tcPr>
            <w:tcW w:w="1660" w:type="dxa"/>
            <w:noWrap/>
            <w:hideMark/>
          </w:tcPr>
          <w:p w:rsidR="0049347A" w:rsidRPr="004B6121" w:rsidRDefault="0049347A" w:rsidP="004B6121">
            <w:r w:rsidRPr="004B6121">
              <w:t>52.0%</w:t>
            </w:r>
          </w:p>
        </w:tc>
      </w:tr>
      <w:tr w:rsidR="0049347A" w:rsidRPr="004B6121" w:rsidTr="009B241D">
        <w:trPr>
          <w:trHeight w:val="270"/>
        </w:trPr>
        <w:tc>
          <w:tcPr>
            <w:tcW w:w="1660" w:type="dxa"/>
            <w:hideMark/>
          </w:tcPr>
          <w:p w:rsidR="0049347A" w:rsidRPr="004B6121" w:rsidRDefault="0049347A">
            <w:r w:rsidRPr="004B6121">
              <w:t>5 Years</w:t>
            </w:r>
          </w:p>
        </w:tc>
        <w:tc>
          <w:tcPr>
            <w:tcW w:w="1660" w:type="dxa"/>
            <w:noWrap/>
            <w:hideMark/>
          </w:tcPr>
          <w:p w:rsidR="0049347A" w:rsidRPr="004B6121" w:rsidRDefault="0049347A">
            <w:r w:rsidRPr="004B6121">
              <w:t>R4</w:t>
            </w:r>
          </w:p>
        </w:tc>
        <w:tc>
          <w:tcPr>
            <w:tcW w:w="1660" w:type="dxa"/>
            <w:noWrap/>
            <w:hideMark/>
          </w:tcPr>
          <w:p w:rsidR="0049347A" w:rsidRPr="004B6121" w:rsidRDefault="0049347A" w:rsidP="004B6121">
            <w:r w:rsidRPr="004B6121">
              <w:t>53.3%</w:t>
            </w:r>
          </w:p>
        </w:tc>
        <w:tc>
          <w:tcPr>
            <w:tcW w:w="1660" w:type="dxa"/>
            <w:noWrap/>
            <w:hideMark/>
          </w:tcPr>
          <w:p w:rsidR="0049347A" w:rsidRPr="004B6121" w:rsidRDefault="0049347A">
            <w:r w:rsidRPr="004B6121">
              <w:t> </w:t>
            </w:r>
          </w:p>
        </w:tc>
        <w:tc>
          <w:tcPr>
            <w:tcW w:w="1660" w:type="dxa"/>
            <w:noWrap/>
            <w:hideMark/>
          </w:tcPr>
          <w:p w:rsidR="0049347A" w:rsidRPr="004B6121" w:rsidRDefault="0049347A" w:rsidP="004B6121">
            <w:r w:rsidRPr="004B6121">
              <w:t>53.3%</w:t>
            </w:r>
          </w:p>
        </w:tc>
      </w:tr>
      <w:tr w:rsidR="0049347A" w:rsidRPr="004B6121" w:rsidTr="009B241D">
        <w:trPr>
          <w:trHeight w:val="278"/>
        </w:trPr>
        <w:tc>
          <w:tcPr>
            <w:tcW w:w="1660" w:type="dxa"/>
            <w:hideMark/>
          </w:tcPr>
          <w:p w:rsidR="0049347A" w:rsidRPr="004B6121" w:rsidRDefault="0049347A">
            <w:r w:rsidRPr="004B6121">
              <w:t>5 Years</w:t>
            </w:r>
          </w:p>
        </w:tc>
        <w:tc>
          <w:tcPr>
            <w:tcW w:w="1660" w:type="dxa"/>
            <w:noWrap/>
            <w:hideMark/>
          </w:tcPr>
          <w:p w:rsidR="0049347A" w:rsidRPr="004B6121" w:rsidRDefault="0049347A">
            <w:r w:rsidRPr="004B6121">
              <w:t>R5</w:t>
            </w:r>
          </w:p>
        </w:tc>
        <w:tc>
          <w:tcPr>
            <w:tcW w:w="1660" w:type="dxa"/>
            <w:noWrap/>
            <w:hideMark/>
          </w:tcPr>
          <w:p w:rsidR="0049347A" w:rsidRPr="004B6121" w:rsidRDefault="0049347A" w:rsidP="004B6121">
            <w:r w:rsidRPr="004B6121">
              <w:t>53.3%</w:t>
            </w:r>
          </w:p>
        </w:tc>
        <w:tc>
          <w:tcPr>
            <w:tcW w:w="1660" w:type="dxa"/>
            <w:noWrap/>
            <w:hideMark/>
          </w:tcPr>
          <w:p w:rsidR="0049347A" w:rsidRPr="004B6121" w:rsidRDefault="0049347A">
            <w:r w:rsidRPr="004B6121">
              <w:t> </w:t>
            </w:r>
          </w:p>
        </w:tc>
        <w:tc>
          <w:tcPr>
            <w:tcW w:w="1660" w:type="dxa"/>
            <w:noWrap/>
            <w:hideMark/>
          </w:tcPr>
          <w:p w:rsidR="0049347A" w:rsidRPr="004B6121" w:rsidRDefault="0049347A" w:rsidP="004B6121">
            <w:r w:rsidRPr="004B6121">
              <w:t>53.3%</w:t>
            </w:r>
          </w:p>
        </w:tc>
      </w:tr>
      <w:tr w:rsidR="0049347A" w:rsidRPr="004B6121" w:rsidTr="009B241D">
        <w:trPr>
          <w:trHeight w:val="270"/>
        </w:trPr>
        <w:tc>
          <w:tcPr>
            <w:tcW w:w="1660" w:type="dxa"/>
            <w:noWrap/>
            <w:hideMark/>
          </w:tcPr>
          <w:p w:rsidR="0049347A" w:rsidRPr="004B6121" w:rsidRDefault="0049347A" w:rsidP="004B6121">
            <w:r w:rsidRPr="004B6121">
              <w:t>4 Years</w:t>
            </w:r>
          </w:p>
        </w:tc>
        <w:tc>
          <w:tcPr>
            <w:tcW w:w="1660" w:type="dxa"/>
            <w:noWrap/>
            <w:hideMark/>
          </w:tcPr>
          <w:p w:rsidR="0049347A" w:rsidRPr="004B6121" w:rsidRDefault="0049347A">
            <w:r w:rsidRPr="004B6121">
              <w:t>B</w:t>
            </w:r>
          </w:p>
        </w:tc>
        <w:tc>
          <w:tcPr>
            <w:tcW w:w="1660" w:type="dxa"/>
            <w:noWrap/>
            <w:hideMark/>
          </w:tcPr>
          <w:p w:rsidR="0049347A" w:rsidRPr="004B6121" w:rsidRDefault="0049347A" w:rsidP="004B6121">
            <w:r w:rsidRPr="004B6121">
              <w:t>44.2%</w:t>
            </w:r>
          </w:p>
        </w:tc>
        <w:tc>
          <w:tcPr>
            <w:tcW w:w="1660" w:type="dxa"/>
            <w:noWrap/>
            <w:hideMark/>
          </w:tcPr>
          <w:p w:rsidR="0049347A" w:rsidRPr="004B6121" w:rsidRDefault="0049347A" w:rsidP="004B6121">
            <w:r w:rsidRPr="004B6121">
              <w:t>55.5%</w:t>
            </w:r>
          </w:p>
        </w:tc>
        <w:tc>
          <w:tcPr>
            <w:tcW w:w="1660" w:type="dxa"/>
            <w:noWrap/>
            <w:hideMark/>
          </w:tcPr>
          <w:p w:rsidR="0049347A" w:rsidRPr="004B6121" w:rsidRDefault="0049347A" w:rsidP="004B6121">
            <w:r w:rsidRPr="004B6121">
              <w:t>42.4%</w:t>
            </w:r>
          </w:p>
        </w:tc>
      </w:tr>
      <w:tr w:rsidR="0049347A" w:rsidRPr="004B6121" w:rsidTr="009B241D">
        <w:trPr>
          <w:trHeight w:val="270"/>
        </w:trPr>
        <w:tc>
          <w:tcPr>
            <w:tcW w:w="1660" w:type="dxa"/>
            <w:hideMark/>
          </w:tcPr>
          <w:p w:rsidR="0049347A" w:rsidRPr="004B6121" w:rsidRDefault="0049347A">
            <w:r w:rsidRPr="004B6121">
              <w:t>4 Years</w:t>
            </w:r>
          </w:p>
        </w:tc>
        <w:tc>
          <w:tcPr>
            <w:tcW w:w="1660" w:type="dxa"/>
            <w:noWrap/>
            <w:hideMark/>
          </w:tcPr>
          <w:p w:rsidR="0049347A" w:rsidRPr="004B6121" w:rsidRDefault="0049347A">
            <w:r w:rsidRPr="004B6121">
              <w:t>R1</w:t>
            </w:r>
          </w:p>
        </w:tc>
        <w:tc>
          <w:tcPr>
            <w:tcW w:w="1660" w:type="dxa"/>
            <w:noWrap/>
            <w:hideMark/>
          </w:tcPr>
          <w:p w:rsidR="0049347A" w:rsidRPr="004B6121" w:rsidRDefault="0049347A" w:rsidP="004B6121">
            <w:r w:rsidRPr="004B6121">
              <w:t>48.3%</w:t>
            </w:r>
          </w:p>
        </w:tc>
        <w:tc>
          <w:tcPr>
            <w:tcW w:w="1660" w:type="dxa"/>
            <w:noWrap/>
            <w:hideMark/>
          </w:tcPr>
          <w:p w:rsidR="0049347A" w:rsidRPr="004B6121" w:rsidRDefault="0049347A" w:rsidP="004B6121">
            <w:r w:rsidRPr="004B6121">
              <w:t>55.3%</w:t>
            </w:r>
          </w:p>
        </w:tc>
        <w:tc>
          <w:tcPr>
            <w:tcW w:w="1660" w:type="dxa"/>
            <w:noWrap/>
            <w:hideMark/>
          </w:tcPr>
          <w:p w:rsidR="0049347A" w:rsidRPr="004B6121" w:rsidRDefault="0049347A" w:rsidP="004B6121">
            <w:r w:rsidRPr="004B6121">
              <w:t>47.3%</w:t>
            </w:r>
          </w:p>
        </w:tc>
      </w:tr>
      <w:tr w:rsidR="0049347A" w:rsidRPr="004B6121" w:rsidTr="009B241D">
        <w:trPr>
          <w:trHeight w:val="270"/>
        </w:trPr>
        <w:tc>
          <w:tcPr>
            <w:tcW w:w="1660" w:type="dxa"/>
            <w:hideMark/>
          </w:tcPr>
          <w:p w:rsidR="0049347A" w:rsidRPr="004B6121" w:rsidRDefault="0049347A">
            <w:r w:rsidRPr="004B6121">
              <w:t>4 Years</w:t>
            </w:r>
          </w:p>
        </w:tc>
        <w:tc>
          <w:tcPr>
            <w:tcW w:w="1660" w:type="dxa"/>
            <w:noWrap/>
            <w:hideMark/>
          </w:tcPr>
          <w:p w:rsidR="0049347A" w:rsidRPr="004B6121" w:rsidRDefault="0049347A">
            <w:r w:rsidRPr="004B6121">
              <w:t>R2</w:t>
            </w:r>
          </w:p>
        </w:tc>
        <w:tc>
          <w:tcPr>
            <w:tcW w:w="1660" w:type="dxa"/>
            <w:noWrap/>
            <w:hideMark/>
          </w:tcPr>
          <w:p w:rsidR="0049347A" w:rsidRPr="004B6121" w:rsidRDefault="0049347A" w:rsidP="004B6121">
            <w:r w:rsidRPr="004B6121">
              <w:t>51.5%</w:t>
            </w:r>
          </w:p>
        </w:tc>
        <w:tc>
          <w:tcPr>
            <w:tcW w:w="1660" w:type="dxa"/>
            <w:noWrap/>
            <w:hideMark/>
          </w:tcPr>
          <w:p w:rsidR="0049347A" w:rsidRPr="004B6121" w:rsidRDefault="0049347A" w:rsidP="004B6121">
            <w:r w:rsidRPr="004B6121">
              <w:t>56.5%</w:t>
            </w:r>
          </w:p>
        </w:tc>
        <w:tc>
          <w:tcPr>
            <w:tcW w:w="1660" w:type="dxa"/>
            <w:noWrap/>
            <w:hideMark/>
          </w:tcPr>
          <w:p w:rsidR="0049347A" w:rsidRPr="004B6121" w:rsidRDefault="0049347A" w:rsidP="004B6121">
            <w:r w:rsidRPr="004B6121">
              <w:t>50.7%</w:t>
            </w:r>
          </w:p>
        </w:tc>
      </w:tr>
      <w:tr w:rsidR="0049347A" w:rsidRPr="004B6121" w:rsidTr="009B241D">
        <w:trPr>
          <w:trHeight w:val="270"/>
        </w:trPr>
        <w:tc>
          <w:tcPr>
            <w:tcW w:w="1660" w:type="dxa"/>
            <w:hideMark/>
          </w:tcPr>
          <w:p w:rsidR="0049347A" w:rsidRPr="004B6121" w:rsidRDefault="0049347A">
            <w:r w:rsidRPr="004B6121">
              <w:t>4 Years</w:t>
            </w:r>
          </w:p>
        </w:tc>
        <w:tc>
          <w:tcPr>
            <w:tcW w:w="1660" w:type="dxa"/>
            <w:noWrap/>
            <w:hideMark/>
          </w:tcPr>
          <w:p w:rsidR="0049347A" w:rsidRPr="004B6121" w:rsidRDefault="0049347A">
            <w:r w:rsidRPr="004B6121">
              <w:t>R3</w:t>
            </w:r>
          </w:p>
        </w:tc>
        <w:tc>
          <w:tcPr>
            <w:tcW w:w="1660" w:type="dxa"/>
            <w:noWrap/>
            <w:hideMark/>
          </w:tcPr>
          <w:p w:rsidR="0049347A" w:rsidRPr="004B6121" w:rsidRDefault="0049347A" w:rsidP="004B6121">
            <w:r w:rsidRPr="004B6121">
              <w:t>54.0%</w:t>
            </w:r>
          </w:p>
        </w:tc>
        <w:tc>
          <w:tcPr>
            <w:tcW w:w="1660" w:type="dxa"/>
            <w:noWrap/>
            <w:hideMark/>
          </w:tcPr>
          <w:p w:rsidR="0049347A" w:rsidRPr="004B6121" w:rsidRDefault="0049347A" w:rsidP="004B6121">
            <w:r w:rsidRPr="004B6121">
              <w:t>58.2%</w:t>
            </w:r>
          </w:p>
        </w:tc>
        <w:tc>
          <w:tcPr>
            <w:tcW w:w="1660" w:type="dxa"/>
            <w:noWrap/>
            <w:hideMark/>
          </w:tcPr>
          <w:p w:rsidR="0049347A" w:rsidRPr="004B6121" w:rsidRDefault="0049347A" w:rsidP="004B6121">
            <w:r w:rsidRPr="004B6121">
              <w:t>53.4%</w:t>
            </w:r>
          </w:p>
        </w:tc>
      </w:tr>
      <w:tr w:rsidR="0049347A" w:rsidRPr="004B6121" w:rsidTr="009B241D">
        <w:trPr>
          <w:trHeight w:val="278"/>
        </w:trPr>
        <w:tc>
          <w:tcPr>
            <w:tcW w:w="1660" w:type="dxa"/>
            <w:hideMark/>
          </w:tcPr>
          <w:p w:rsidR="0049347A" w:rsidRPr="004B6121" w:rsidRDefault="0049347A">
            <w:r w:rsidRPr="004B6121">
              <w:t>4 Years</w:t>
            </w:r>
          </w:p>
        </w:tc>
        <w:tc>
          <w:tcPr>
            <w:tcW w:w="1660" w:type="dxa"/>
            <w:noWrap/>
            <w:hideMark/>
          </w:tcPr>
          <w:p w:rsidR="0049347A" w:rsidRPr="004B6121" w:rsidRDefault="0049347A">
            <w:r w:rsidRPr="004B6121">
              <w:t>R4</w:t>
            </w:r>
          </w:p>
        </w:tc>
        <w:tc>
          <w:tcPr>
            <w:tcW w:w="1660" w:type="dxa"/>
            <w:noWrap/>
            <w:hideMark/>
          </w:tcPr>
          <w:p w:rsidR="0049347A" w:rsidRPr="004B6121" w:rsidRDefault="0049347A" w:rsidP="004B6121">
            <w:r w:rsidRPr="004B6121">
              <w:t>55.1%</w:t>
            </w:r>
          </w:p>
        </w:tc>
        <w:tc>
          <w:tcPr>
            <w:tcW w:w="1660" w:type="dxa"/>
            <w:noWrap/>
            <w:hideMark/>
          </w:tcPr>
          <w:p w:rsidR="0049347A" w:rsidRPr="004B6121" w:rsidRDefault="0049347A" w:rsidP="004B6121">
            <w:r w:rsidRPr="004B6121">
              <w:t>57.2%</w:t>
            </w:r>
          </w:p>
        </w:tc>
        <w:tc>
          <w:tcPr>
            <w:tcW w:w="1660" w:type="dxa"/>
            <w:noWrap/>
            <w:hideMark/>
          </w:tcPr>
          <w:p w:rsidR="0049347A" w:rsidRPr="004B6121" w:rsidRDefault="0049347A" w:rsidP="004B6121">
            <w:r w:rsidRPr="004B6121">
              <w:t>54.8%</w:t>
            </w:r>
          </w:p>
        </w:tc>
      </w:tr>
      <w:tr w:rsidR="0049347A" w:rsidRPr="004B6121" w:rsidTr="009B241D">
        <w:trPr>
          <w:trHeight w:val="270"/>
        </w:trPr>
        <w:tc>
          <w:tcPr>
            <w:tcW w:w="1660" w:type="dxa"/>
            <w:noWrap/>
            <w:hideMark/>
          </w:tcPr>
          <w:p w:rsidR="0049347A" w:rsidRPr="004B6121" w:rsidRDefault="0049347A" w:rsidP="004B6121">
            <w:r w:rsidRPr="004B6121">
              <w:t>3 Years</w:t>
            </w:r>
          </w:p>
        </w:tc>
        <w:tc>
          <w:tcPr>
            <w:tcW w:w="1660" w:type="dxa"/>
            <w:noWrap/>
            <w:hideMark/>
          </w:tcPr>
          <w:p w:rsidR="0049347A" w:rsidRPr="004B6121" w:rsidRDefault="0049347A">
            <w:r w:rsidRPr="004B6121">
              <w:t>B</w:t>
            </w:r>
          </w:p>
        </w:tc>
        <w:tc>
          <w:tcPr>
            <w:tcW w:w="1660" w:type="dxa"/>
            <w:noWrap/>
            <w:hideMark/>
          </w:tcPr>
          <w:p w:rsidR="0049347A" w:rsidRPr="004B6121" w:rsidRDefault="0049347A" w:rsidP="004B6121">
            <w:r w:rsidRPr="004B6121">
              <w:t>42.9%</w:t>
            </w:r>
          </w:p>
        </w:tc>
        <w:tc>
          <w:tcPr>
            <w:tcW w:w="1660" w:type="dxa"/>
            <w:noWrap/>
            <w:hideMark/>
          </w:tcPr>
          <w:p w:rsidR="0049347A" w:rsidRPr="004B6121" w:rsidRDefault="0049347A" w:rsidP="004B6121">
            <w:r w:rsidRPr="004B6121">
              <w:t>55.6%</w:t>
            </w:r>
          </w:p>
        </w:tc>
        <w:tc>
          <w:tcPr>
            <w:tcW w:w="1660" w:type="dxa"/>
            <w:noWrap/>
            <w:hideMark/>
          </w:tcPr>
          <w:p w:rsidR="0049347A" w:rsidRPr="004B6121" w:rsidRDefault="0049347A" w:rsidP="004B6121">
            <w:r w:rsidRPr="004B6121">
              <w:t>39.9%</w:t>
            </w:r>
          </w:p>
        </w:tc>
      </w:tr>
      <w:tr w:rsidR="0049347A" w:rsidRPr="004B6121" w:rsidTr="009B241D">
        <w:trPr>
          <w:trHeight w:val="270"/>
        </w:trPr>
        <w:tc>
          <w:tcPr>
            <w:tcW w:w="1660" w:type="dxa"/>
            <w:hideMark/>
          </w:tcPr>
          <w:p w:rsidR="0049347A" w:rsidRPr="004B6121" w:rsidRDefault="0049347A">
            <w:r w:rsidRPr="004B6121">
              <w:t>3 Years</w:t>
            </w:r>
          </w:p>
        </w:tc>
        <w:tc>
          <w:tcPr>
            <w:tcW w:w="1660" w:type="dxa"/>
            <w:noWrap/>
            <w:hideMark/>
          </w:tcPr>
          <w:p w:rsidR="0049347A" w:rsidRPr="004B6121" w:rsidRDefault="0049347A">
            <w:r w:rsidRPr="004B6121">
              <w:t>R1</w:t>
            </w:r>
          </w:p>
        </w:tc>
        <w:tc>
          <w:tcPr>
            <w:tcW w:w="1660" w:type="dxa"/>
            <w:noWrap/>
            <w:hideMark/>
          </w:tcPr>
          <w:p w:rsidR="0049347A" w:rsidRPr="004B6121" w:rsidRDefault="0049347A" w:rsidP="004B6121">
            <w:r w:rsidRPr="004B6121">
              <w:t>48.0%</w:t>
            </w:r>
          </w:p>
        </w:tc>
        <w:tc>
          <w:tcPr>
            <w:tcW w:w="1660" w:type="dxa"/>
            <w:noWrap/>
            <w:hideMark/>
          </w:tcPr>
          <w:p w:rsidR="0049347A" w:rsidRPr="004B6121" w:rsidRDefault="0049347A" w:rsidP="004B6121">
            <w:r w:rsidRPr="004B6121">
              <w:t>58.5%</w:t>
            </w:r>
          </w:p>
        </w:tc>
        <w:tc>
          <w:tcPr>
            <w:tcW w:w="1660" w:type="dxa"/>
            <w:noWrap/>
            <w:hideMark/>
          </w:tcPr>
          <w:p w:rsidR="0049347A" w:rsidRPr="004B6121" w:rsidRDefault="0049347A" w:rsidP="004B6121">
            <w:r w:rsidRPr="004B6121">
              <w:t>45.6%</w:t>
            </w:r>
          </w:p>
        </w:tc>
      </w:tr>
      <w:tr w:rsidR="0049347A" w:rsidRPr="004B6121" w:rsidTr="009B241D">
        <w:trPr>
          <w:trHeight w:val="270"/>
        </w:trPr>
        <w:tc>
          <w:tcPr>
            <w:tcW w:w="1660" w:type="dxa"/>
            <w:hideMark/>
          </w:tcPr>
          <w:p w:rsidR="0049347A" w:rsidRPr="004B6121" w:rsidRDefault="0049347A">
            <w:r w:rsidRPr="004B6121">
              <w:t>3 Years</w:t>
            </w:r>
          </w:p>
        </w:tc>
        <w:tc>
          <w:tcPr>
            <w:tcW w:w="1660" w:type="dxa"/>
            <w:noWrap/>
            <w:hideMark/>
          </w:tcPr>
          <w:p w:rsidR="0049347A" w:rsidRPr="004B6121" w:rsidRDefault="0049347A">
            <w:r w:rsidRPr="004B6121">
              <w:t>R2</w:t>
            </w:r>
          </w:p>
        </w:tc>
        <w:tc>
          <w:tcPr>
            <w:tcW w:w="1660" w:type="dxa"/>
            <w:noWrap/>
            <w:hideMark/>
          </w:tcPr>
          <w:p w:rsidR="0049347A" w:rsidRPr="004B6121" w:rsidRDefault="0049347A" w:rsidP="004B6121">
            <w:r w:rsidRPr="004B6121">
              <w:t>50.8%</w:t>
            </w:r>
          </w:p>
        </w:tc>
        <w:tc>
          <w:tcPr>
            <w:tcW w:w="1660" w:type="dxa"/>
            <w:noWrap/>
            <w:hideMark/>
          </w:tcPr>
          <w:p w:rsidR="0049347A" w:rsidRPr="004B6121" w:rsidRDefault="0049347A" w:rsidP="004B6121">
            <w:r w:rsidRPr="004B6121">
              <w:t>58.4%</w:t>
            </w:r>
          </w:p>
        </w:tc>
        <w:tc>
          <w:tcPr>
            <w:tcW w:w="1660" w:type="dxa"/>
            <w:noWrap/>
            <w:hideMark/>
          </w:tcPr>
          <w:p w:rsidR="0049347A" w:rsidRPr="004B6121" w:rsidRDefault="0049347A" w:rsidP="004B6121">
            <w:r w:rsidRPr="004B6121">
              <w:t>49.0%</w:t>
            </w:r>
          </w:p>
        </w:tc>
      </w:tr>
      <w:tr w:rsidR="0049347A" w:rsidRPr="004B6121" w:rsidTr="009B241D">
        <w:trPr>
          <w:trHeight w:val="278"/>
        </w:trPr>
        <w:tc>
          <w:tcPr>
            <w:tcW w:w="1660" w:type="dxa"/>
            <w:hideMark/>
          </w:tcPr>
          <w:p w:rsidR="0049347A" w:rsidRPr="004B6121" w:rsidRDefault="0049347A">
            <w:r w:rsidRPr="004B6121">
              <w:t>3 Years</w:t>
            </w:r>
          </w:p>
        </w:tc>
        <w:tc>
          <w:tcPr>
            <w:tcW w:w="1660" w:type="dxa"/>
            <w:noWrap/>
            <w:hideMark/>
          </w:tcPr>
          <w:p w:rsidR="0049347A" w:rsidRPr="004B6121" w:rsidRDefault="0049347A">
            <w:r w:rsidRPr="004B6121">
              <w:t>R3</w:t>
            </w:r>
          </w:p>
        </w:tc>
        <w:tc>
          <w:tcPr>
            <w:tcW w:w="1660" w:type="dxa"/>
            <w:noWrap/>
            <w:hideMark/>
          </w:tcPr>
          <w:p w:rsidR="0049347A" w:rsidRPr="004B6121" w:rsidRDefault="0049347A" w:rsidP="004B6121">
            <w:r w:rsidRPr="004B6121">
              <w:t>52.1%</w:t>
            </w:r>
          </w:p>
        </w:tc>
        <w:tc>
          <w:tcPr>
            <w:tcW w:w="1660" w:type="dxa"/>
            <w:noWrap/>
            <w:hideMark/>
          </w:tcPr>
          <w:p w:rsidR="0049347A" w:rsidRPr="004B6121" w:rsidRDefault="0049347A" w:rsidP="004B6121">
            <w:r w:rsidRPr="004B6121">
              <w:t>58.9%</w:t>
            </w:r>
          </w:p>
        </w:tc>
        <w:tc>
          <w:tcPr>
            <w:tcW w:w="1660" w:type="dxa"/>
            <w:noWrap/>
            <w:hideMark/>
          </w:tcPr>
          <w:p w:rsidR="0049347A" w:rsidRPr="004B6121" w:rsidRDefault="0049347A" w:rsidP="004B6121">
            <w:r w:rsidRPr="004B6121">
              <w:t>50.5%</w:t>
            </w:r>
          </w:p>
        </w:tc>
      </w:tr>
      <w:tr w:rsidR="0049347A" w:rsidRPr="004B6121" w:rsidTr="009B241D">
        <w:trPr>
          <w:trHeight w:val="270"/>
        </w:trPr>
        <w:tc>
          <w:tcPr>
            <w:tcW w:w="1660" w:type="dxa"/>
            <w:noWrap/>
            <w:hideMark/>
          </w:tcPr>
          <w:p w:rsidR="0049347A" w:rsidRPr="004B6121" w:rsidRDefault="0049347A" w:rsidP="004B6121">
            <w:r w:rsidRPr="004B6121">
              <w:t>2 Years</w:t>
            </w:r>
          </w:p>
        </w:tc>
        <w:tc>
          <w:tcPr>
            <w:tcW w:w="1660" w:type="dxa"/>
            <w:noWrap/>
            <w:hideMark/>
          </w:tcPr>
          <w:p w:rsidR="0049347A" w:rsidRPr="004B6121" w:rsidRDefault="0049347A">
            <w:r w:rsidRPr="004B6121">
              <w:t>B</w:t>
            </w:r>
          </w:p>
        </w:tc>
        <w:tc>
          <w:tcPr>
            <w:tcW w:w="1660" w:type="dxa"/>
            <w:noWrap/>
            <w:hideMark/>
          </w:tcPr>
          <w:p w:rsidR="0049347A" w:rsidRPr="004B6121" w:rsidRDefault="0049347A" w:rsidP="004B6121">
            <w:r w:rsidRPr="004B6121">
              <w:t>42.4%</w:t>
            </w:r>
          </w:p>
        </w:tc>
        <w:tc>
          <w:tcPr>
            <w:tcW w:w="1660" w:type="dxa"/>
            <w:noWrap/>
            <w:hideMark/>
          </w:tcPr>
          <w:p w:rsidR="0049347A" w:rsidRPr="004B6121" w:rsidRDefault="0049347A" w:rsidP="004B6121">
            <w:r w:rsidRPr="004B6121">
              <w:t>59.3%</w:t>
            </w:r>
          </w:p>
        </w:tc>
        <w:tc>
          <w:tcPr>
            <w:tcW w:w="1660" w:type="dxa"/>
            <w:noWrap/>
            <w:hideMark/>
          </w:tcPr>
          <w:p w:rsidR="0049347A" w:rsidRPr="004B6121" w:rsidRDefault="0049347A" w:rsidP="004B6121">
            <w:r w:rsidRPr="004B6121">
              <w:t>38.3%</w:t>
            </w:r>
          </w:p>
        </w:tc>
      </w:tr>
      <w:tr w:rsidR="0049347A" w:rsidRPr="004B6121" w:rsidTr="009B241D">
        <w:trPr>
          <w:trHeight w:val="270"/>
        </w:trPr>
        <w:tc>
          <w:tcPr>
            <w:tcW w:w="1660" w:type="dxa"/>
            <w:hideMark/>
          </w:tcPr>
          <w:p w:rsidR="0049347A" w:rsidRPr="004B6121" w:rsidRDefault="0049347A">
            <w:r w:rsidRPr="004B6121">
              <w:t>2 Years</w:t>
            </w:r>
          </w:p>
        </w:tc>
        <w:tc>
          <w:tcPr>
            <w:tcW w:w="1660" w:type="dxa"/>
            <w:noWrap/>
            <w:hideMark/>
          </w:tcPr>
          <w:p w:rsidR="0049347A" w:rsidRPr="004B6121" w:rsidRDefault="0049347A">
            <w:r w:rsidRPr="004B6121">
              <w:t>R1</w:t>
            </w:r>
          </w:p>
        </w:tc>
        <w:tc>
          <w:tcPr>
            <w:tcW w:w="1660" w:type="dxa"/>
            <w:noWrap/>
            <w:hideMark/>
          </w:tcPr>
          <w:p w:rsidR="0049347A" w:rsidRPr="004B6121" w:rsidRDefault="0049347A" w:rsidP="004B6121">
            <w:r w:rsidRPr="004B6121">
              <w:t>48.5%</w:t>
            </w:r>
          </w:p>
        </w:tc>
        <w:tc>
          <w:tcPr>
            <w:tcW w:w="1660" w:type="dxa"/>
            <w:noWrap/>
            <w:hideMark/>
          </w:tcPr>
          <w:p w:rsidR="0049347A" w:rsidRPr="004B6121" w:rsidRDefault="0049347A" w:rsidP="004B6121">
            <w:r w:rsidRPr="004B6121">
              <w:t>63.3%</w:t>
            </w:r>
          </w:p>
        </w:tc>
        <w:tc>
          <w:tcPr>
            <w:tcW w:w="1660" w:type="dxa"/>
            <w:noWrap/>
            <w:hideMark/>
          </w:tcPr>
          <w:p w:rsidR="0049347A" w:rsidRPr="004B6121" w:rsidRDefault="0049347A" w:rsidP="004B6121">
            <w:r w:rsidRPr="004B6121">
              <w:t>45.2%</w:t>
            </w:r>
          </w:p>
        </w:tc>
      </w:tr>
      <w:tr w:rsidR="0049347A" w:rsidRPr="004B6121" w:rsidTr="009B241D">
        <w:trPr>
          <w:trHeight w:val="278"/>
        </w:trPr>
        <w:tc>
          <w:tcPr>
            <w:tcW w:w="1660" w:type="dxa"/>
            <w:hideMark/>
          </w:tcPr>
          <w:p w:rsidR="0049347A" w:rsidRPr="004B6121" w:rsidRDefault="0049347A">
            <w:r w:rsidRPr="004B6121">
              <w:t>2 Years</w:t>
            </w:r>
          </w:p>
        </w:tc>
        <w:tc>
          <w:tcPr>
            <w:tcW w:w="1660" w:type="dxa"/>
            <w:noWrap/>
            <w:hideMark/>
          </w:tcPr>
          <w:p w:rsidR="0049347A" w:rsidRPr="004B6121" w:rsidRDefault="0049347A">
            <w:r>
              <w:t>Review 2</w:t>
            </w:r>
          </w:p>
        </w:tc>
        <w:tc>
          <w:tcPr>
            <w:tcW w:w="1660" w:type="dxa"/>
            <w:noWrap/>
            <w:hideMark/>
          </w:tcPr>
          <w:p w:rsidR="0049347A" w:rsidRPr="004B6121" w:rsidRDefault="0049347A" w:rsidP="004B6121">
            <w:r w:rsidRPr="004B6121">
              <w:t>51.3%</w:t>
            </w:r>
          </w:p>
        </w:tc>
        <w:tc>
          <w:tcPr>
            <w:tcW w:w="1660" w:type="dxa"/>
            <w:noWrap/>
            <w:hideMark/>
          </w:tcPr>
          <w:p w:rsidR="0049347A" w:rsidRPr="004B6121" w:rsidRDefault="0049347A" w:rsidP="004B6121">
            <w:r w:rsidRPr="004B6121">
              <w:t>61.7%</w:t>
            </w:r>
          </w:p>
        </w:tc>
        <w:tc>
          <w:tcPr>
            <w:tcW w:w="1660" w:type="dxa"/>
            <w:noWrap/>
            <w:hideMark/>
          </w:tcPr>
          <w:p w:rsidR="0049347A" w:rsidRPr="004B6121" w:rsidRDefault="0049347A" w:rsidP="004B6121">
            <w:r w:rsidRPr="004B6121">
              <w:t>48.8%</w:t>
            </w:r>
          </w:p>
        </w:tc>
      </w:tr>
      <w:tr w:rsidR="0049347A" w:rsidRPr="004B6121" w:rsidTr="009B241D">
        <w:trPr>
          <w:trHeight w:val="270"/>
        </w:trPr>
        <w:tc>
          <w:tcPr>
            <w:tcW w:w="1660" w:type="dxa"/>
            <w:noWrap/>
            <w:hideMark/>
          </w:tcPr>
          <w:p w:rsidR="0049347A" w:rsidRPr="004B6121" w:rsidRDefault="0049347A" w:rsidP="004B6121">
            <w:r w:rsidRPr="004B6121">
              <w:t>1 Year</w:t>
            </w:r>
          </w:p>
        </w:tc>
        <w:tc>
          <w:tcPr>
            <w:tcW w:w="1660" w:type="dxa"/>
            <w:noWrap/>
            <w:hideMark/>
          </w:tcPr>
          <w:p w:rsidR="0049347A" w:rsidRPr="004B6121" w:rsidRDefault="0049347A">
            <w:r w:rsidRPr="004B6121">
              <w:t>B</w:t>
            </w:r>
            <w:r>
              <w:t>aseline</w:t>
            </w:r>
          </w:p>
        </w:tc>
        <w:tc>
          <w:tcPr>
            <w:tcW w:w="1660" w:type="dxa"/>
            <w:noWrap/>
            <w:hideMark/>
          </w:tcPr>
          <w:p w:rsidR="0049347A" w:rsidRPr="004B6121" w:rsidRDefault="0049347A" w:rsidP="004B6121">
            <w:r w:rsidRPr="004B6121">
              <w:t>42.1%</w:t>
            </w:r>
          </w:p>
        </w:tc>
        <w:tc>
          <w:tcPr>
            <w:tcW w:w="1660" w:type="dxa"/>
            <w:noWrap/>
            <w:hideMark/>
          </w:tcPr>
          <w:p w:rsidR="0049347A" w:rsidRPr="004B6121" w:rsidRDefault="0049347A" w:rsidP="004B6121">
            <w:r w:rsidRPr="004B6121">
              <w:t>59.7%</w:t>
            </w:r>
          </w:p>
        </w:tc>
        <w:tc>
          <w:tcPr>
            <w:tcW w:w="1660" w:type="dxa"/>
            <w:noWrap/>
            <w:hideMark/>
          </w:tcPr>
          <w:p w:rsidR="0049347A" w:rsidRPr="004B6121" w:rsidRDefault="0049347A" w:rsidP="004B6121">
            <w:r w:rsidRPr="004B6121">
              <w:t>37.3%</w:t>
            </w:r>
          </w:p>
        </w:tc>
      </w:tr>
      <w:tr w:rsidR="0049347A" w:rsidRPr="004B6121" w:rsidTr="009B241D">
        <w:trPr>
          <w:trHeight w:val="278"/>
        </w:trPr>
        <w:tc>
          <w:tcPr>
            <w:tcW w:w="1660" w:type="dxa"/>
            <w:hideMark/>
          </w:tcPr>
          <w:p w:rsidR="0049347A" w:rsidRPr="004B6121" w:rsidRDefault="0049347A">
            <w:r w:rsidRPr="004B6121">
              <w:t>1 Year</w:t>
            </w:r>
          </w:p>
        </w:tc>
        <w:tc>
          <w:tcPr>
            <w:tcW w:w="1660" w:type="dxa"/>
            <w:noWrap/>
            <w:hideMark/>
          </w:tcPr>
          <w:p w:rsidR="0049347A" w:rsidRPr="004B6121" w:rsidRDefault="0049347A">
            <w:r>
              <w:t>Review 1</w:t>
            </w:r>
          </w:p>
        </w:tc>
        <w:tc>
          <w:tcPr>
            <w:tcW w:w="1660" w:type="dxa"/>
            <w:noWrap/>
            <w:hideMark/>
          </w:tcPr>
          <w:p w:rsidR="0049347A" w:rsidRPr="004B6121" w:rsidRDefault="0049347A" w:rsidP="004B6121">
            <w:r w:rsidRPr="004B6121">
              <w:t>48.3%</w:t>
            </w:r>
          </w:p>
        </w:tc>
        <w:tc>
          <w:tcPr>
            <w:tcW w:w="1660" w:type="dxa"/>
            <w:noWrap/>
            <w:hideMark/>
          </w:tcPr>
          <w:p w:rsidR="0049347A" w:rsidRPr="004B6121" w:rsidRDefault="0049347A" w:rsidP="004B6121">
            <w:r w:rsidRPr="004B6121">
              <w:t>63.6%</w:t>
            </w:r>
          </w:p>
        </w:tc>
        <w:tc>
          <w:tcPr>
            <w:tcW w:w="1660" w:type="dxa"/>
            <w:noWrap/>
            <w:hideMark/>
          </w:tcPr>
          <w:p w:rsidR="0049347A" w:rsidRPr="004B6121" w:rsidRDefault="0049347A" w:rsidP="004B6121">
            <w:r w:rsidRPr="004B6121">
              <w:t>44.2%</w:t>
            </w:r>
          </w:p>
        </w:tc>
      </w:tr>
    </w:tbl>
    <w:p w:rsidR="004B6121" w:rsidRDefault="004B6121" w:rsidP="009B2609"/>
    <w:p w:rsidR="00C31DDF" w:rsidRDefault="0080201D" w:rsidP="009B2609">
      <w:r>
        <w:t>Footnote 1</w:t>
      </w:r>
      <w:r w:rsidR="00C31DDF">
        <w:t xml:space="preserve">: </w:t>
      </w:r>
      <w:r w:rsidR="00C31DDF" w:rsidRPr="00C31DDF">
        <w:t>The 0-S/S-14 group comprises children who entered the Scheme prior to starting school and have since aged/ transitioned up into the School to 14 age group. The S-14 age group refers to children who were between school age and 14 when they entered the Scheme.</w:t>
      </w:r>
    </w:p>
    <w:p w:rsidR="008E2880" w:rsidRDefault="008E2880" w:rsidP="008E2880">
      <w:pPr>
        <w:pStyle w:val="Heading2"/>
      </w:pPr>
      <w:bookmarkStart w:id="34" w:name="_Toc121151411"/>
      <w:r>
        <w:t>Slide 29: Participants aged 0 to 14</w:t>
      </w:r>
      <w:bookmarkEnd w:id="34"/>
    </w:p>
    <w:p w:rsidR="008E2880" w:rsidRDefault="008E2880" w:rsidP="008E2880">
      <w:pPr>
        <w:pStyle w:val="Heading5"/>
      </w:pPr>
      <w:r>
        <w:t>Daily living – independence</w:t>
      </w:r>
    </w:p>
    <w:p w:rsidR="008E2880" w:rsidRDefault="008E2880" w:rsidP="008E2880">
      <w:pPr>
        <w:pStyle w:val="Heading5"/>
      </w:pPr>
      <w:r>
        <w:t>Everyday tasks and managing demands of their world</w:t>
      </w:r>
    </w:p>
    <w:p w:rsidR="004B6121" w:rsidRDefault="008E2880" w:rsidP="008E2880">
      <w:pPr>
        <w:pStyle w:val="Heading5"/>
        <w:rPr>
          <w:i/>
        </w:rPr>
      </w:pPr>
      <w:r w:rsidRPr="008E2880">
        <w:rPr>
          <w:i/>
        </w:rPr>
        <w:t>% of children who are able to do everyday tasks at home/in the par</w:t>
      </w:r>
      <w:r>
        <w:rPr>
          <w:i/>
        </w:rPr>
        <w:t>k/at childcare most of the time (</w:t>
      </w:r>
      <w:r w:rsidR="0080201D">
        <w:rPr>
          <w:i/>
        </w:rPr>
        <w:t>Footnote 1</w:t>
      </w:r>
      <w:r>
        <w:rPr>
          <w:i/>
        </w:rPr>
        <w:t>)</w:t>
      </w:r>
    </w:p>
    <w:p w:rsidR="008E2880" w:rsidRDefault="00424656" w:rsidP="008E2880">
      <w:r w:rsidRPr="00424656">
        <w:t>The percentage of parents/ carers reporting positive outcomes in relation to their young child (0 to SS) being able to do everyday tasks most of the time has increased from baseline to latest review for children in the Scheme one, two or three years – by 8.0, 12.9 and 14.3 percentage points respectively.</w:t>
      </w:r>
    </w:p>
    <w:p w:rsidR="00583200" w:rsidRDefault="000E58B0" w:rsidP="008E2880">
      <w:r>
        <w:lastRenderedPageBreak/>
        <w:t>Single group (P0to</w:t>
      </w:r>
      <w:r w:rsidR="00583200">
        <w:t>SS), by time in Scheme:</w:t>
      </w:r>
    </w:p>
    <w:tbl>
      <w:tblPr>
        <w:tblW w:w="5200" w:type="dxa"/>
        <w:tblLook w:val="04A0" w:firstRow="1" w:lastRow="0" w:firstColumn="1" w:lastColumn="0" w:noHBand="0" w:noVBand="1"/>
      </w:tblPr>
      <w:tblGrid>
        <w:gridCol w:w="1040"/>
        <w:gridCol w:w="1121"/>
        <w:gridCol w:w="1040"/>
        <w:gridCol w:w="1040"/>
        <w:gridCol w:w="1040"/>
      </w:tblGrid>
      <w:tr w:rsidR="00424656" w:rsidRPr="00424656" w:rsidTr="00424656">
        <w:trPr>
          <w:trHeight w:val="285"/>
        </w:trPr>
        <w:tc>
          <w:tcPr>
            <w:tcW w:w="10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24656" w:rsidRPr="00424656" w:rsidRDefault="00424656" w:rsidP="00424656">
            <w:pPr>
              <w:spacing w:after="0" w:line="240" w:lineRule="auto"/>
              <w:rPr>
                <w:rFonts w:ascii="Arial" w:eastAsia="Times New Roman" w:hAnsi="Arial" w:cs="Arial"/>
                <w:b/>
                <w:bCs/>
                <w:color w:val="000000"/>
                <w:lang w:eastAsia="en-AU"/>
              </w:rPr>
            </w:pPr>
            <w:r w:rsidRPr="00424656">
              <w:rPr>
                <w:rFonts w:ascii="Arial" w:eastAsia="Times New Roman" w:hAnsi="Arial" w:cs="Arial"/>
                <w:b/>
                <w:bCs/>
                <w:color w:val="000000"/>
                <w:lang w:eastAsia="en-AU"/>
              </w:rPr>
              <w:t>Cohort</w:t>
            </w:r>
          </w:p>
        </w:tc>
        <w:tc>
          <w:tcPr>
            <w:tcW w:w="1040" w:type="dxa"/>
            <w:tcBorders>
              <w:top w:val="single" w:sz="8" w:space="0" w:color="auto"/>
              <w:left w:val="nil"/>
              <w:bottom w:val="single" w:sz="8" w:space="0" w:color="auto"/>
              <w:right w:val="nil"/>
            </w:tcBorders>
            <w:shd w:val="clear" w:color="auto" w:fill="auto"/>
            <w:noWrap/>
            <w:vAlign w:val="bottom"/>
            <w:hideMark/>
          </w:tcPr>
          <w:p w:rsidR="00424656" w:rsidRPr="00424656" w:rsidRDefault="00424656" w:rsidP="00424656">
            <w:pPr>
              <w:spacing w:after="0" w:line="240" w:lineRule="auto"/>
              <w:rPr>
                <w:rFonts w:ascii="Arial" w:eastAsia="Times New Roman" w:hAnsi="Arial" w:cs="Arial"/>
                <w:b/>
                <w:bCs/>
                <w:color w:val="000000"/>
                <w:lang w:eastAsia="en-AU"/>
              </w:rPr>
            </w:pPr>
            <w:r w:rsidRPr="00424656">
              <w:rPr>
                <w:rFonts w:ascii="Arial" w:eastAsia="Times New Roman" w:hAnsi="Arial" w:cs="Arial"/>
                <w:b/>
                <w:bCs/>
                <w:color w:val="000000"/>
                <w:lang w:eastAsia="en-AU"/>
              </w:rPr>
              <w:t>B</w:t>
            </w:r>
            <w:r w:rsidR="00E86C1D">
              <w:rPr>
                <w:rFonts w:ascii="Arial" w:eastAsia="Times New Roman" w:hAnsi="Arial" w:cs="Arial"/>
                <w:b/>
                <w:bCs/>
                <w:color w:val="000000"/>
                <w:lang w:eastAsia="en-AU"/>
              </w:rPr>
              <w:t>aseline</w:t>
            </w:r>
          </w:p>
        </w:tc>
        <w:tc>
          <w:tcPr>
            <w:tcW w:w="10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24656" w:rsidRPr="00424656" w:rsidRDefault="00E86C1D" w:rsidP="00424656">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1</w:t>
            </w:r>
          </w:p>
        </w:tc>
        <w:tc>
          <w:tcPr>
            <w:tcW w:w="1040" w:type="dxa"/>
            <w:tcBorders>
              <w:top w:val="single" w:sz="8" w:space="0" w:color="auto"/>
              <w:left w:val="nil"/>
              <w:bottom w:val="single" w:sz="8" w:space="0" w:color="auto"/>
              <w:right w:val="nil"/>
            </w:tcBorders>
            <w:shd w:val="clear" w:color="auto" w:fill="auto"/>
            <w:noWrap/>
            <w:vAlign w:val="bottom"/>
            <w:hideMark/>
          </w:tcPr>
          <w:p w:rsidR="00424656" w:rsidRPr="00424656" w:rsidRDefault="00E86C1D" w:rsidP="00424656">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2</w:t>
            </w:r>
          </w:p>
        </w:tc>
        <w:tc>
          <w:tcPr>
            <w:tcW w:w="10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24656" w:rsidRPr="00424656" w:rsidRDefault="00E86C1D" w:rsidP="00424656">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3</w:t>
            </w:r>
          </w:p>
        </w:tc>
      </w:tr>
      <w:tr w:rsidR="00424656" w:rsidRPr="00424656" w:rsidTr="00424656">
        <w:trPr>
          <w:trHeight w:val="278"/>
        </w:trPr>
        <w:tc>
          <w:tcPr>
            <w:tcW w:w="1040" w:type="dxa"/>
            <w:tcBorders>
              <w:top w:val="nil"/>
              <w:left w:val="single" w:sz="8" w:space="0" w:color="auto"/>
              <w:bottom w:val="single" w:sz="4" w:space="0" w:color="auto"/>
              <w:right w:val="single" w:sz="8" w:space="0" w:color="auto"/>
            </w:tcBorders>
            <w:shd w:val="clear" w:color="auto" w:fill="auto"/>
            <w:noWrap/>
            <w:vAlign w:val="bottom"/>
            <w:hideMark/>
          </w:tcPr>
          <w:p w:rsidR="00424656" w:rsidRPr="00424656" w:rsidRDefault="00424656" w:rsidP="00424656">
            <w:pPr>
              <w:spacing w:after="0" w:line="240" w:lineRule="auto"/>
              <w:rPr>
                <w:rFonts w:ascii="Arial" w:eastAsia="Times New Roman" w:hAnsi="Arial" w:cs="Arial"/>
                <w:b/>
                <w:bCs/>
                <w:color w:val="000000"/>
                <w:lang w:eastAsia="en-AU"/>
              </w:rPr>
            </w:pPr>
            <w:r w:rsidRPr="00424656">
              <w:rPr>
                <w:rFonts w:ascii="Arial" w:eastAsia="Times New Roman" w:hAnsi="Arial" w:cs="Arial"/>
                <w:b/>
                <w:bCs/>
                <w:color w:val="000000"/>
                <w:lang w:eastAsia="en-AU"/>
              </w:rPr>
              <w:t>3 years</w:t>
            </w:r>
          </w:p>
        </w:tc>
        <w:tc>
          <w:tcPr>
            <w:tcW w:w="1040" w:type="dxa"/>
            <w:tcBorders>
              <w:top w:val="nil"/>
              <w:left w:val="nil"/>
              <w:bottom w:val="single" w:sz="4" w:space="0" w:color="auto"/>
              <w:right w:val="nil"/>
            </w:tcBorders>
            <w:shd w:val="clear" w:color="auto" w:fill="auto"/>
            <w:noWrap/>
            <w:vAlign w:val="bottom"/>
            <w:hideMark/>
          </w:tcPr>
          <w:p w:rsidR="00424656" w:rsidRPr="00424656" w:rsidRDefault="00424656" w:rsidP="00424656">
            <w:pPr>
              <w:spacing w:after="0" w:line="240" w:lineRule="auto"/>
              <w:jc w:val="right"/>
              <w:rPr>
                <w:rFonts w:ascii="Arial" w:eastAsia="Times New Roman" w:hAnsi="Arial" w:cs="Arial"/>
                <w:color w:val="000000"/>
                <w:lang w:eastAsia="en-AU"/>
              </w:rPr>
            </w:pPr>
            <w:r w:rsidRPr="00424656">
              <w:rPr>
                <w:rFonts w:ascii="Arial" w:eastAsia="Times New Roman" w:hAnsi="Arial" w:cs="Arial"/>
                <w:color w:val="000000"/>
                <w:lang w:eastAsia="en-AU"/>
              </w:rPr>
              <w:t>52.4%</w:t>
            </w:r>
          </w:p>
        </w:tc>
        <w:tc>
          <w:tcPr>
            <w:tcW w:w="1040" w:type="dxa"/>
            <w:tcBorders>
              <w:top w:val="nil"/>
              <w:left w:val="single" w:sz="8" w:space="0" w:color="auto"/>
              <w:bottom w:val="single" w:sz="4" w:space="0" w:color="auto"/>
              <w:right w:val="single" w:sz="8" w:space="0" w:color="auto"/>
            </w:tcBorders>
            <w:shd w:val="clear" w:color="auto" w:fill="auto"/>
            <w:noWrap/>
            <w:vAlign w:val="bottom"/>
            <w:hideMark/>
          </w:tcPr>
          <w:p w:rsidR="00424656" w:rsidRPr="00424656" w:rsidRDefault="00424656" w:rsidP="00424656">
            <w:pPr>
              <w:spacing w:after="0" w:line="240" w:lineRule="auto"/>
              <w:jc w:val="right"/>
              <w:rPr>
                <w:rFonts w:ascii="Arial" w:eastAsia="Times New Roman" w:hAnsi="Arial" w:cs="Arial"/>
                <w:color w:val="000000"/>
                <w:lang w:eastAsia="en-AU"/>
              </w:rPr>
            </w:pPr>
            <w:r w:rsidRPr="00424656">
              <w:rPr>
                <w:rFonts w:ascii="Arial" w:eastAsia="Times New Roman" w:hAnsi="Arial" w:cs="Arial"/>
                <w:color w:val="000000"/>
                <w:lang w:eastAsia="en-AU"/>
              </w:rPr>
              <w:t>42.9%</w:t>
            </w:r>
          </w:p>
        </w:tc>
        <w:tc>
          <w:tcPr>
            <w:tcW w:w="1040" w:type="dxa"/>
            <w:tcBorders>
              <w:top w:val="nil"/>
              <w:left w:val="nil"/>
              <w:bottom w:val="single" w:sz="4" w:space="0" w:color="auto"/>
              <w:right w:val="nil"/>
            </w:tcBorders>
            <w:shd w:val="clear" w:color="auto" w:fill="auto"/>
            <w:noWrap/>
            <w:vAlign w:val="bottom"/>
            <w:hideMark/>
          </w:tcPr>
          <w:p w:rsidR="00424656" w:rsidRPr="00424656" w:rsidRDefault="00424656" w:rsidP="00424656">
            <w:pPr>
              <w:spacing w:after="0" w:line="240" w:lineRule="auto"/>
              <w:jc w:val="right"/>
              <w:rPr>
                <w:rFonts w:ascii="Arial" w:eastAsia="Times New Roman" w:hAnsi="Arial" w:cs="Arial"/>
                <w:color w:val="000000"/>
                <w:lang w:eastAsia="en-AU"/>
              </w:rPr>
            </w:pPr>
            <w:r w:rsidRPr="00424656">
              <w:rPr>
                <w:rFonts w:ascii="Arial" w:eastAsia="Times New Roman" w:hAnsi="Arial" w:cs="Arial"/>
                <w:color w:val="000000"/>
                <w:lang w:eastAsia="en-AU"/>
              </w:rPr>
              <w:t>66.7%</w:t>
            </w:r>
          </w:p>
        </w:tc>
        <w:tc>
          <w:tcPr>
            <w:tcW w:w="1040" w:type="dxa"/>
            <w:tcBorders>
              <w:top w:val="nil"/>
              <w:left w:val="single" w:sz="8" w:space="0" w:color="auto"/>
              <w:bottom w:val="single" w:sz="4" w:space="0" w:color="auto"/>
              <w:right w:val="single" w:sz="8" w:space="0" w:color="auto"/>
            </w:tcBorders>
            <w:shd w:val="clear" w:color="auto" w:fill="auto"/>
            <w:noWrap/>
            <w:vAlign w:val="bottom"/>
            <w:hideMark/>
          </w:tcPr>
          <w:p w:rsidR="00424656" w:rsidRPr="00424656" w:rsidRDefault="00424656" w:rsidP="00424656">
            <w:pPr>
              <w:spacing w:after="0" w:line="240" w:lineRule="auto"/>
              <w:jc w:val="right"/>
              <w:rPr>
                <w:rFonts w:ascii="Arial" w:eastAsia="Times New Roman" w:hAnsi="Arial" w:cs="Arial"/>
                <w:color w:val="000000"/>
                <w:lang w:eastAsia="en-AU"/>
              </w:rPr>
            </w:pPr>
            <w:r w:rsidRPr="00424656">
              <w:rPr>
                <w:rFonts w:ascii="Arial" w:eastAsia="Times New Roman" w:hAnsi="Arial" w:cs="Arial"/>
                <w:color w:val="000000"/>
                <w:lang w:eastAsia="en-AU"/>
              </w:rPr>
              <w:t>66.7%</w:t>
            </w:r>
          </w:p>
        </w:tc>
      </w:tr>
      <w:tr w:rsidR="00424656" w:rsidRPr="00424656" w:rsidTr="00424656">
        <w:trPr>
          <w:trHeight w:val="278"/>
        </w:trPr>
        <w:tc>
          <w:tcPr>
            <w:tcW w:w="1040" w:type="dxa"/>
            <w:tcBorders>
              <w:top w:val="nil"/>
              <w:left w:val="single" w:sz="8" w:space="0" w:color="auto"/>
              <w:bottom w:val="single" w:sz="4" w:space="0" w:color="auto"/>
              <w:right w:val="single" w:sz="8" w:space="0" w:color="auto"/>
            </w:tcBorders>
            <w:shd w:val="clear" w:color="auto" w:fill="auto"/>
            <w:noWrap/>
            <w:vAlign w:val="bottom"/>
            <w:hideMark/>
          </w:tcPr>
          <w:p w:rsidR="00424656" w:rsidRPr="00424656" w:rsidRDefault="00424656" w:rsidP="00424656">
            <w:pPr>
              <w:spacing w:after="0" w:line="240" w:lineRule="auto"/>
              <w:rPr>
                <w:rFonts w:ascii="Arial" w:eastAsia="Times New Roman" w:hAnsi="Arial" w:cs="Arial"/>
                <w:b/>
                <w:bCs/>
                <w:color w:val="000000"/>
                <w:lang w:eastAsia="en-AU"/>
              </w:rPr>
            </w:pPr>
            <w:r w:rsidRPr="00424656">
              <w:rPr>
                <w:rFonts w:ascii="Arial" w:eastAsia="Times New Roman" w:hAnsi="Arial" w:cs="Arial"/>
                <w:b/>
                <w:bCs/>
                <w:color w:val="000000"/>
                <w:lang w:eastAsia="en-AU"/>
              </w:rPr>
              <w:t>2 years</w:t>
            </w:r>
          </w:p>
        </w:tc>
        <w:tc>
          <w:tcPr>
            <w:tcW w:w="1040" w:type="dxa"/>
            <w:tcBorders>
              <w:top w:val="nil"/>
              <w:left w:val="nil"/>
              <w:bottom w:val="single" w:sz="4" w:space="0" w:color="auto"/>
              <w:right w:val="nil"/>
            </w:tcBorders>
            <w:shd w:val="clear" w:color="auto" w:fill="auto"/>
            <w:noWrap/>
            <w:vAlign w:val="bottom"/>
            <w:hideMark/>
          </w:tcPr>
          <w:p w:rsidR="00424656" w:rsidRPr="00424656" w:rsidRDefault="00424656" w:rsidP="00424656">
            <w:pPr>
              <w:spacing w:after="0" w:line="240" w:lineRule="auto"/>
              <w:jc w:val="right"/>
              <w:rPr>
                <w:rFonts w:ascii="Arial" w:eastAsia="Times New Roman" w:hAnsi="Arial" w:cs="Arial"/>
                <w:color w:val="000000"/>
                <w:lang w:eastAsia="en-AU"/>
              </w:rPr>
            </w:pPr>
            <w:r w:rsidRPr="00424656">
              <w:rPr>
                <w:rFonts w:ascii="Arial" w:eastAsia="Times New Roman" w:hAnsi="Arial" w:cs="Arial"/>
                <w:color w:val="000000"/>
                <w:lang w:eastAsia="en-AU"/>
              </w:rPr>
              <w:t>50.4%</w:t>
            </w:r>
          </w:p>
        </w:tc>
        <w:tc>
          <w:tcPr>
            <w:tcW w:w="1040" w:type="dxa"/>
            <w:tcBorders>
              <w:top w:val="nil"/>
              <w:left w:val="single" w:sz="8" w:space="0" w:color="auto"/>
              <w:bottom w:val="single" w:sz="4" w:space="0" w:color="auto"/>
              <w:right w:val="single" w:sz="8" w:space="0" w:color="auto"/>
            </w:tcBorders>
            <w:shd w:val="clear" w:color="auto" w:fill="auto"/>
            <w:noWrap/>
            <w:vAlign w:val="bottom"/>
            <w:hideMark/>
          </w:tcPr>
          <w:p w:rsidR="00424656" w:rsidRPr="00424656" w:rsidRDefault="00424656" w:rsidP="00424656">
            <w:pPr>
              <w:spacing w:after="0" w:line="240" w:lineRule="auto"/>
              <w:jc w:val="right"/>
              <w:rPr>
                <w:rFonts w:ascii="Arial" w:eastAsia="Times New Roman" w:hAnsi="Arial" w:cs="Arial"/>
                <w:color w:val="000000"/>
                <w:lang w:eastAsia="en-AU"/>
              </w:rPr>
            </w:pPr>
            <w:r w:rsidRPr="00424656">
              <w:rPr>
                <w:rFonts w:ascii="Arial" w:eastAsia="Times New Roman" w:hAnsi="Arial" w:cs="Arial"/>
                <w:color w:val="000000"/>
                <w:lang w:eastAsia="en-AU"/>
              </w:rPr>
              <w:t>57.3%</w:t>
            </w:r>
          </w:p>
        </w:tc>
        <w:tc>
          <w:tcPr>
            <w:tcW w:w="1040" w:type="dxa"/>
            <w:tcBorders>
              <w:top w:val="nil"/>
              <w:left w:val="nil"/>
              <w:bottom w:val="single" w:sz="4" w:space="0" w:color="auto"/>
              <w:right w:val="nil"/>
            </w:tcBorders>
            <w:shd w:val="clear" w:color="auto" w:fill="auto"/>
            <w:noWrap/>
            <w:vAlign w:val="bottom"/>
            <w:hideMark/>
          </w:tcPr>
          <w:p w:rsidR="00424656" w:rsidRPr="00424656" w:rsidRDefault="00424656" w:rsidP="00424656">
            <w:pPr>
              <w:spacing w:after="0" w:line="240" w:lineRule="auto"/>
              <w:jc w:val="right"/>
              <w:rPr>
                <w:rFonts w:ascii="Arial" w:eastAsia="Times New Roman" w:hAnsi="Arial" w:cs="Arial"/>
                <w:color w:val="000000"/>
                <w:lang w:eastAsia="en-AU"/>
              </w:rPr>
            </w:pPr>
            <w:r w:rsidRPr="00424656">
              <w:rPr>
                <w:rFonts w:ascii="Arial" w:eastAsia="Times New Roman" w:hAnsi="Arial" w:cs="Arial"/>
                <w:color w:val="000000"/>
                <w:lang w:eastAsia="en-AU"/>
              </w:rPr>
              <w:t>63.4%</w:t>
            </w:r>
          </w:p>
        </w:tc>
        <w:tc>
          <w:tcPr>
            <w:tcW w:w="1040" w:type="dxa"/>
            <w:tcBorders>
              <w:top w:val="nil"/>
              <w:left w:val="single" w:sz="8" w:space="0" w:color="auto"/>
              <w:bottom w:val="single" w:sz="4" w:space="0" w:color="auto"/>
              <w:right w:val="single" w:sz="8" w:space="0" w:color="auto"/>
            </w:tcBorders>
            <w:shd w:val="clear" w:color="auto" w:fill="auto"/>
            <w:noWrap/>
            <w:vAlign w:val="bottom"/>
            <w:hideMark/>
          </w:tcPr>
          <w:p w:rsidR="00424656" w:rsidRPr="00424656" w:rsidRDefault="00424656" w:rsidP="00424656">
            <w:pPr>
              <w:spacing w:after="0" w:line="240" w:lineRule="auto"/>
              <w:rPr>
                <w:rFonts w:ascii="Arial" w:eastAsia="Times New Roman" w:hAnsi="Arial" w:cs="Arial"/>
                <w:color w:val="000000"/>
                <w:lang w:eastAsia="en-AU"/>
              </w:rPr>
            </w:pPr>
            <w:r w:rsidRPr="00424656">
              <w:rPr>
                <w:rFonts w:ascii="Arial" w:eastAsia="Times New Roman" w:hAnsi="Arial" w:cs="Arial"/>
                <w:color w:val="000000"/>
                <w:lang w:eastAsia="en-AU"/>
              </w:rPr>
              <w:t> </w:t>
            </w:r>
          </w:p>
        </w:tc>
      </w:tr>
      <w:tr w:rsidR="00424656" w:rsidRPr="00424656" w:rsidTr="00424656">
        <w:trPr>
          <w:trHeight w:val="285"/>
        </w:trPr>
        <w:tc>
          <w:tcPr>
            <w:tcW w:w="1040" w:type="dxa"/>
            <w:tcBorders>
              <w:top w:val="nil"/>
              <w:left w:val="single" w:sz="8" w:space="0" w:color="auto"/>
              <w:bottom w:val="single" w:sz="8" w:space="0" w:color="auto"/>
              <w:right w:val="single" w:sz="8" w:space="0" w:color="auto"/>
            </w:tcBorders>
            <w:shd w:val="clear" w:color="auto" w:fill="auto"/>
            <w:noWrap/>
            <w:vAlign w:val="bottom"/>
            <w:hideMark/>
          </w:tcPr>
          <w:p w:rsidR="00424656" w:rsidRPr="00424656" w:rsidRDefault="00424656" w:rsidP="00424656">
            <w:pPr>
              <w:spacing w:after="0" w:line="240" w:lineRule="auto"/>
              <w:rPr>
                <w:rFonts w:ascii="Arial" w:eastAsia="Times New Roman" w:hAnsi="Arial" w:cs="Arial"/>
                <w:b/>
                <w:bCs/>
                <w:color w:val="000000"/>
                <w:lang w:eastAsia="en-AU"/>
              </w:rPr>
            </w:pPr>
            <w:r w:rsidRPr="00424656">
              <w:rPr>
                <w:rFonts w:ascii="Arial" w:eastAsia="Times New Roman" w:hAnsi="Arial" w:cs="Arial"/>
                <w:b/>
                <w:bCs/>
                <w:color w:val="000000"/>
                <w:lang w:eastAsia="en-AU"/>
              </w:rPr>
              <w:t>1 year</w:t>
            </w:r>
          </w:p>
        </w:tc>
        <w:tc>
          <w:tcPr>
            <w:tcW w:w="1040" w:type="dxa"/>
            <w:tcBorders>
              <w:top w:val="nil"/>
              <w:left w:val="nil"/>
              <w:bottom w:val="single" w:sz="8" w:space="0" w:color="auto"/>
              <w:right w:val="nil"/>
            </w:tcBorders>
            <w:shd w:val="clear" w:color="auto" w:fill="auto"/>
            <w:noWrap/>
            <w:vAlign w:val="bottom"/>
            <w:hideMark/>
          </w:tcPr>
          <w:p w:rsidR="00424656" w:rsidRPr="00424656" w:rsidRDefault="00424656" w:rsidP="00424656">
            <w:pPr>
              <w:spacing w:after="0" w:line="240" w:lineRule="auto"/>
              <w:jc w:val="right"/>
              <w:rPr>
                <w:rFonts w:ascii="Arial" w:eastAsia="Times New Roman" w:hAnsi="Arial" w:cs="Arial"/>
                <w:color w:val="000000"/>
                <w:lang w:eastAsia="en-AU"/>
              </w:rPr>
            </w:pPr>
            <w:r w:rsidRPr="00424656">
              <w:rPr>
                <w:rFonts w:ascii="Arial" w:eastAsia="Times New Roman" w:hAnsi="Arial" w:cs="Arial"/>
                <w:color w:val="000000"/>
                <w:lang w:eastAsia="en-AU"/>
              </w:rPr>
              <w:t>56.0%</w:t>
            </w:r>
          </w:p>
        </w:tc>
        <w:tc>
          <w:tcPr>
            <w:tcW w:w="1040" w:type="dxa"/>
            <w:tcBorders>
              <w:top w:val="nil"/>
              <w:left w:val="single" w:sz="8" w:space="0" w:color="auto"/>
              <w:bottom w:val="single" w:sz="8" w:space="0" w:color="auto"/>
              <w:right w:val="single" w:sz="8" w:space="0" w:color="auto"/>
            </w:tcBorders>
            <w:shd w:val="clear" w:color="auto" w:fill="auto"/>
            <w:noWrap/>
            <w:vAlign w:val="bottom"/>
            <w:hideMark/>
          </w:tcPr>
          <w:p w:rsidR="00424656" w:rsidRPr="00424656" w:rsidRDefault="00424656" w:rsidP="00424656">
            <w:pPr>
              <w:spacing w:after="0" w:line="240" w:lineRule="auto"/>
              <w:jc w:val="right"/>
              <w:rPr>
                <w:rFonts w:ascii="Arial" w:eastAsia="Times New Roman" w:hAnsi="Arial" w:cs="Arial"/>
                <w:color w:val="000000"/>
                <w:lang w:eastAsia="en-AU"/>
              </w:rPr>
            </w:pPr>
            <w:r w:rsidRPr="00424656">
              <w:rPr>
                <w:rFonts w:ascii="Arial" w:eastAsia="Times New Roman" w:hAnsi="Arial" w:cs="Arial"/>
                <w:color w:val="000000"/>
                <w:lang w:eastAsia="en-AU"/>
              </w:rPr>
              <w:t>64.0%</w:t>
            </w:r>
          </w:p>
        </w:tc>
        <w:tc>
          <w:tcPr>
            <w:tcW w:w="1040" w:type="dxa"/>
            <w:tcBorders>
              <w:top w:val="nil"/>
              <w:left w:val="nil"/>
              <w:bottom w:val="single" w:sz="8" w:space="0" w:color="auto"/>
              <w:right w:val="nil"/>
            </w:tcBorders>
            <w:shd w:val="clear" w:color="auto" w:fill="auto"/>
            <w:noWrap/>
            <w:vAlign w:val="bottom"/>
            <w:hideMark/>
          </w:tcPr>
          <w:p w:rsidR="00424656" w:rsidRPr="00424656" w:rsidRDefault="00424656" w:rsidP="00424656">
            <w:pPr>
              <w:spacing w:after="0" w:line="240" w:lineRule="auto"/>
              <w:rPr>
                <w:rFonts w:ascii="Arial" w:eastAsia="Times New Roman" w:hAnsi="Arial" w:cs="Arial"/>
                <w:color w:val="000000"/>
                <w:lang w:eastAsia="en-AU"/>
              </w:rPr>
            </w:pPr>
            <w:r w:rsidRPr="00424656">
              <w:rPr>
                <w:rFonts w:ascii="Arial" w:eastAsia="Times New Roman" w:hAnsi="Arial" w:cs="Arial"/>
                <w:color w:val="000000"/>
                <w:lang w:eastAsia="en-AU"/>
              </w:rPr>
              <w:t> </w:t>
            </w:r>
          </w:p>
        </w:tc>
        <w:tc>
          <w:tcPr>
            <w:tcW w:w="1040" w:type="dxa"/>
            <w:tcBorders>
              <w:top w:val="nil"/>
              <w:left w:val="single" w:sz="8" w:space="0" w:color="auto"/>
              <w:bottom w:val="single" w:sz="8" w:space="0" w:color="auto"/>
              <w:right w:val="single" w:sz="8" w:space="0" w:color="auto"/>
            </w:tcBorders>
            <w:shd w:val="clear" w:color="auto" w:fill="auto"/>
            <w:noWrap/>
            <w:vAlign w:val="bottom"/>
            <w:hideMark/>
          </w:tcPr>
          <w:p w:rsidR="00424656" w:rsidRPr="00424656" w:rsidRDefault="00424656" w:rsidP="00424656">
            <w:pPr>
              <w:spacing w:after="0" w:line="240" w:lineRule="auto"/>
              <w:rPr>
                <w:rFonts w:ascii="Arial" w:eastAsia="Times New Roman" w:hAnsi="Arial" w:cs="Arial"/>
                <w:color w:val="000000"/>
                <w:lang w:eastAsia="en-AU"/>
              </w:rPr>
            </w:pPr>
            <w:r w:rsidRPr="00424656">
              <w:rPr>
                <w:rFonts w:ascii="Arial" w:eastAsia="Times New Roman" w:hAnsi="Arial" w:cs="Arial"/>
                <w:color w:val="000000"/>
                <w:lang w:eastAsia="en-AU"/>
              </w:rPr>
              <w:t> </w:t>
            </w:r>
          </w:p>
        </w:tc>
      </w:tr>
    </w:tbl>
    <w:p w:rsidR="00424656" w:rsidRDefault="00424656" w:rsidP="008E2880"/>
    <w:p w:rsidR="00C31DDF" w:rsidRDefault="0080201D" w:rsidP="008E2880">
      <w:r>
        <w:t>Footnote 1</w:t>
      </w:r>
      <w:r w:rsidR="00C31DDF">
        <w:t xml:space="preserve">: </w:t>
      </w:r>
      <w:r w:rsidR="00C31DDF" w:rsidRPr="00C31DDF">
        <w:t>C4 and C5 cohorts (participants in the Scheme for four or five years) are not shown due to insufficient numbers for this indicator. There is some volatility in the C3 results due to small numbers.</w:t>
      </w:r>
    </w:p>
    <w:p w:rsidR="008E2880" w:rsidRPr="008E2880" w:rsidRDefault="008E2880" w:rsidP="008E2880">
      <w:pPr>
        <w:pStyle w:val="Heading5"/>
      </w:pPr>
      <w:r w:rsidRPr="008E2880">
        <w:rPr>
          <w:i/>
        </w:rPr>
        <w:t>% of children who manage the demands of their world (pretty well or very well)</w:t>
      </w:r>
    </w:p>
    <w:p w:rsidR="008E2880" w:rsidRDefault="00424656" w:rsidP="009B2609">
      <w:r w:rsidRPr="00424656">
        <w:t>For children aged 0 to 14 who have been in the Scheme for one to four years, there is an overall increase of between 3.0 and 14.4 percentage points from baseline to latest review. However, the percentage of children who manage the demands of their world well has declined over the latest year in the Scheme for cohorts C2 to C5 – by between 1.6 and 12.1 percentage points.</w:t>
      </w:r>
    </w:p>
    <w:p w:rsidR="00583200" w:rsidRDefault="00583200" w:rsidP="009B2609">
      <w:r>
        <w:t>Combined group, by time in Scheme:</w:t>
      </w:r>
    </w:p>
    <w:tbl>
      <w:tblPr>
        <w:tblW w:w="7140" w:type="dxa"/>
        <w:tblLook w:val="04A0" w:firstRow="1" w:lastRow="0" w:firstColumn="1" w:lastColumn="0" w:noHBand="0" w:noVBand="1"/>
      </w:tblPr>
      <w:tblGrid>
        <w:gridCol w:w="1020"/>
        <w:gridCol w:w="1121"/>
        <w:gridCol w:w="1020"/>
        <w:gridCol w:w="1020"/>
        <w:gridCol w:w="1020"/>
        <w:gridCol w:w="1020"/>
        <w:gridCol w:w="1020"/>
      </w:tblGrid>
      <w:tr w:rsidR="00424656" w:rsidRPr="00424656" w:rsidTr="00424656">
        <w:trPr>
          <w:trHeight w:val="285"/>
        </w:trPr>
        <w:tc>
          <w:tcPr>
            <w:tcW w:w="1020" w:type="dxa"/>
            <w:tcBorders>
              <w:top w:val="single" w:sz="8" w:space="0" w:color="auto"/>
              <w:left w:val="single" w:sz="8" w:space="0" w:color="auto"/>
              <w:bottom w:val="single" w:sz="8" w:space="0" w:color="auto"/>
              <w:right w:val="nil"/>
            </w:tcBorders>
            <w:shd w:val="clear" w:color="auto" w:fill="auto"/>
            <w:noWrap/>
            <w:vAlign w:val="bottom"/>
            <w:hideMark/>
          </w:tcPr>
          <w:p w:rsidR="00424656" w:rsidRPr="00424656" w:rsidRDefault="00424656" w:rsidP="00424656">
            <w:pPr>
              <w:spacing w:after="0" w:line="240" w:lineRule="auto"/>
              <w:rPr>
                <w:rFonts w:ascii="Arial" w:eastAsia="Times New Roman" w:hAnsi="Arial" w:cs="Arial"/>
                <w:b/>
                <w:bCs/>
                <w:color w:val="000000"/>
                <w:lang w:eastAsia="en-AU"/>
              </w:rPr>
            </w:pPr>
            <w:r w:rsidRPr="00424656">
              <w:rPr>
                <w:rFonts w:ascii="Arial" w:eastAsia="Times New Roman" w:hAnsi="Arial" w:cs="Arial"/>
                <w:b/>
                <w:bCs/>
                <w:color w:val="000000"/>
                <w:lang w:eastAsia="en-AU"/>
              </w:rPr>
              <w:t>Cohort</w:t>
            </w:r>
          </w:p>
        </w:tc>
        <w:tc>
          <w:tcPr>
            <w:tcW w:w="10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24656" w:rsidRPr="00424656" w:rsidRDefault="00424656" w:rsidP="00424656">
            <w:pPr>
              <w:spacing w:after="0" w:line="240" w:lineRule="auto"/>
              <w:rPr>
                <w:rFonts w:ascii="Arial" w:eastAsia="Times New Roman" w:hAnsi="Arial" w:cs="Arial"/>
                <w:b/>
                <w:bCs/>
                <w:color w:val="000000"/>
                <w:lang w:eastAsia="en-AU"/>
              </w:rPr>
            </w:pPr>
            <w:r w:rsidRPr="00424656">
              <w:rPr>
                <w:rFonts w:ascii="Arial" w:eastAsia="Times New Roman" w:hAnsi="Arial" w:cs="Arial"/>
                <w:b/>
                <w:bCs/>
                <w:color w:val="000000"/>
                <w:lang w:eastAsia="en-AU"/>
              </w:rPr>
              <w:t>B</w:t>
            </w:r>
            <w:r w:rsidR="00E86C1D">
              <w:rPr>
                <w:rFonts w:ascii="Arial" w:eastAsia="Times New Roman" w:hAnsi="Arial" w:cs="Arial"/>
                <w:b/>
                <w:bCs/>
                <w:color w:val="000000"/>
                <w:lang w:eastAsia="en-AU"/>
              </w:rPr>
              <w:t>aseline</w:t>
            </w:r>
          </w:p>
        </w:tc>
        <w:tc>
          <w:tcPr>
            <w:tcW w:w="1020" w:type="dxa"/>
            <w:tcBorders>
              <w:top w:val="single" w:sz="8" w:space="0" w:color="auto"/>
              <w:left w:val="nil"/>
              <w:bottom w:val="single" w:sz="8" w:space="0" w:color="auto"/>
              <w:right w:val="nil"/>
            </w:tcBorders>
            <w:shd w:val="clear" w:color="auto" w:fill="auto"/>
            <w:noWrap/>
            <w:vAlign w:val="bottom"/>
            <w:hideMark/>
          </w:tcPr>
          <w:p w:rsidR="00424656" w:rsidRPr="00424656" w:rsidRDefault="00E86C1D" w:rsidP="00424656">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1</w:t>
            </w:r>
          </w:p>
        </w:tc>
        <w:tc>
          <w:tcPr>
            <w:tcW w:w="10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24656" w:rsidRPr="00424656" w:rsidRDefault="00E86C1D" w:rsidP="00424656">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2</w:t>
            </w:r>
          </w:p>
        </w:tc>
        <w:tc>
          <w:tcPr>
            <w:tcW w:w="1020" w:type="dxa"/>
            <w:tcBorders>
              <w:top w:val="single" w:sz="8" w:space="0" w:color="auto"/>
              <w:left w:val="nil"/>
              <w:bottom w:val="single" w:sz="8" w:space="0" w:color="auto"/>
              <w:right w:val="nil"/>
            </w:tcBorders>
            <w:shd w:val="clear" w:color="auto" w:fill="auto"/>
            <w:noWrap/>
            <w:vAlign w:val="bottom"/>
            <w:hideMark/>
          </w:tcPr>
          <w:p w:rsidR="00424656" w:rsidRPr="00424656" w:rsidRDefault="00E86C1D" w:rsidP="00424656">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3</w:t>
            </w:r>
          </w:p>
        </w:tc>
        <w:tc>
          <w:tcPr>
            <w:tcW w:w="10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24656" w:rsidRPr="00424656" w:rsidRDefault="00E86C1D" w:rsidP="00424656">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4</w:t>
            </w:r>
          </w:p>
        </w:tc>
        <w:tc>
          <w:tcPr>
            <w:tcW w:w="1020" w:type="dxa"/>
            <w:tcBorders>
              <w:top w:val="single" w:sz="8" w:space="0" w:color="auto"/>
              <w:left w:val="nil"/>
              <w:bottom w:val="single" w:sz="8" w:space="0" w:color="auto"/>
              <w:right w:val="single" w:sz="8" w:space="0" w:color="auto"/>
            </w:tcBorders>
            <w:shd w:val="clear" w:color="auto" w:fill="auto"/>
            <w:noWrap/>
            <w:vAlign w:val="bottom"/>
            <w:hideMark/>
          </w:tcPr>
          <w:p w:rsidR="00424656" w:rsidRPr="00424656" w:rsidRDefault="00E86C1D" w:rsidP="00424656">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5</w:t>
            </w:r>
          </w:p>
        </w:tc>
      </w:tr>
      <w:tr w:rsidR="00424656" w:rsidRPr="00424656" w:rsidTr="00424656">
        <w:trPr>
          <w:trHeight w:val="278"/>
        </w:trPr>
        <w:tc>
          <w:tcPr>
            <w:tcW w:w="1020" w:type="dxa"/>
            <w:tcBorders>
              <w:top w:val="nil"/>
              <w:left w:val="single" w:sz="8" w:space="0" w:color="auto"/>
              <w:bottom w:val="single" w:sz="4" w:space="0" w:color="auto"/>
              <w:right w:val="nil"/>
            </w:tcBorders>
            <w:shd w:val="clear" w:color="auto" w:fill="auto"/>
            <w:noWrap/>
            <w:vAlign w:val="bottom"/>
            <w:hideMark/>
          </w:tcPr>
          <w:p w:rsidR="00424656" w:rsidRPr="00424656" w:rsidRDefault="00424656" w:rsidP="00424656">
            <w:pPr>
              <w:spacing w:after="0" w:line="240" w:lineRule="auto"/>
              <w:rPr>
                <w:rFonts w:ascii="Arial" w:eastAsia="Times New Roman" w:hAnsi="Arial" w:cs="Arial"/>
                <w:b/>
                <w:bCs/>
                <w:color w:val="000000"/>
                <w:lang w:eastAsia="en-AU"/>
              </w:rPr>
            </w:pPr>
            <w:r w:rsidRPr="00424656">
              <w:rPr>
                <w:rFonts w:ascii="Arial" w:eastAsia="Times New Roman" w:hAnsi="Arial" w:cs="Arial"/>
                <w:b/>
                <w:bCs/>
                <w:color w:val="000000"/>
                <w:lang w:eastAsia="en-AU"/>
              </w:rPr>
              <w:t>5 years</w:t>
            </w:r>
          </w:p>
        </w:tc>
        <w:tc>
          <w:tcPr>
            <w:tcW w:w="1020" w:type="dxa"/>
            <w:tcBorders>
              <w:top w:val="nil"/>
              <w:left w:val="single" w:sz="8" w:space="0" w:color="auto"/>
              <w:bottom w:val="single" w:sz="4" w:space="0" w:color="auto"/>
              <w:right w:val="single" w:sz="8" w:space="0" w:color="auto"/>
            </w:tcBorders>
            <w:shd w:val="clear" w:color="auto" w:fill="auto"/>
            <w:noWrap/>
            <w:vAlign w:val="bottom"/>
            <w:hideMark/>
          </w:tcPr>
          <w:p w:rsidR="00424656" w:rsidRPr="00424656" w:rsidRDefault="00424656" w:rsidP="00424656">
            <w:pPr>
              <w:spacing w:after="0" w:line="240" w:lineRule="auto"/>
              <w:jc w:val="right"/>
              <w:rPr>
                <w:rFonts w:ascii="Arial" w:eastAsia="Times New Roman" w:hAnsi="Arial" w:cs="Arial"/>
                <w:color w:val="000000"/>
                <w:lang w:eastAsia="en-AU"/>
              </w:rPr>
            </w:pPr>
            <w:r w:rsidRPr="00424656">
              <w:rPr>
                <w:rFonts w:ascii="Arial" w:eastAsia="Times New Roman" w:hAnsi="Arial" w:cs="Arial"/>
                <w:color w:val="000000"/>
                <w:lang w:eastAsia="en-AU"/>
              </w:rPr>
              <w:t>45.5%</w:t>
            </w:r>
          </w:p>
        </w:tc>
        <w:tc>
          <w:tcPr>
            <w:tcW w:w="1020" w:type="dxa"/>
            <w:tcBorders>
              <w:top w:val="nil"/>
              <w:left w:val="nil"/>
              <w:bottom w:val="single" w:sz="4" w:space="0" w:color="auto"/>
              <w:right w:val="nil"/>
            </w:tcBorders>
            <w:shd w:val="clear" w:color="auto" w:fill="auto"/>
            <w:noWrap/>
            <w:vAlign w:val="bottom"/>
            <w:hideMark/>
          </w:tcPr>
          <w:p w:rsidR="00424656" w:rsidRPr="00424656" w:rsidRDefault="00424656" w:rsidP="00424656">
            <w:pPr>
              <w:spacing w:after="0" w:line="240" w:lineRule="auto"/>
              <w:jc w:val="right"/>
              <w:rPr>
                <w:rFonts w:ascii="Arial" w:eastAsia="Times New Roman" w:hAnsi="Arial" w:cs="Arial"/>
                <w:color w:val="000000"/>
                <w:lang w:eastAsia="en-AU"/>
              </w:rPr>
            </w:pPr>
            <w:r w:rsidRPr="00424656">
              <w:rPr>
                <w:rFonts w:ascii="Arial" w:eastAsia="Times New Roman" w:hAnsi="Arial" w:cs="Arial"/>
                <w:color w:val="000000"/>
                <w:lang w:eastAsia="en-AU"/>
              </w:rPr>
              <w:t>40.6%</w:t>
            </w:r>
          </w:p>
        </w:tc>
        <w:tc>
          <w:tcPr>
            <w:tcW w:w="1020" w:type="dxa"/>
            <w:tcBorders>
              <w:top w:val="nil"/>
              <w:left w:val="single" w:sz="8" w:space="0" w:color="auto"/>
              <w:bottom w:val="single" w:sz="4" w:space="0" w:color="auto"/>
              <w:right w:val="single" w:sz="8" w:space="0" w:color="auto"/>
            </w:tcBorders>
            <w:shd w:val="clear" w:color="auto" w:fill="auto"/>
            <w:noWrap/>
            <w:vAlign w:val="bottom"/>
            <w:hideMark/>
          </w:tcPr>
          <w:p w:rsidR="00424656" w:rsidRPr="00424656" w:rsidRDefault="00424656" w:rsidP="00424656">
            <w:pPr>
              <w:spacing w:after="0" w:line="240" w:lineRule="auto"/>
              <w:jc w:val="right"/>
              <w:rPr>
                <w:rFonts w:ascii="Arial" w:eastAsia="Times New Roman" w:hAnsi="Arial" w:cs="Arial"/>
                <w:color w:val="000000"/>
                <w:lang w:eastAsia="en-AU"/>
              </w:rPr>
            </w:pPr>
            <w:r w:rsidRPr="00424656">
              <w:rPr>
                <w:rFonts w:ascii="Arial" w:eastAsia="Times New Roman" w:hAnsi="Arial" w:cs="Arial"/>
                <w:color w:val="000000"/>
                <w:lang w:eastAsia="en-AU"/>
              </w:rPr>
              <w:t>50.0%</w:t>
            </w:r>
          </w:p>
        </w:tc>
        <w:tc>
          <w:tcPr>
            <w:tcW w:w="1020" w:type="dxa"/>
            <w:tcBorders>
              <w:top w:val="nil"/>
              <w:left w:val="nil"/>
              <w:bottom w:val="single" w:sz="4" w:space="0" w:color="auto"/>
              <w:right w:val="nil"/>
            </w:tcBorders>
            <w:shd w:val="clear" w:color="auto" w:fill="auto"/>
            <w:noWrap/>
            <w:vAlign w:val="bottom"/>
            <w:hideMark/>
          </w:tcPr>
          <w:p w:rsidR="00424656" w:rsidRPr="00424656" w:rsidRDefault="00424656" w:rsidP="00424656">
            <w:pPr>
              <w:spacing w:after="0" w:line="240" w:lineRule="auto"/>
              <w:jc w:val="right"/>
              <w:rPr>
                <w:rFonts w:ascii="Arial" w:eastAsia="Times New Roman" w:hAnsi="Arial" w:cs="Arial"/>
                <w:color w:val="000000"/>
                <w:lang w:eastAsia="en-AU"/>
              </w:rPr>
            </w:pPr>
            <w:r w:rsidRPr="00424656">
              <w:rPr>
                <w:rFonts w:ascii="Arial" w:eastAsia="Times New Roman" w:hAnsi="Arial" w:cs="Arial"/>
                <w:color w:val="000000"/>
                <w:lang w:eastAsia="en-AU"/>
              </w:rPr>
              <w:t>54.5%</w:t>
            </w:r>
          </w:p>
        </w:tc>
        <w:tc>
          <w:tcPr>
            <w:tcW w:w="1020" w:type="dxa"/>
            <w:tcBorders>
              <w:top w:val="nil"/>
              <w:left w:val="single" w:sz="8" w:space="0" w:color="auto"/>
              <w:bottom w:val="single" w:sz="4" w:space="0" w:color="auto"/>
              <w:right w:val="single" w:sz="8" w:space="0" w:color="auto"/>
            </w:tcBorders>
            <w:shd w:val="clear" w:color="auto" w:fill="auto"/>
            <w:noWrap/>
            <w:vAlign w:val="bottom"/>
            <w:hideMark/>
          </w:tcPr>
          <w:p w:rsidR="00424656" w:rsidRPr="00424656" w:rsidRDefault="00424656" w:rsidP="00424656">
            <w:pPr>
              <w:spacing w:after="0" w:line="240" w:lineRule="auto"/>
              <w:jc w:val="right"/>
              <w:rPr>
                <w:rFonts w:ascii="Arial" w:eastAsia="Times New Roman" w:hAnsi="Arial" w:cs="Arial"/>
                <w:color w:val="000000"/>
                <w:lang w:eastAsia="en-AU"/>
              </w:rPr>
            </w:pPr>
            <w:r w:rsidRPr="00424656">
              <w:rPr>
                <w:rFonts w:ascii="Arial" w:eastAsia="Times New Roman" w:hAnsi="Arial" w:cs="Arial"/>
                <w:color w:val="000000"/>
                <w:lang w:eastAsia="en-AU"/>
              </w:rPr>
              <w:t>57.6%</w:t>
            </w:r>
          </w:p>
        </w:tc>
        <w:tc>
          <w:tcPr>
            <w:tcW w:w="1020" w:type="dxa"/>
            <w:tcBorders>
              <w:top w:val="nil"/>
              <w:left w:val="nil"/>
              <w:bottom w:val="single" w:sz="4" w:space="0" w:color="auto"/>
              <w:right w:val="single" w:sz="8" w:space="0" w:color="auto"/>
            </w:tcBorders>
            <w:shd w:val="clear" w:color="auto" w:fill="auto"/>
            <w:noWrap/>
            <w:vAlign w:val="bottom"/>
            <w:hideMark/>
          </w:tcPr>
          <w:p w:rsidR="00424656" w:rsidRPr="00424656" w:rsidRDefault="00424656" w:rsidP="00424656">
            <w:pPr>
              <w:spacing w:after="0" w:line="240" w:lineRule="auto"/>
              <w:jc w:val="right"/>
              <w:rPr>
                <w:rFonts w:ascii="Arial" w:eastAsia="Times New Roman" w:hAnsi="Arial" w:cs="Arial"/>
                <w:color w:val="000000"/>
                <w:lang w:eastAsia="en-AU"/>
              </w:rPr>
            </w:pPr>
            <w:r w:rsidRPr="00424656">
              <w:rPr>
                <w:rFonts w:ascii="Arial" w:eastAsia="Times New Roman" w:hAnsi="Arial" w:cs="Arial"/>
                <w:color w:val="000000"/>
                <w:lang w:eastAsia="en-AU"/>
              </w:rPr>
              <w:t>45.5%</w:t>
            </w:r>
          </w:p>
        </w:tc>
      </w:tr>
      <w:tr w:rsidR="00424656" w:rsidRPr="00424656" w:rsidTr="00424656">
        <w:trPr>
          <w:trHeight w:val="278"/>
        </w:trPr>
        <w:tc>
          <w:tcPr>
            <w:tcW w:w="1020" w:type="dxa"/>
            <w:tcBorders>
              <w:top w:val="nil"/>
              <w:left w:val="single" w:sz="8" w:space="0" w:color="auto"/>
              <w:bottom w:val="single" w:sz="4" w:space="0" w:color="auto"/>
              <w:right w:val="nil"/>
            </w:tcBorders>
            <w:shd w:val="clear" w:color="auto" w:fill="auto"/>
            <w:noWrap/>
            <w:vAlign w:val="bottom"/>
            <w:hideMark/>
          </w:tcPr>
          <w:p w:rsidR="00424656" w:rsidRPr="00424656" w:rsidRDefault="00424656" w:rsidP="00424656">
            <w:pPr>
              <w:spacing w:after="0" w:line="240" w:lineRule="auto"/>
              <w:rPr>
                <w:rFonts w:ascii="Arial" w:eastAsia="Times New Roman" w:hAnsi="Arial" w:cs="Arial"/>
                <w:b/>
                <w:bCs/>
                <w:color w:val="000000"/>
                <w:lang w:eastAsia="en-AU"/>
              </w:rPr>
            </w:pPr>
            <w:r w:rsidRPr="00424656">
              <w:rPr>
                <w:rFonts w:ascii="Arial" w:eastAsia="Times New Roman" w:hAnsi="Arial" w:cs="Arial"/>
                <w:b/>
                <w:bCs/>
                <w:color w:val="000000"/>
                <w:lang w:eastAsia="en-AU"/>
              </w:rPr>
              <w:t>4 years</w:t>
            </w:r>
          </w:p>
        </w:tc>
        <w:tc>
          <w:tcPr>
            <w:tcW w:w="1020" w:type="dxa"/>
            <w:tcBorders>
              <w:top w:val="nil"/>
              <w:left w:val="single" w:sz="8" w:space="0" w:color="auto"/>
              <w:bottom w:val="single" w:sz="4" w:space="0" w:color="auto"/>
              <w:right w:val="single" w:sz="8" w:space="0" w:color="auto"/>
            </w:tcBorders>
            <w:shd w:val="clear" w:color="auto" w:fill="auto"/>
            <w:noWrap/>
            <w:vAlign w:val="bottom"/>
            <w:hideMark/>
          </w:tcPr>
          <w:p w:rsidR="00424656" w:rsidRPr="00424656" w:rsidRDefault="00424656" w:rsidP="00424656">
            <w:pPr>
              <w:spacing w:after="0" w:line="240" w:lineRule="auto"/>
              <w:jc w:val="right"/>
              <w:rPr>
                <w:rFonts w:ascii="Arial" w:eastAsia="Times New Roman" w:hAnsi="Arial" w:cs="Arial"/>
                <w:color w:val="000000"/>
                <w:lang w:eastAsia="en-AU"/>
              </w:rPr>
            </w:pPr>
            <w:r w:rsidRPr="00424656">
              <w:rPr>
                <w:rFonts w:ascii="Arial" w:eastAsia="Times New Roman" w:hAnsi="Arial" w:cs="Arial"/>
                <w:color w:val="000000"/>
                <w:lang w:eastAsia="en-AU"/>
              </w:rPr>
              <w:t>45.7%</w:t>
            </w:r>
          </w:p>
        </w:tc>
        <w:tc>
          <w:tcPr>
            <w:tcW w:w="1020" w:type="dxa"/>
            <w:tcBorders>
              <w:top w:val="nil"/>
              <w:left w:val="nil"/>
              <w:bottom w:val="single" w:sz="4" w:space="0" w:color="auto"/>
              <w:right w:val="nil"/>
            </w:tcBorders>
            <w:shd w:val="clear" w:color="auto" w:fill="auto"/>
            <w:noWrap/>
            <w:vAlign w:val="bottom"/>
            <w:hideMark/>
          </w:tcPr>
          <w:p w:rsidR="00424656" w:rsidRPr="00424656" w:rsidRDefault="00424656" w:rsidP="00424656">
            <w:pPr>
              <w:spacing w:after="0" w:line="240" w:lineRule="auto"/>
              <w:jc w:val="right"/>
              <w:rPr>
                <w:rFonts w:ascii="Arial" w:eastAsia="Times New Roman" w:hAnsi="Arial" w:cs="Arial"/>
                <w:color w:val="000000"/>
                <w:lang w:eastAsia="en-AU"/>
              </w:rPr>
            </w:pPr>
            <w:r w:rsidRPr="00424656">
              <w:rPr>
                <w:rFonts w:ascii="Arial" w:eastAsia="Times New Roman" w:hAnsi="Arial" w:cs="Arial"/>
                <w:color w:val="000000"/>
                <w:lang w:eastAsia="en-AU"/>
              </w:rPr>
              <w:t>41.7%</w:t>
            </w:r>
          </w:p>
        </w:tc>
        <w:tc>
          <w:tcPr>
            <w:tcW w:w="1020" w:type="dxa"/>
            <w:tcBorders>
              <w:top w:val="nil"/>
              <w:left w:val="single" w:sz="8" w:space="0" w:color="auto"/>
              <w:bottom w:val="single" w:sz="4" w:space="0" w:color="auto"/>
              <w:right w:val="single" w:sz="8" w:space="0" w:color="auto"/>
            </w:tcBorders>
            <w:shd w:val="clear" w:color="auto" w:fill="auto"/>
            <w:noWrap/>
            <w:vAlign w:val="bottom"/>
            <w:hideMark/>
          </w:tcPr>
          <w:p w:rsidR="00424656" w:rsidRPr="00424656" w:rsidRDefault="00424656" w:rsidP="00424656">
            <w:pPr>
              <w:spacing w:after="0" w:line="240" w:lineRule="auto"/>
              <w:jc w:val="right"/>
              <w:rPr>
                <w:rFonts w:ascii="Arial" w:eastAsia="Times New Roman" w:hAnsi="Arial" w:cs="Arial"/>
                <w:color w:val="000000"/>
                <w:lang w:eastAsia="en-AU"/>
              </w:rPr>
            </w:pPr>
            <w:r w:rsidRPr="00424656">
              <w:rPr>
                <w:rFonts w:ascii="Arial" w:eastAsia="Times New Roman" w:hAnsi="Arial" w:cs="Arial"/>
                <w:color w:val="000000"/>
                <w:lang w:eastAsia="en-AU"/>
              </w:rPr>
              <w:t>43.1%</w:t>
            </w:r>
          </w:p>
        </w:tc>
        <w:tc>
          <w:tcPr>
            <w:tcW w:w="1020" w:type="dxa"/>
            <w:tcBorders>
              <w:top w:val="nil"/>
              <w:left w:val="nil"/>
              <w:bottom w:val="single" w:sz="4" w:space="0" w:color="auto"/>
              <w:right w:val="nil"/>
            </w:tcBorders>
            <w:shd w:val="clear" w:color="auto" w:fill="auto"/>
            <w:noWrap/>
            <w:vAlign w:val="bottom"/>
            <w:hideMark/>
          </w:tcPr>
          <w:p w:rsidR="00424656" w:rsidRPr="00424656" w:rsidRDefault="00424656" w:rsidP="00424656">
            <w:pPr>
              <w:spacing w:after="0" w:line="240" w:lineRule="auto"/>
              <w:jc w:val="right"/>
              <w:rPr>
                <w:rFonts w:ascii="Arial" w:eastAsia="Times New Roman" w:hAnsi="Arial" w:cs="Arial"/>
                <w:color w:val="000000"/>
                <w:lang w:eastAsia="en-AU"/>
              </w:rPr>
            </w:pPr>
            <w:r w:rsidRPr="00424656">
              <w:rPr>
                <w:rFonts w:ascii="Arial" w:eastAsia="Times New Roman" w:hAnsi="Arial" w:cs="Arial"/>
                <w:color w:val="000000"/>
                <w:lang w:eastAsia="en-AU"/>
              </w:rPr>
              <w:t>56.1%</w:t>
            </w:r>
          </w:p>
        </w:tc>
        <w:tc>
          <w:tcPr>
            <w:tcW w:w="1020" w:type="dxa"/>
            <w:tcBorders>
              <w:top w:val="nil"/>
              <w:left w:val="single" w:sz="8" w:space="0" w:color="auto"/>
              <w:bottom w:val="single" w:sz="4" w:space="0" w:color="auto"/>
              <w:right w:val="single" w:sz="8" w:space="0" w:color="auto"/>
            </w:tcBorders>
            <w:shd w:val="clear" w:color="auto" w:fill="auto"/>
            <w:noWrap/>
            <w:vAlign w:val="bottom"/>
            <w:hideMark/>
          </w:tcPr>
          <w:p w:rsidR="00424656" w:rsidRPr="00424656" w:rsidRDefault="00424656" w:rsidP="00424656">
            <w:pPr>
              <w:spacing w:after="0" w:line="240" w:lineRule="auto"/>
              <w:jc w:val="right"/>
              <w:rPr>
                <w:rFonts w:ascii="Arial" w:eastAsia="Times New Roman" w:hAnsi="Arial" w:cs="Arial"/>
                <w:color w:val="000000"/>
                <w:lang w:eastAsia="en-AU"/>
              </w:rPr>
            </w:pPr>
            <w:r w:rsidRPr="00424656">
              <w:rPr>
                <w:rFonts w:ascii="Arial" w:eastAsia="Times New Roman" w:hAnsi="Arial" w:cs="Arial"/>
                <w:color w:val="000000"/>
                <w:lang w:eastAsia="en-AU"/>
              </w:rPr>
              <w:t>50.0%</w:t>
            </w:r>
          </w:p>
        </w:tc>
        <w:tc>
          <w:tcPr>
            <w:tcW w:w="1020" w:type="dxa"/>
            <w:tcBorders>
              <w:top w:val="nil"/>
              <w:left w:val="nil"/>
              <w:bottom w:val="single" w:sz="4" w:space="0" w:color="auto"/>
              <w:right w:val="single" w:sz="8" w:space="0" w:color="auto"/>
            </w:tcBorders>
            <w:shd w:val="clear" w:color="auto" w:fill="auto"/>
            <w:noWrap/>
            <w:vAlign w:val="bottom"/>
            <w:hideMark/>
          </w:tcPr>
          <w:p w:rsidR="00424656" w:rsidRPr="00424656" w:rsidRDefault="00424656" w:rsidP="00424656">
            <w:pPr>
              <w:spacing w:after="0" w:line="240" w:lineRule="auto"/>
              <w:rPr>
                <w:rFonts w:ascii="Arial" w:eastAsia="Times New Roman" w:hAnsi="Arial" w:cs="Arial"/>
                <w:color w:val="000000"/>
                <w:lang w:eastAsia="en-AU"/>
              </w:rPr>
            </w:pPr>
            <w:r w:rsidRPr="00424656">
              <w:rPr>
                <w:rFonts w:ascii="Arial" w:eastAsia="Times New Roman" w:hAnsi="Arial" w:cs="Arial"/>
                <w:color w:val="000000"/>
                <w:lang w:eastAsia="en-AU"/>
              </w:rPr>
              <w:t> </w:t>
            </w:r>
          </w:p>
        </w:tc>
      </w:tr>
      <w:tr w:rsidR="00424656" w:rsidRPr="00424656" w:rsidTr="00424656">
        <w:trPr>
          <w:trHeight w:val="285"/>
        </w:trPr>
        <w:tc>
          <w:tcPr>
            <w:tcW w:w="1020" w:type="dxa"/>
            <w:tcBorders>
              <w:top w:val="nil"/>
              <w:left w:val="single" w:sz="8" w:space="0" w:color="auto"/>
              <w:bottom w:val="single" w:sz="4" w:space="0" w:color="auto"/>
              <w:right w:val="nil"/>
            </w:tcBorders>
            <w:shd w:val="clear" w:color="auto" w:fill="auto"/>
            <w:noWrap/>
            <w:vAlign w:val="bottom"/>
            <w:hideMark/>
          </w:tcPr>
          <w:p w:rsidR="00424656" w:rsidRPr="00424656" w:rsidRDefault="00424656" w:rsidP="00424656">
            <w:pPr>
              <w:spacing w:after="0" w:line="240" w:lineRule="auto"/>
              <w:rPr>
                <w:rFonts w:ascii="Arial" w:eastAsia="Times New Roman" w:hAnsi="Arial" w:cs="Arial"/>
                <w:b/>
                <w:bCs/>
                <w:color w:val="000000"/>
                <w:lang w:eastAsia="en-AU"/>
              </w:rPr>
            </w:pPr>
            <w:r w:rsidRPr="00424656">
              <w:rPr>
                <w:rFonts w:ascii="Arial" w:eastAsia="Times New Roman" w:hAnsi="Arial" w:cs="Arial"/>
                <w:b/>
                <w:bCs/>
                <w:color w:val="000000"/>
                <w:lang w:eastAsia="en-AU"/>
              </w:rPr>
              <w:t>3 years</w:t>
            </w:r>
          </w:p>
        </w:tc>
        <w:tc>
          <w:tcPr>
            <w:tcW w:w="1020" w:type="dxa"/>
            <w:tcBorders>
              <w:top w:val="nil"/>
              <w:left w:val="single" w:sz="8" w:space="0" w:color="auto"/>
              <w:bottom w:val="single" w:sz="4" w:space="0" w:color="auto"/>
              <w:right w:val="single" w:sz="8" w:space="0" w:color="auto"/>
            </w:tcBorders>
            <w:shd w:val="clear" w:color="auto" w:fill="auto"/>
            <w:noWrap/>
            <w:vAlign w:val="bottom"/>
            <w:hideMark/>
          </w:tcPr>
          <w:p w:rsidR="00424656" w:rsidRPr="00424656" w:rsidRDefault="00424656" w:rsidP="00424656">
            <w:pPr>
              <w:spacing w:after="0" w:line="240" w:lineRule="auto"/>
              <w:jc w:val="right"/>
              <w:rPr>
                <w:rFonts w:ascii="Arial" w:eastAsia="Times New Roman" w:hAnsi="Arial" w:cs="Arial"/>
                <w:color w:val="000000"/>
                <w:lang w:eastAsia="en-AU"/>
              </w:rPr>
            </w:pPr>
            <w:r w:rsidRPr="00424656">
              <w:rPr>
                <w:rFonts w:ascii="Arial" w:eastAsia="Times New Roman" w:hAnsi="Arial" w:cs="Arial"/>
                <w:color w:val="000000"/>
                <w:lang w:eastAsia="en-AU"/>
              </w:rPr>
              <w:t>46.1%</w:t>
            </w:r>
          </w:p>
        </w:tc>
        <w:tc>
          <w:tcPr>
            <w:tcW w:w="1020" w:type="dxa"/>
            <w:tcBorders>
              <w:top w:val="nil"/>
              <w:left w:val="nil"/>
              <w:bottom w:val="single" w:sz="4" w:space="0" w:color="auto"/>
              <w:right w:val="nil"/>
            </w:tcBorders>
            <w:shd w:val="clear" w:color="auto" w:fill="auto"/>
            <w:noWrap/>
            <w:vAlign w:val="bottom"/>
            <w:hideMark/>
          </w:tcPr>
          <w:p w:rsidR="00424656" w:rsidRPr="00424656" w:rsidRDefault="00424656" w:rsidP="00424656">
            <w:pPr>
              <w:spacing w:after="0" w:line="240" w:lineRule="auto"/>
              <w:jc w:val="right"/>
              <w:rPr>
                <w:rFonts w:ascii="Arial" w:eastAsia="Times New Roman" w:hAnsi="Arial" w:cs="Arial"/>
                <w:color w:val="000000"/>
                <w:lang w:eastAsia="en-AU"/>
              </w:rPr>
            </w:pPr>
            <w:r w:rsidRPr="00424656">
              <w:rPr>
                <w:rFonts w:ascii="Arial" w:eastAsia="Times New Roman" w:hAnsi="Arial" w:cs="Arial"/>
                <w:color w:val="000000"/>
                <w:lang w:eastAsia="en-AU"/>
              </w:rPr>
              <w:t>52.2%</w:t>
            </w:r>
          </w:p>
        </w:tc>
        <w:tc>
          <w:tcPr>
            <w:tcW w:w="1020" w:type="dxa"/>
            <w:tcBorders>
              <w:top w:val="nil"/>
              <w:left w:val="single" w:sz="8" w:space="0" w:color="auto"/>
              <w:bottom w:val="single" w:sz="4" w:space="0" w:color="auto"/>
              <w:right w:val="single" w:sz="8" w:space="0" w:color="auto"/>
            </w:tcBorders>
            <w:shd w:val="clear" w:color="auto" w:fill="auto"/>
            <w:noWrap/>
            <w:vAlign w:val="bottom"/>
            <w:hideMark/>
          </w:tcPr>
          <w:p w:rsidR="00424656" w:rsidRPr="00424656" w:rsidRDefault="00424656" w:rsidP="00424656">
            <w:pPr>
              <w:spacing w:after="0" w:line="240" w:lineRule="auto"/>
              <w:jc w:val="right"/>
              <w:rPr>
                <w:rFonts w:ascii="Arial" w:eastAsia="Times New Roman" w:hAnsi="Arial" w:cs="Arial"/>
                <w:color w:val="000000"/>
                <w:lang w:eastAsia="en-AU"/>
              </w:rPr>
            </w:pPr>
            <w:r w:rsidRPr="00424656">
              <w:rPr>
                <w:rFonts w:ascii="Arial" w:eastAsia="Times New Roman" w:hAnsi="Arial" w:cs="Arial"/>
                <w:color w:val="000000"/>
                <w:lang w:eastAsia="en-AU"/>
              </w:rPr>
              <w:t>64.0%</w:t>
            </w:r>
          </w:p>
        </w:tc>
        <w:tc>
          <w:tcPr>
            <w:tcW w:w="1020" w:type="dxa"/>
            <w:tcBorders>
              <w:top w:val="nil"/>
              <w:left w:val="nil"/>
              <w:bottom w:val="single" w:sz="4" w:space="0" w:color="auto"/>
              <w:right w:val="nil"/>
            </w:tcBorders>
            <w:shd w:val="clear" w:color="auto" w:fill="auto"/>
            <w:noWrap/>
            <w:vAlign w:val="bottom"/>
            <w:hideMark/>
          </w:tcPr>
          <w:p w:rsidR="00424656" w:rsidRPr="00424656" w:rsidRDefault="00424656" w:rsidP="00424656">
            <w:pPr>
              <w:spacing w:after="0" w:line="240" w:lineRule="auto"/>
              <w:jc w:val="right"/>
              <w:rPr>
                <w:rFonts w:ascii="Arial" w:eastAsia="Times New Roman" w:hAnsi="Arial" w:cs="Arial"/>
                <w:color w:val="000000"/>
                <w:lang w:eastAsia="en-AU"/>
              </w:rPr>
            </w:pPr>
            <w:r w:rsidRPr="00424656">
              <w:rPr>
                <w:rFonts w:ascii="Arial" w:eastAsia="Times New Roman" w:hAnsi="Arial" w:cs="Arial"/>
                <w:color w:val="000000"/>
                <w:lang w:eastAsia="en-AU"/>
              </w:rPr>
              <w:t>60.5%</w:t>
            </w:r>
          </w:p>
        </w:tc>
        <w:tc>
          <w:tcPr>
            <w:tcW w:w="1020" w:type="dxa"/>
            <w:tcBorders>
              <w:top w:val="nil"/>
              <w:left w:val="single" w:sz="8" w:space="0" w:color="auto"/>
              <w:bottom w:val="single" w:sz="4" w:space="0" w:color="auto"/>
              <w:right w:val="single" w:sz="8" w:space="0" w:color="auto"/>
            </w:tcBorders>
            <w:shd w:val="clear" w:color="auto" w:fill="auto"/>
            <w:noWrap/>
            <w:vAlign w:val="bottom"/>
            <w:hideMark/>
          </w:tcPr>
          <w:p w:rsidR="00424656" w:rsidRPr="00424656" w:rsidRDefault="00424656" w:rsidP="00424656">
            <w:pPr>
              <w:spacing w:after="0" w:line="240" w:lineRule="auto"/>
              <w:rPr>
                <w:rFonts w:ascii="Arial" w:eastAsia="Times New Roman" w:hAnsi="Arial" w:cs="Arial"/>
                <w:color w:val="000000"/>
                <w:lang w:eastAsia="en-AU"/>
              </w:rPr>
            </w:pPr>
            <w:r w:rsidRPr="00424656">
              <w:rPr>
                <w:rFonts w:ascii="Arial" w:eastAsia="Times New Roman" w:hAnsi="Arial" w:cs="Arial"/>
                <w:color w:val="000000"/>
                <w:lang w:eastAsia="en-AU"/>
              </w:rPr>
              <w:t> </w:t>
            </w:r>
          </w:p>
        </w:tc>
        <w:tc>
          <w:tcPr>
            <w:tcW w:w="1020" w:type="dxa"/>
            <w:tcBorders>
              <w:top w:val="nil"/>
              <w:left w:val="nil"/>
              <w:bottom w:val="single" w:sz="4" w:space="0" w:color="auto"/>
              <w:right w:val="single" w:sz="8" w:space="0" w:color="auto"/>
            </w:tcBorders>
            <w:shd w:val="clear" w:color="auto" w:fill="auto"/>
            <w:noWrap/>
            <w:vAlign w:val="bottom"/>
            <w:hideMark/>
          </w:tcPr>
          <w:p w:rsidR="00424656" w:rsidRPr="00424656" w:rsidRDefault="00424656" w:rsidP="00424656">
            <w:pPr>
              <w:spacing w:after="0" w:line="240" w:lineRule="auto"/>
              <w:rPr>
                <w:rFonts w:ascii="Arial" w:eastAsia="Times New Roman" w:hAnsi="Arial" w:cs="Arial"/>
                <w:color w:val="000000"/>
                <w:lang w:eastAsia="en-AU"/>
              </w:rPr>
            </w:pPr>
            <w:r w:rsidRPr="00424656">
              <w:rPr>
                <w:rFonts w:ascii="Arial" w:eastAsia="Times New Roman" w:hAnsi="Arial" w:cs="Arial"/>
                <w:color w:val="000000"/>
                <w:lang w:eastAsia="en-AU"/>
              </w:rPr>
              <w:t> </w:t>
            </w:r>
          </w:p>
        </w:tc>
      </w:tr>
      <w:tr w:rsidR="00424656" w:rsidRPr="00424656" w:rsidTr="00424656">
        <w:trPr>
          <w:trHeight w:val="278"/>
        </w:trPr>
        <w:tc>
          <w:tcPr>
            <w:tcW w:w="1020" w:type="dxa"/>
            <w:tcBorders>
              <w:top w:val="nil"/>
              <w:left w:val="single" w:sz="8" w:space="0" w:color="auto"/>
              <w:bottom w:val="single" w:sz="4" w:space="0" w:color="auto"/>
              <w:right w:val="nil"/>
            </w:tcBorders>
            <w:shd w:val="clear" w:color="auto" w:fill="auto"/>
            <w:noWrap/>
            <w:vAlign w:val="bottom"/>
            <w:hideMark/>
          </w:tcPr>
          <w:p w:rsidR="00424656" w:rsidRPr="00424656" w:rsidRDefault="00424656" w:rsidP="00424656">
            <w:pPr>
              <w:spacing w:after="0" w:line="240" w:lineRule="auto"/>
              <w:rPr>
                <w:rFonts w:ascii="Arial" w:eastAsia="Times New Roman" w:hAnsi="Arial" w:cs="Arial"/>
                <w:b/>
                <w:bCs/>
                <w:color w:val="000000"/>
                <w:lang w:eastAsia="en-AU"/>
              </w:rPr>
            </w:pPr>
            <w:r w:rsidRPr="00424656">
              <w:rPr>
                <w:rFonts w:ascii="Arial" w:eastAsia="Times New Roman" w:hAnsi="Arial" w:cs="Arial"/>
                <w:b/>
                <w:bCs/>
                <w:color w:val="000000"/>
                <w:lang w:eastAsia="en-AU"/>
              </w:rPr>
              <w:t>2 years</w:t>
            </w:r>
          </w:p>
        </w:tc>
        <w:tc>
          <w:tcPr>
            <w:tcW w:w="1020" w:type="dxa"/>
            <w:tcBorders>
              <w:top w:val="nil"/>
              <w:left w:val="single" w:sz="8" w:space="0" w:color="auto"/>
              <w:bottom w:val="single" w:sz="4" w:space="0" w:color="auto"/>
              <w:right w:val="single" w:sz="8" w:space="0" w:color="auto"/>
            </w:tcBorders>
            <w:shd w:val="clear" w:color="auto" w:fill="auto"/>
            <w:noWrap/>
            <w:vAlign w:val="bottom"/>
            <w:hideMark/>
          </w:tcPr>
          <w:p w:rsidR="00424656" w:rsidRPr="00424656" w:rsidRDefault="00424656" w:rsidP="00424656">
            <w:pPr>
              <w:spacing w:after="0" w:line="240" w:lineRule="auto"/>
              <w:jc w:val="right"/>
              <w:rPr>
                <w:rFonts w:ascii="Arial" w:eastAsia="Times New Roman" w:hAnsi="Arial" w:cs="Arial"/>
                <w:color w:val="000000"/>
                <w:lang w:eastAsia="en-AU"/>
              </w:rPr>
            </w:pPr>
            <w:r w:rsidRPr="00424656">
              <w:rPr>
                <w:rFonts w:ascii="Arial" w:eastAsia="Times New Roman" w:hAnsi="Arial" w:cs="Arial"/>
                <w:color w:val="000000"/>
                <w:lang w:eastAsia="en-AU"/>
              </w:rPr>
              <w:t>51.8%</w:t>
            </w:r>
          </w:p>
        </w:tc>
        <w:tc>
          <w:tcPr>
            <w:tcW w:w="1020" w:type="dxa"/>
            <w:tcBorders>
              <w:top w:val="nil"/>
              <w:left w:val="nil"/>
              <w:bottom w:val="single" w:sz="4" w:space="0" w:color="auto"/>
              <w:right w:val="nil"/>
            </w:tcBorders>
            <w:shd w:val="clear" w:color="auto" w:fill="auto"/>
            <w:noWrap/>
            <w:vAlign w:val="bottom"/>
            <w:hideMark/>
          </w:tcPr>
          <w:p w:rsidR="00424656" w:rsidRPr="00424656" w:rsidRDefault="00424656" w:rsidP="00424656">
            <w:pPr>
              <w:spacing w:after="0" w:line="240" w:lineRule="auto"/>
              <w:jc w:val="right"/>
              <w:rPr>
                <w:rFonts w:ascii="Arial" w:eastAsia="Times New Roman" w:hAnsi="Arial" w:cs="Arial"/>
                <w:color w:val="000000"/>
                <w:lang w:eastAsia="en-AU"/>
              </w:rPr>
            </w:pPr>
            <w:r w:rsidRPr="00424656">
              <w:rPr>
                <w:rFonts w:ascii="Arial" w:eastAsia="Times New Roman" w:hAnsi="Arial" w:cs="Arial"/>
                <w:color w:val="000000"/>
                <w:lang w:eastAsia="en-AU"/>
              </w:rPr>
              <w:t>60.4%</w:t>
            </w:r>
          </w:p>
        </w:tc>
        <w:tc>
          <w:tcPr>
            <w:tcW w:w="1020" w:type="dxa"/>
            <w:tcBorders>
              <w:top w:val="nil"/>
              <w:left w:val="single" w:sz="8" w:space="0" w:color="auto"/>
              <w:bottom w:val="single" w:sz="4" w:space="0" w:color="auto"/>
              <w:right w:val="single" w:sz="8" w:space="0" w:color="auto"/>
            </w:tcBorders>
            <w:shd w:val="clear" w:color="auto" w:fill="auto"/>
            <w:noWrap/>
            <w:vAlign w:val="bottom"/>
            <w:hideMark/>
          </w:tcPr>
          <w:p w:rsidR="00424656" w:rsidRPr="00424656" w:rsidRDefault="00424656" w:rsidP="00424656">
            <w:pPr>
              <w:spacing w:after="0" w:line="240" w:lineRule="auto"/>
              <w:jc w:val="right"/>
              <w:rPr>
                <w:rFonts w:ascii="Arial" w:eastAsia="Times New Roman" w:hAnsi="Arial" w:cs="Arial"/>
                <w:color w:val="000000"/>
                <w:lang w:eastAsia="en-AU"/>
              </w:rPr>
            </w:pPr>
            <w:r w:rsidRPr="00424656">
              <w:rPr>
                <w:rFonts w:ascii="Arial" w:eastAsia="Times New Roman" w:hAnsi="Arial" w:cs="Arial"/>
                <w:color w:val="000000"/>
                <w:lang w:eastAsia="en-AU"/>
              </w:rPr>
              <w:t>58.8%</w:t>
            </w:r>
          </w:p>
        </w:tc>
        <w:tc>
          <w:tcPr>
            <w:tcW w:w="1020" w:type="dxa"/>
            <w:tcBorders>
              <w:top w:val="nil"/>
              <w:left w:val="nil"/>
              <w:bottom w:val="single" w:sz="4" w:space="0" w:color="auto"/>
              <w:right w:val="nil"/>
            </w:tcBorders>
            <w:shd w:val="clear" w:color="auto" w:fill="auto"/>
            <w:noWrap/>
            <w:vAlign w:val="bottom"/>
            <w:hideMark/>
          </w:tcPr>
          <w:p w:rsidR="00424656" w:rsidRPr="00424656" w:rsidRDefault="00424656" w:rsidP="00424656">
            <w:pPr>
              <w:spacing w:after="0" w:line="240" w:lineRule="auto"/>
              <w:rPr>
                <w:rFonts w:ascii="Arial" w:eastAsia="Times New Roman" w:hAnsi="Arial" w:cs="Arial"/>
                <w:color w:val="000000"/>
                <w:lang w:eastAsia="en-AU"/>
              </w:rPr>
            </w:pPr>
            <w:r w:rsidRPr="00424656">
              <w:rPr>
                <w:rFonts w:ascii="Arial" w:eastAsia="Times New Roman" w:hAnsi="Arial" w:cs="Arial"/>
                <w:color w:val="000000"/>
                <w:lang w:eastAsia="en-AU"/>
              </w:rPr>
              <w:t> </w:t>
            </w:r>
          </w:p>
        </w:tc>
        <w:tc>
          <w:tcPr>
            <w:tcW w:w="1020" w:type="dxa"/>
            <w:tcBorders>
              <w:top w:val="nil"/>
              <w:left w:val="single" w:sz="8" w:space="0" w:color="auto"/>
              <w:bottom w:val="single" w:sz="4" w:space="0" w:color="auto"/>
              <w:right w:val="single" w:sz="8" w:space="0" w:color="auto"/>
            </w:tcBorders>
            <w:shd w:val="clear" w:color="auto" w:fill="auto"/>
            <w:noWrap/>
            <w:vAlign w:val="bottom"/>
            <w:hideMark/>
          </w:tcPr>
          <w:p w:rsidR="00424656" w:rsidRPr="00424656" w:rsidRDefault="00424656" w:rsidP="00424656">
            <w:pPr>
              <w:spacing w:after="0" w:line="240" w:lineRule="auto"/>
              <w:rPr>
                <w:rFonts w:ascii="Arial" w:eastAsia="Times New Roman" w:hAnsi="Arial" w:cs="Arial"/>
                <w:color w:val="000000"/>
                <w:lang w:eastAsia="en-AU"/>
              </w:rPr>
            </w:pPr>
            <w:r w:rsidRPr="00424656">
              <w:rPr>
                <w:rFonts w:ascii="Arial" w:eastAsia="Times New Roman" w:hAnsi="Arial" w:cs="Arial"/>
                <w:color w:val="000000"/>
                <w:lang w:eastAsia="en-AU"/>
              </w:rPr>
              <w:t> </w:t>
            </w:r>
          </w:p>
        </w:tc>
        <w:tc>
          <w:tcPr>
            <w:tcW w:w="1020" w:type="dxa"/>
            <w:tcBorders>
              <w:top w:val="nil"/>
              <w:left w:val="nil"/>
              <w:bottom w:val="single" w:sz="4" w:space="0" w:color="auto"/>
              <w:right w:val="single" w:sz="8" w:space="0" w:color="auto"/>
            </w:tcBorders>
            <w:shd w:val="clear" w:color="auto" w:fill="auto"/>
            <w:noWrap/>
            <w:vAlign w:val="bottom"/>
            <w:hideMark/>
          </w:tcPr>
          <w:p w:rsidR="00424656" w:rsidRPr="00424656" w:rsidRDefault="00424656" w:rsidP="00424656">
            <w:pPr>
              <w:spacing w:after="0" w:line="240" w:lineRule="auto"/>
              <w:rPr>
                <w:rFonts w:ascii="Arial" w:eastAsia="Times New Roman" w:hAnsi="Arial" w:cs="Arial"/>
                <w:color w:val="000000"/>
                <w:lang w:eastAsia="en-AU"/>
              </w:rPr>
            </w:pPr>
            <w:r w:rsidRPr="00424656">
              <w:rPr>
                <w:rFonts w:ascii="Arial" w:eastAsia="Times New Roman" w:hAnsi="Arial" w:cs="Arial"/>
                <w:color w:val="000000"/>
                <w:lang w:eastAsia="en-AU"/>
              </w:rPr>
              <w:t> </w:t>
            </w:r>
          </w:p>
        </w:tc>
      </w:tr>
      <w:tr w:rsidR="00424656" w:rsidRPr="00424656" w:rsidTr="00424656">
        <w:trPr>
          <w:trHeight w:val="285"/>
        </w:trPr>
        <w:tc>
          <w:tcPr>
            <w:tcW w:w="1020" w:type="dxa"/>
            <w:tcBorders>
              <w:top w:val="nil"/>
              <w:left w:val="single" w:sz="8" w:space="0" w:color="auto"/>
              <w:bottom w:val="single" w:sz="8" w:space="0" w:color="auto"/>
              <w:right w:val="nil"/>
            </w:tcBorders>
            <w:shd w:val="clear" w:color="auto" w:fill="auto"/>
            <w:noWrap/>
            <w:vAlign w:val="bottom"/>
            <w:hideMark/>
          </w:tcPr>
          <w:p w:rsidR="00424656" w:rsidRPr="00424656" w:rsidRDefault="00424656" w:rsidP="00424656">
            <w:pPr>
              <w:spacing w:after="0" w:line="240" w:lineRule="auto"/>
              <w:rPr>
                <w:rFonts w:ascii="Arial" w:eastAsia="Times New Roman" w:hAnsi="Arial" w:cs="Arial"/>
                <w:b/>
                <w:bCs/>
                <w:color w:val="000000"/>
                <w:lang w:eastAsia="en-AU"/>
              </w:rPr>
            </w:pPr>
            <w:r w:rsidRPr="00424656">
              <w:rPr>
                <w:rFonts w:ascii="Arial" w:eastAsia="Times New Roman" w:hAnsi="Arial" w:cs="Arial"/>
                <w:b/>
                <w:bCs/>
                <w:color w:val="000000"/>
                <w:lang w:eastAsia="en-AU"/>
              </w:rPr>
              <w:t>1 year</w:t>
            </w:r>
          </w:p>
        </w:tc>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424656" w:rsidRPr="00424656" w:rsidRDefault="00424656" w:rsidP="00424656">
            <w:pPr>
              <w:spacing w:after="0" w:line="240" w:lineRule="auto"/>
              <w:jc w:val="right"/>
              <w:rPr>
                <w:rFonts w:ascii="Arial" w:eastAsia="Times New Roman" w:hAnsi="Arial" w:cs="Arial"/>
                <w:color w:val="000000"/>
                <w:lang w:eastAsia="en-AU"/>
              </w:rPr>
            </w:pPr>
            <w:r w:rsidRPr="00424656">
              <w:rPr>
                <w:rFonts w:ascii="Arial" w:eastAsia="Times New Roman" w:hAnsi="Arial" w:cs="Arial"/>
                <w:color w:val="000000"/>
                <w:lang w:eastAsia="en-AU"/>
              </w:rPr>
              <w:t>54.9%</w:t>
            </w:r>
          </w:p>
        </w:tc>
        <w:tc>
          <w:tcPr>
            <w:tcW w:w="1020" w:type="dxa"/>
            <w:tcBorders>
              <w:top w:val="nil"/>
              <w:left w:val="nil"/>
              <w:bottom w:val="single" w:sz="8" w:space="0" w:color="auto"/>
              <w:right w:val="nil"/>
            </w:tcBorders>
            <w:shd w:val="clear" w:color="auto" w:fill="auto"/>
            <w:noWrap/>
            <w:vAlign w:val="bottom"/>
            <w:hideMark/>
          </w:tcPr>
          <w:p w:rsidR="00424656" w:rsidRPr="00424656" w:rsidRDefault="00424656" w:rsidP="00424656">
            <w:pPr>
              <w:spacing w:after="0" w:line="240" w:lineRule="auto"/>
              <w:jc w:val="right"/>
              <w:rPr>
                <w:rFonts w:ascii="Arial" w:eastAsia="Times New Roman" w:hAnsi="Arial" w:cs="Arial"/>
                <w:color w:val="000000"/>
                <w:lang w:eastAsia="en-AU"/>
              </w:rPr>
            </w:pPr>
            <w:r w:rsidRPr="00424656">
              <w:rPr>
                <w:rFonts w:ascii="Arial" w:eastAsia="Times New Roman" w:hAnsi="Arial" w:cs="Arial"/>
                <w:color w:val="000000"/>
                <w:lang w:eastAsia="en-AU"/>
              </w:rPr>
              <w:t>57.8%</w:t>
            </w:r>
          </w:p>
        </w:tc>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424656" w:rsidRPr="00424656" w:rsidRDefault="00424656" w:rsidP="00424656">
            <w:pPr>
              <w:spacing w:after="0" w:line="240" w:lineRule="auto"/>
              <w:rPr>
                <w:rFonts w:ascii="Arial" w:eastAsia="Times New Roman" w:hAnsi="Arial" w:cs="Arial"/>
                <w:color w:val="000000"/>
                <w:lang w:eastAsia="en-AU"/>
              </w:rPr>
            </w:pPr>
            <w:r w:rsidRPr="00424656">
              <w:rPr>
                <w:rFonts w:ascii="Arial" w:eastAsia="Times New Roman" w:hAnsi="Arial" w:cs="Arial"/>
                <w:color w:val="000000"/>
                <w:lang w:eastAsia="en-AU"/>
              </w:rPr>
              <w:t> </w:t>
            </w:r>
          </w:p>
        </w:tc>
        <w:tc>
          <w:tcPr>
            <w:tcW w:w="1020" w:type="dxa"/>
            <w:tcBorders>
              <w:top w:val="nil"/>
              <w:left w:val="nil"/>
              <w:bottom w:val="single" w:sz="8" w:space="0" w:color="auto"/>
              <w:right w:val="nil"/>
            </w:tcBorders>
            <w:shd w:val="clear" w:color="auto" w:fill="auto"/>
            <w:noWrap/>
            <w:vAlign w:val="bottom"/>
            <w:hideMark/>
          </w:tcPr>
          <w:p w:rsidR="00424656" w:rsidRPr="00424656" w:rsidRDefault="00424656" w:rsidP="00424656">
            <w:pPr>
              <w:spacing w:after="0" w:line="240" w:lineRule="auto"/>
              <w:rPr>
                <w:rFonts w:ascii="Arial" w:eastAsia="Times New Roman" w:hAnsi="Arial" w:cs="Arial"/>
                <w:color w:val="000000"/>
                <w:lang w:eastAsia="en-AU"/>
              </w:rPr>
            </w:pPr>
            <w:r w:rsidRPr="00424656">
              <w:rPr>
                <w:rFonts w:ascii="Arial" w:eastAsia="Times New Roman" w:hAnsi="Arial" w:cs="Arial"/>
                <w:color w:val="000000"/>
                <w:lang w:eastAsia="en-AU"/>
              </w:rPr>
              <w:t> </w:t>
            </w:r>
          </w:p>
        </w:tc>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424656" w:rsidRPr="00424656" w:rsidRDefault="00424656" w:rsidP="00424656">
            <w:pPr>
              <w:spacing w:after="0" w:line="240" w:lineRule="auto"/>
              <w:rPr>
                <w:rFonts w:ascii="Arial" w:eastAsia="Times New Roman" w:hAnsi="Arial" w:cs="Arial"/>
                <w:color w:val="000000"/>
                <w:lang w:eastAsia="en-AU"/>
              </w:rPr>
            </w:pPr>
            <w:r w:rsidRPr="00424656">
              <w:rPr>
                <w:rFonts w:ascii="Arial" w:eastAsia="Times New Roman" w:hAnsi="Arial" w:cs="Arial"/>
                <w:color w:val="000000"/>
                <w:lang w:eastAsia="en-AU"/>
              </w:rPr>
              <w:t> </w:t>
            </w:r>
          </w:p>
        </w:tc>
        <w:tc>
          <w:tcPr>
            <w:tcW w:w="1020" w:type="dxa"/>
            <w:tcBorders>
              <w:top w:val="nil"/>
              <w:left w:val="nil"/>
              <w:bottom w:val="single" w:sz="8" w:space="0" w:color="auto"/>
              <w:right w:val="single" w:sz="8" w:space="0" w:color="auto"/>
            </w:tcBorders>
            <w:shd w:val="clear" w:color="auto" w:fill="auto"/>
            <w:noWrap/>
            <w:vAlign w:val="bottom"/>
            <w:hideMark/>
          </w:tcPr>
          <w:p w:rsidR="00424656" w:rsidRPr="00424656" w:rsidRDefault="00424656" w:rsidP="00424656">
            <w:pPr>
              <w:spacing w:after="0" w:line="240" w:lineRule="auto"/>
              <w:rPr>
                <w:rFonts w:ascii="Arial" w:eastAsia="Times New Roman" w:hAnsi="Arial" w:cs="Arial"/>
                <w:color w:val="000000"/>
                <w:lang w:eastAsia="en-AU"/>
              </w:rPr>
            </w:pPr>
            <w:r w:rsidRPr="00424656">
              <w:rPr>
                <w:rFonts w:ascii="Arial" w:eastAsia="Times New Roman" w:hAnsi="Arial" w:cs="Arial"/>
                <w:color w:val="000000"/>
                <w:lang w:eastAsia="en-AU"/>
              </w:rPr>
              <w:t> </w:t>
            </w:r>
          </w:p>
        </w:tc>
      </w:tr>
    </w:tbl>
    <w:p w:rsidR="00424656" w:rsidRDefault="00424656" w:rsidP="009B2609"/>
    <w:p w:rsidR="0009618A" w:rsidRDefault="0009618A" w:rsidP="0009618A">
      <w:pPr>
        <w:pStyle w:val="Heading2"/>
      </w:pPr>
      <w:bookmarkStart w:id="35" w:name="_Toc121151412"/>
      <w:r>
        <w:t>Slide 30: Participants aged 0 to 14</w:t>
      </w:r>
      <w:bookmarkEnd w:id="35"/>
    </w:p>
    <w:p w:rsidR="0009618A" w:rsidRDefault="0009618A" w:rsidP="0009618A">
      <w:pPr>
        <w:pStyle w:val="Heading5"/>
      </w:pPr>
      <w:r>
        <w:t>Relationships</w:t>
      </w:r>
    </w:p>
    <w:p w:rsidR="0009618A" w:rsidRPr="0009618A" w:rsidRDefault="0009618A" w:rsidP="0009618A">
      <w:pPr>
        <w:pStyle w:val="Heading5"/>
      </w:pPr>
      <w:r>
        <w:t>Friendships</w:t>
      </w:r>
    </w:p>
    <w:p w:rsidR="0009618A" w:rsidRPr="0009618A" w:rsidRDefault="0009618A" w:rsidP="0009618A">
      <w:pPr>
        <w:pStyle w:val="Heading5"/>
        <w:rPr>
          <w:i/>
        </w:rPr>
      </w:pPr>
      <w:r w:rsidRPr="0009618A">
        <w:rPr>
          <w:i/>
        </w:rPr>
        <w:t>My child can make friends with people outside the family</w:t>
      </w:r>
    </w:p>
    <w:p w:rsidR="0009618A" w:rsidRDefault="0009618A" w:rsidP="0009618A">
      <w:r>
        <w:t>There is an increasing trend in the percentage of children who make friends with people outside the family for cohorts 1, 2 and 3, with the largest increase at first review (between 2.1 and 3.2 percentage points).</w:t>
      </w:r>
    </w:p>
    <w:p w:rsidR="0009618A" w:rsidRDefault="0009618A" w:rsidP="0009618A">
      <w:r>
        <w:t>There are some differences by age group for all cohorts (except cohort 5):</w:t>
      </w:r>
    </w:p>
    <w:p w:rsidR="0009618A" w:rsidRDefault="0009618A" w:rsidP="00B83265">
      <w:pPr>
        <w:pStyle w:val="ListParagraph"/>
        <w:numPr>
          <w:ilvl w:val="0"/>
          <w:numId w:val="22"/>
        </w:numPr>
      </w:pPr>
      <w:r>
        <w:t>The 0-S/S-14 age group (for most cohorts and review periods) has the highest percentage of children who can make friends with people outside the family - 76.7% at review 1 (cohort 1). For those in the Scheme for three years, there was an increase of 5.9 percentage points from 61.7% to 67.6%. Larger increases are seen at first review for cohorts 2 and 3 in this age group (cohort 1 also shows a large increase over one year).</w:t>
      </w:r>
    </w:p>
    <w:p w:rsidR="0009618A" w:rsidRDefault="0009618A" w:rsidP="00B83265">
      <w:pPr>
        <w:pStyle w:val="ListParagraph"/>
        <w:numPr>
          <w:ilvl w:val="0"/>
          <w:numId w:val="22"/>
        </w:numPr>
      </w:pPr>
      <w:r>
        <w:t>The largest improvement over time is associated with the 0-S age group, with an increase of 17.0 percentage points for cohort 4 from 51.4% (baseline) to 68.4% (fourth review). There is a similar change for cohort 3.</w:t>
      </w:r>
    </w:p>
    <w:p w:rsidR="0009618A" w:rsidRDefault="0009618A" w:rsidP="0009618A">
      <w:pPr>
        <w:pStyle w:val="ListParagraph"/>
        <w:numPr>
          <w:ilvl w:val="0"/>
          <w:numId w:val="22"/>
        </w:numPr>
      </w:pPr>
      <w:r>
        <w:t>The S-14 age group has a slight declining trend in cohorts 3, 4 and 5.</w:t>
      </w:r>
    </w:p>
    <w:p w:rsidR="0009618A" w:rsidRDefault="00583200" w:rsidP="0009618A">
      <w:r>
        <w:t>Combined group, by time in Scheme:</w:t>
      </w:r>
    </w:p>
    <w:tbl>
      <w:tblPr>
        <w:tblW w:w="9540" w:type="dxa"/>
        <w:tblLook w:val="04A0" w:firstRow="1" w:lastRow="0" w:firstColumn="1" w:lastColumn="0" w:noHBand="0" w:noVBand="1"/>
      </w:tblPr>
      <w:tblGrid>
        <w:gridCol w:w="1833"/>
        <w:gridCol w:w="1447"/>
        <w:gridCol w:w="1660"/>
        <w:gridCol w:w="1280"/>
        <w:gridCol w:w="1660"/>
        <w:gridCol w:w="1660"/>
      </w:tblGrid>
      <w:tr w:rsidR="0009618A" w:rsidRPr="0009618A" w:rsidTr="006C6779">
        <w:trPr>
          <w:trHeight w:val="278"/>
        </w:trPr>
        <w:tc>
          <w:tcPr>
            <w:tcW w:w="1833" w:type="dxa"/>
            <w:tcBorders>
              <w:top w:val="single" w:sz="8" w:space="0" w:color="auto"/>
              <w:left w:val="single" w:sz="8" w:space="0" w:color="auto"/>
              <w:bottom w:val="single" w:sz="8" w:space="0" w:color="auto"/>
              <w:right w:val="nil"/>
            </w:tcBorders>
            <w:shd w:val="clear" w:color="auto" w:fill="auto"/>
            <w:noWrap/>
            <w:vAlign w:val="bottom"/>
            <w:hideMark/>
          </w:tcPr>
          <w:p w:rsidR="0009618A" w:rsidRPr="0009618A" w:rsidRDefault="006C6779" w:rsidP="006C6779">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lastRenderedPageBreak/>
              <w:t>Cohort</w:t>
            </w:r>
          </w:p>
        </w:tc>
        <w:tc>
          <w:tcPr>
            <w:tcW w:w="14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9618A" w:rsidRPr="0009618A" w:rsidRDefault="006C6779" w:rsidP="006C6779">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Time poin</w:t>
            </w:r>
            <w:r w:rsidR="0009618A" w:rsidRPr="0009618A">
              <w:rPr>
                <w:rFonts w:ascii="Arial" w:eastAsia="Times New Roman" w:hAnsi="Arial" w:cs="Arial"/>
                <w:color w:val="000000"/>
                <w:lang w:eastAsia="en-AU"/>
              </w:rPr>
              <w:t>t</w:t>
            </w:r>
          </w:p>
        </w:tc>
        <w:tc>
          <w:tcPr>
            <w:tcW w:w="1660" w:type="dxa"/>
            <w:tcBorders>
              <w:top w:val="single" w:sz="8" w:space="0" w:color="auto"/>
              <w:left w:val="nil"/>
              <w:bottom w:val="single" w:sz="8" w:space="0" w:color="auto"/>
              <w:right w:val="nil"/>
            </w:tcBorders>
            <w:shd w:val="clear" w:color="auto" w:fill="auto"/>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All</w:t>
            </w:r>
          </w:p>
        </w:tc>
        <w:tc>
          <w:tcPr>
            <w:tcW w:w="12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0-S</w:t>
            </w:r>
          </w:p>
        </w:tc>
        <w:tc>
          <w:tcPr>
            <w:tcW w:w="1660" w:type="dxa"/>
            <w:tcBorders>
              <w:top w:val="single" w:sz="8" w:space="0" w:color="auto"/>
              <w:left w:val="nil"/>
              <w:bottom w:val="single" w:sz="8" w:space="0" w:color="auto"/>
              <w:right w:val="nil"/>
            </w:tcBorders>
            <w:shd w:val="clear" w:color="auto" w:fill="auto"/>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0-S/S-14</w:t>
            </w:r>
          </w:p>
        </w:tc>
        <w:tc>
          <w:tcPr>
            <w:tcW w:w="16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S-14</w:t>
            </w:r>
          </w:p>
        </w:tc>
      </w:tr>
      <w:tr w:rsidR="0009618A" w:rsidRPr="0009618A" w:rsidTr="006C6779">
        <w:trPr>
          <w:trHeight w:val="270"/>
        </w:trPr>
        <w:tc>
          <w:tcPr>
            <w:tcW w:w="1833" w:type="dxa"/>
            <w:tcBorders>
              <w:top w:val="nil"/>
              <w:left w:val="single" w:sz="8" w:space="0" w:color="auto"/>
              <w:bottom w:val="single" w:sz="4" w:space="0" w:color="auto"/>
              <w:right w:val="single" w:sz="8" w:space="0" w:color="auto"/>
            </w:tcBorders>
            <w:shd w:val="clear" w:color="000000" w:fill="D3C5D7"/>
            <w:noWrap/>
            <w:vAlign w:val="center"/>
            <w:hideMark/>
          </w:tcPr>
          <w:p w:rsidR="0009618A" w:rsidRPr="0009618A" w:rsidRDefault="0009618A" w:rsidP="006C6779">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5 Years</w:t>
            </w:r>
          </w:p>
        </w:tc>
        <w:tc>
          <w:tcPr>
            <w:tcW w:w="1447" w:type="dxa"/>
            <w:tcBorders>
              <w:top w:val="nil"/>
              <w:left w:val="nil"/>
              <w:bottom w:val="single" w:sz="4" w:space="0" w:color="auto"/>
              <w:right w:val="single" w:sz="8" w:space="0" w:color="auto"/>
            </w:tcBorders>
            <w:shd w:val="clear" w:color="000000" w:fill="D3C5D7"/>
            <w:noWrap/>
            <w:vAlign w:val="bottom"/>
            <w:hideMark/>
          </w:tcPr>
          <w:p w:rsidR="0009618A" w:rsidRPr="0009618A" w:rsidRDefault="0009618A" w:rsidP="006C6779">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B</w:t>
            </w:r>
          </w:p>
        </w:tc>
        <w:tc>
          <w:tcPr>
            <w:tcW w:w="1660" w:type="dxa"/>
            <w:tcBorders>
              <w:top w:val="nil"/>
              <w:left w:val="nil"/>
              <w:bottom w:val="single" w:sz="4" w:space="0" w:color="auto"/>
              <w:right w:val="nil"/>
            </w:tcBorders>
            <w:shd w:val="clear" w:color="000000" w:fill="D3C5D7"/>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61.1%</w:t>
            </w:r>
          </w:p>
        </w:tc>
        <w:tc>
          <w:tcPr>
            <w:tcW w:w="1280" w:type="dxa"/>
            <w:tcBorders>
              <w:top w:val="nil"/>
              <w:left w:val="single" w:sz="8" w:space="0" w:color="auto"/>
              <w:bottom w:val="single" w:sz="4" w:space="0" w:color="auto"/>
              <w:right w:val="single" w:sz="8" w:space="0" w:color="auto"/>
            </w:tcBorders>
            <w:shd w:val="clear" w:color="000000" w:fill="D3C5D7"/>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 </w:t>
            </w:r>
          </w:p>
        </w:tc>
        <w:tc>
          <w:tcPr>
            <w:tcW w:w="1660" w:type="dxa"/>
            <w:tcBorders>
              <w:top w:val="nil"/>
              <w:left w:val="nil"/>
              <w:bottom w:val="single" w:sz="4" w:space="0" w:color="auto"/>
              <w:right w:val="nil"/>
            </w:tcBorders>
            <w:shd w:val="clear" w:color="000000" w:fill="D3C5D7"/>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61.8%</w:t>
            </w:r>
          </w:p>
        </w:tc>
        <w:tc>
          <w:tcPr>
            <w:tcW w:w="1660" w:type="dxa"/>
            <w:tcBorders>
              <w:top w:val="nil"/>
              <w:left w:val="single" w:sz="8" w:space="0" w:color="auto"/>
              <w:bottom w:val="single" w:sz="4" w:space="0" w:color="auto"/>
              <w:right w:val="single" w:sz="8" w:space="0" w:color="auto"/>
            </w:tcBorders>
            <w:shd w:val="clear" w:color="000000" w:fill="D3C5D7"/>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60.7%</w:t>
            </w:r>
          </w:p>
        </w:tc>
      </w:tr>
      <w:tr w:rsidR="0009618A" w:rsidRPr="0009618A" w:rsidTr="006C6779">
        <w:trPr>
          <w:trHeight w:val="270"/>
        </w:trPr>
        <w:tc>
          <w:tcPr>
            <w:tcW w:w="1833" w:type="dxa"/>
            <w:tcBorders>
              <w:top w:val="single" w:sz="4" w:space="0" w:color="auto"/>
              <w:left w:val="single" w:sz="4" w:space="0" w:color="auto"/>
              <w:bottom w:val="single" w:sz="4" w:space="0" w:color="auto"/>
              <w:right w:val="single" w:sz="4" w:space="0" w:color="auto"/>
            </w:tcBorders>
            <w:shd w:val="clear" w:color="000000" w:fill="D3C5D7"/>
            <w:noWrap/>
            <w:vAlign w:val="center"/>
            <w:hideMark/>
          </w:tcPr>
          <w:p w:rsidR="0009618A" w:rsidRPr="0009618A" w:rsidRDefault="006C6779" w:rsidP="006C6779">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5 Years</w:t>
            </w:r>
          </w:p>
        </w:tc>
        <w:tc>
          <w:tcPr>
            <w:tcW w:w="1447" w:type="dxa"/>
            <w:tcBorders>
              <w:top w:val="nil"/>
              <w:left w:val="single" w:sz="4" w:space="0" w:color="auto"/>
              <w:bottom w:val="single" w:sz="4" w:space="0" w:color="auto"/>
              <w:right w:val="single" w:sz="8" w:space="0" w:color="auto"/>
            </w:tcBorders>
            <w:shd w:val="clear" w:color="000000" w:fill="D3C5D7"/>
            <w:noWrap/>
            <w:vAlign w:val="bottom"/>
            <w:hideMark/>
          </w:tcPr>
          <w:p w:rsidR="0009618A" w:rsidRPr="0009618A" w:rsidRDefault="0009618A" w:rsidP="006C6779">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R1</w:t>
            </w:r>
          </w:p>
        </w:tc>
        <w:tc>
          <w:tcPr>
            <w:tcW w:w="1660" w:type="dxa"/>
            <w:tcBorders>
              <w:top w:val="nil"/>
              <w:left w:val="nil"/>
              <w:bottom w:val="single" w:sz="4" w:space="0" w:color="auto"/>
              <w:right w:val="nil"/>
            </w:tcBorders>
            <w:shd w:val="clear" w:color="000000" w:fill="D3C5D7"/>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61.9%</w:t>
            </w:r>
          </w:p>
        </w:tc>
        <w:tc>
          <w:tcPr>
            <w:tcW w:w="1280" w:type="dxa"/>
            <w:tcBorders>
              <w:top w:val="nil"/>
              <w:left w:val="single" w:sz="8" w:space="0" w:color="auto"/>
              <w:bottom w:val="single" w:sz="4" w:space="0" w:color="auto"/>
              <w:right w:val="single" w:sz="8" w:space="0" w:color="auto"/>
            </w:tcBorders>
            <w:shd w:val="clear" w:color="000000" w:fill="D3C5D7"/>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 </w:t>
            </w:r>
          </w:p>
        </w:tc>
        <w:tc>
          <w:tcPr>
            <w:tcW w:w="1660" w:type="dxa"/>
            <w:tcBorders>
              <w:top w:val="nil"/>
              <w:left w:val="nil"/>
              <w:bottom w:val="single" w:sz="4" w:space="0" w:color="auto"/>
              <w:right w:val="nil"/>
            </w:tcBorders>
            <w:shd w:val="clear" w:color="000000" w:fill="D3C5D7"/>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63.4%</w:t>
            </w:r>
          </w:p>
        </w:tc>
        <w:tc>
          <w:tcPr>
            <w:tcW w:w="1660" w:type="dxa"/>
            <w:tcBorders>
              <w:top w:val="nil"/>
              <w:left w:val="single" w:sz="8" w:space="0" w:color="auto"/>
              <w:bottom w:val="single" w:sz="4" w:space="0" w:color="auto"/>
              <w:right w:val="single" w:sz="8" w:space="0" w:color="auto"/>
            </w:tcBorders>
            <w:shd w:val="clear" w:color="000000" w:fill="D3C5D7"/>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60.3%</w:t>
            </w:r>
          </w:p>
        </w:tc>
      </w:tr>
      <w:tr w:rsidR="0009618A" w:rsidRPr="0009618A" w:rsidTr="006C6779">
        <w:trPr>
          <w:trHeight w:val="270"/>
        </w:trPr>
        <w:tc>
          <w:tcPr>
            <w:tcW w:w="1833" w:type="dxa"/>
            <w:tcBorders>
              <w:top w:val="single" w:sz="4" w:space="0" w:color="auto"/>
              <w:left w:val="single" w:sz="4" w:space="0" w:color="auto"/>
              <w:bottom w:val="single" w:sz="4" w:space="0" w:color="auto"/>
              <w:right w:val="single" w:sz="4" w:space="0" w:color="auto"/>
            </w:tcBorders>
            <w:shd w:val="clear" w:color="000000" w:fill="D3C5D7"/>
            <w:noWrap/>
            <w:vAlign w:val="center"/>
            <w:hideMark/>
          </w:tcPr>
          <w:p w:rsidR="0009618A" w:rsidRPr="0009618A" w:rsidRDefault="006C6779" w:rsidP="006C6779">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5 Years</w:t>
            </w:r>
          </w:p>
        </w:tc>
        <w:tc>
          <w:tcPr>
            <w:tcW w:w="1447" w:type="dxa"/>
            <w:tcBorders>
              <w:top w:val="nil"/>
              <w:left w:val="single" w:sz="4" w:space="0" w:color="auto"/>
              <w:bottom w:val="single" w:sz="4" w:space="0" w:color="auto"/>
              <w:right w:val="single" w:sz="8" w:space="0" w:color="auto"/>
            </w:tcBorders>
            <w:shd w:val="clear" w:color="000000" w:fill="D3C5D7"/>
            <w:noWrap/>
            <w:vAlign w:val="bottom"/>
            <w:hideMark/>
          </w:tcPr>
          <w:p w:rsidR="0009618A" w:rsidRPr="0009618A" w:rsidRDefault="0009618A" w:rsidP="006C6779">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R2</w:t>
            </w:r>
          </w:p>
        </w:tc>
        <w:tc>
          <w:tcPr>
            <w:tcW w:w="1660" w:type="dxa"/>
            <w:tcBorders>
              <w:top w:val="nil"/>
              <w:left w:val="nil"/>
              <w:bottom w:val="single" w:sz="4" w:space="0" w:color="auto"/>
              <w:right w:val="nil"/>
            </w:tcBorders>
            <w:shd w:val="clear" w:color="000000" w:fill="D3C5D7"/>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62.0%</w:t>
            </w:r>
          </w:p>
        </w:tc>
        <w:tc>
          <w:tcPr>
            <w:tcW w:w="1280" w:type="dxa"/>
            <w:tcBorders>
              <w:top w:val="nil"/>
              <w:left w:val="single" w:sz="8" w:space="0" w:color="auto"/>
              <w:bottom w:val="single" w:sz="4" w:space="0" w:color="auto"/>
              <w:right w:val="single" w:sz="8" w:space="0" w:color="auto"/>
            </w:tcBorders>
            <w:shd w:val="clear" w:color="000000" w:fill="D3C5D7"/>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 </w:t>
            </w:r>
          </w:p>
        </w:tc>
        <w:tc>
          <w:tcPr>
            <w:tcW w:w="1660" w:type="dxa"/>
            <w:tcBorders>
              <w:top w:val="nil"/>
              <w:left w:val="nil"/>
              <w:bottom w:val="single" w:sz="4" w:space="0" w:color="auto"/>
              <w:right w:val="nil"/>
            </w:tcBorders>
            <w:shd w:val="clear" w:color="000000" w:fill="D3C5D7"/>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63.8%</w:t>
            </w:r>
          </w:p>
        </w:tc>
        <w:tc>
          <w:tcPr>
            <w:tcW w:w="1660" w:type="dxa"/>
            <w:tcBorders>
              <w:top w:val="nil"/>
              <w:left w:val="single" w:sz="8" w:space="0" w:color="auto"/>
              <w:bottom w:val="single" w:sz="4" w:space="0" w:color="auto"/>
              <w:right w:val="single" w:sz="8" w:space="0" w:color="auto"/>
            </w:tcBorders>
            <w:shd w:val="clear" w:color="000000" w:fill="D3C5D7"/>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60.1%</w:t>
            </w:r>
          </w:p>
        </w:tc>
      </w:tr>
      <w:tr w:rsidR="0009618A" w:rsidRPr="0009618A" w:rsidTr="006C6779">
        <w:trPr>
          <w:trHeight w:val="270"/>
        </w:trPr>
        <w:tc>
          <w:tcPr>
            <w:tcW w:w="1833" w:type="dxa"/>
            <w:tcBorders>
              <w:top w:val="single" w:sz="4" w:space="0" w:color="auto"/>
              <w:left w:val="single" w:sz="4" w:space="0" w:color="auto"/>
              <w:bottom w:val="single" w:sz="4" w:space="0" w:color="auto"/>
              <w:right w:val="single" w:sz="4" w:space="0" w:color="auto"/>
            </w:tcBorders>
            <w:shd w:val="clear" w:color="000000" w:fill="D3C5D7"/>
            <w:noWrap/>
            <w:vAlign w:val="center"/>
            <w:hideMark/>
          </w:tcPr>
          <w:p w:rsidR="0009618A" w:rsidRPr="0009618A" w:rsidRDefault="006C6779" w:rsidP="006C6779">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5 Years</w:t>
            </w:r>
          </w:p>
        </w:tc>
        <w:tc>
          <w:tcPr>
            <w:tcW w:w="1447" w:type="dxa"/>
            <w:tcBorders>
              <w:top w:val="nil"/>
              <w:left w:val="single" w:sz="4" w:space="0" w:color="auto"/>
              <w:bottom w:val="single" w:sz="4" w:space="0" w:color="auto"/>
              <w:right w:val="single" w:sz="8" w:space="0" w:color="auto"/>
            </w:tcBorders>
            <w:shd w:val="clear" w:color="000000" w:fill="D3C5D7"/>
            <w:noWrap/>
            <w:vAlign w:val="bottom"/>
            <w:hideMark/>
          </w:tcPr>
          <w:p w:rsidR="0009618A" w:rsidRPr="0009618A" w:rsidRDefault="0009618A" w:rsidP="006C6779">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R3</w:t>
            </w:r>
          </w:p>
        </w:tc>
        <w:tc>
          <w:tcPr>
            <w:tcW w:w="1660" w:type="dxa"/>
            <w:tcBorders>
              <w:top w:val="nil"/>
              <w:left w:val="nil"/>
              <w:bottom w:val="single" w:sz="4" w:space="0" w:color="auto"/>
              <w:right w:val="nil"/>
            </w:tcBorders>
            <w:shd w:val="clear" w:color="000000" w:fill="D3C5D7"/>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61.0%</w:t>
            </w:r>
          </w:p>
        </w:tc>
        <w:tc>
          <w:tcPr>
            <w:tcW w:w="1280" w:type="dxa"/>
            <w:tcBorders>
              <w:top w:val="nil"/>
              <w:left w:val="single" w:sz="8" w:space="0" w:color="auto"/>
              <w:bottom w:val="single" w:sz="4" w:space="0" w:color="auto"/>
              <w:right w:val="single" w:sz="8" w:space="0" w:color="auto"/>
            </w:tcBorders>
            <w:shd w:val="clear" w:color="000000" w:fill="D3C5D7"/>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 </w:t>
            </w:r>
          </w:p>
        </w:tc>
        <w:tc>
          <w:tcPr>
            <w:tcW w:w="1660" w:type="dxa"/>
            <w:tcBorders>
              <w:top w:val="nil"/>
              <w:left w:val="nil"/>
              <w:bottom w:val="single" w:sz="4" w:space="0" w:color="auto"/>
              <w:right w:val="nil"/>
            </w:tcBorders>
            <w:shd w:val="clear" w:color="000000" w:fill="D3C5D7"/>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63.4%</w:t>
            </w:r>
          </w:p>
        </w:tc>
        <w:tc>
          <w:tcPr>
            <w:tcW w:w="1660" w:type="dxa"/>
            <w:tcBorders>
              <w:top w:val="nil"/>
              <w:left w:val="single" w:sz="8" w:space="0" w:color="auto"/>
              <w:bottom w:val="single" w:sz="4" w:space="0" w:color="auto"/>
              <w:right w:val="single" w:sz="8" w:space="0" w:color="auto"/>
            </w:tcBorders>
            <w:shd w:val="clear" w:color="000000" w:fill="D3C5D7"/>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58.4%</w:t>
            </w:r>
          </w:p>
        </w:tc>
      </w:tr>
      <w:tr w:rsidR="0009618A" w:rsidRPr="0009618A" w:rsidTr="006C6779">
        <w:trPr>
          <w:trHeight w:val="270"/>
        </w:trPr>
        <w:tc>
          <w:tcPr>
            <w:tcW w:w="1833" w:type="dxa"/>
            <w:tcBorders>
              <w:top w:val="single" w:sz="4" w:space="0" w:color="auto"/>
              <w:left w:val="single" w:sz="4" w:space="0" w:color="auto"/>
              <w:bottom w:val="single" w:sz="4" w:space="0" w:color="auto"/>
              <w:right w:val="single" w:sz="4" w:space="0" w:color="auto"/>
            </w:tcBorders>
            <w:shd w:val="clear" w:color="000000" w:fill="D3C5D7"/>
            <w:noWrap/>
            <w:vAlign w:val="center"/>
            <w:hideMark/>
          </w:tcPr>
          <w:p w:rsidR="0009618A" w:rsidRPr="0009618A" w:rsidRDefault="006C6779" w:rsidP="006C6779">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5 Years</w:t>
            </w:r>
          </w:p>
        </w:tc>
        <w:tc>
          <w:tcPr>
            <w:tcW w:w="1447" w:type="dxa"/>
            <w:tcBorders>
              <w:top w:val="nil"/>
              <w:left w:val="single" w:sz="4" w:space="0" w:color="auto"/>
              <w:bottom w:val="single" w:sz="4" w:space="0" w:color="auto"/>
              <w:right w:val="single" w:sz="8" w:space="0" w:color="auto"/>
            </w:tcBorders>
            <w:shd w:val="clear" w:color="000000" w:fill="D3C5D7"/>
            <w:noWrap/>
            <w:vAlign w:val="bottom"/>
            <w:hideMark/>
          </w:tcPr>
          <w:p w:rsidR="0009618A" w:rsidRPr="0009618A" w:rsidRDefault="0009618A" w:rsidP="006C6779">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R4</w:t>
            </w:r>
          </w:p>
        </w:tc>
        <w:tc>
          <w:tcPr>
            <w:tcW w:w="1660" w:type="dxa"/>
            <w:tcBorders>
              <w:top w:val="nil"/>
              <w:left w:val="nil"/>
              <w:bottom w:val="single" w:sz="4" w:space="0" w:color="auto"/>
              <w:right w:val="nil"/>
            </w:tcBorders>
            <w:shd w:val="clear" w:color="000000" w:fill="D3C5D7"/>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61.2%</w:t>
            </w:r>
          </w:p>
        </w:tc>
        <w:tc>
          <w:tcPr>
            <w:tcW w:w="1280" w:type="dxa"/>
            <w:tcBorders>
              <w:top w:val="nil"/>
              <w:left w:val="single" w:sz="8" w:space="0" w:color="auto"/>
              <w:bottom w:val="single" w:sz="4" w:space="0" w:color="auto"/>
              <w:right w:val="single" w:sz="8" w:space="0" w:color="auto"/>
            </w:tcBorders>
            <w:shd w:val="clear" w:color="000000" w:fill="D3C5D7"/>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 </w:t>
            </w:r>
          </w:p>
        </w:tc>
        <w:tc>
          <w:tcPr>
            <w:tcW w:w="1660" w:type="dxa"/>
            <w:tcBorders>
              <w:top w:val="nil"/>
              <w:left w:val="nil"/>
              <w:bottom w:val="single" w:sz="4" w:space="0" w:color="auto"/>
              <w:right w:val="nil"/>
            </w:tcBorders>
            <w:shd w:val="clear" w:color="000000" w:fill="D3C5D7"/>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63.0%</w:t>
            </w:r>
          </w:p>
        </w:tc>
        <w:tc>
          <w:tcPr>
            <w:tcW w:w="1660" w:type="dxa"/>
            <w:tcBorders>
              <w:top w:val="nil"/>
              <w:left w:val="single" w:sz="8" w:space="0" w:color="auto"/>
              <w:bottom w:val="single" w:sz="4" w:space="0" w:color="auto"/>
              <w:right w:val="single" w:sz="8" w:space="0" w:color="auto"/>
            </w:tcBorders>
            <w:shd w:val="clear" w:color="000000" w:fill="D3C5D7"/>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58.9%</w:t>
            </w:r>
          </w:p>
        </w:tc>
      </w:tr>
      <w:tr w:rsidR="0009618A" w:rsidRPr="0009618A" w:rsidTr="006C6779">
        <w:trPr>
          <w:trHeight w:val="278"/>
        </w:trPr>
        <w:tc>
          <w:tcPr>
            <w:tcW w:w="1833" w:type="dxa"/>
            <w:tcBorders>
              <w:top w:val="single" w:sz="4" w:space="0" w:color="auto"/>
              <w:left w:val="single" w:sz="8" w:space="0" w:color="auto"/>
              <w:bottom w:val="single" w:sz="8" w:space="0" w:color="auto"/>
              <w:right w:val="single" w:sz="8" w:space="0" w:color="auto"/>
            </w:tcBorders>
            <w:shd w:val="clear" w:color="000000" w:fill="D3C5D7"/>
            <w:noWrap/>
            <w:vAlign w:val="center"/>
            <w:hideMark/>
          </w:tcPr>
          <w:p w:rsidR="0009618A" w:rsidRPr="0009618A" w:rsidRDefault="006C6779" w:rsidP="006C6779">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5 Years</w:t>
            </w:r>
          </w:p>
        </w:tc>
        <w:tc>
          <w:tcPr>
            <w:tcW w:w="1447" w:type="dxa"/>
            <w:tcBorders>
              <w:top w:val="nil"/>
              <w:left w:val="nil"/>
              <w:bottom w:val="single" w:sz="8" w:space="0" w:color="auto"/>
              <w:right w:val="single" w:sz="8" w:space="0" w:color="auto"/>
            </w:tcBorders>
            <w:shd w:val="clear" w:color="000000" w:fill="D3C5D7"/>
            <w:noWrap/>
            <w:vAlign w:val="bottom"/>
            <w:hideMark/>
          </w:tcPr>
          <w:p w:rsidR="0009618A" w:rsidRPr="0009618A" w:rsidRDefault="0009618A" w:rsidP="006C6779">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R5</w:t>
            </w:r>
          </w:p>
        </w:tc>
        <w:tc>
          <w:tcPr>
            <w:tcW w:w="1660" w:type="dxa"/>
            <w:tcBorders>
              <w:top w:val="nil"/>
              <w:left w:val="nil"/>
              <w:bottom w:val="single" w:sz="8" w:space="0" w:color="auto"/>
              <w:right w:val="nil"/>
            </w:tcBorders>
            <w:shd w:val="clear" w:color="000000" w:fill="D3C5D7"/>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60.6%</w:t>
            </w:r>
          </w:p>
        </w:tc>
        <w:tc>
          <w:tcPr>
            <w:tcW w:w="1280" w:type="dxa"/>
            <w:tcBorders>
              <w:top w:val="nil"/>
              <w:left w:val="single" w:sz="8" w:space="0" w:color="auto"/>
              <w:bottom w:val="single" w:sz="8" w:space="0" w:color="auto"/>
              <w:right w:val="single" w:sz="8" w:space="0" w:color="auto"/>
            </w:tcBorders>
            <w:shd w:val="clear" w:color="000000" w:fill="D3C5D7"/>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 </w:t>
            </w:r>
          </w:p>
        </w:tc>
        <w:tc>
          <w:tcPr>
            <w:tcW w:w="1660" w:type="dxa"/>
            <w:tcBorders>
              <w:top w:val="nil"/>
              <w:left w:val="nil"/>
              <w:bottom w:val="single" w:sz="8" w:space="0" w:color="auto"/>
              <w:right w:val="nil"/>
            </w:tcBorders>
            <w:shd w:val="clear" w:color="000000" w:fill="D3C5D7"/>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62.0%</w:t>
            </w:r>
          </w:p>
        </w:tc>
        <w:tc>
          <w:tcPr>
            <w:tcW w:w="1660" w:type="dxa"/>
            <w:tcBorders>
              <w:top w:val="nil"/>
              <w:left w:val="single" w:sz="8" w:space="0" w:color="auto"/>
              <w:bottom w:val="single" w:sz="8" w:space="0" w:color="auto"/>
              <w:right w:val="single" w:sz="8" w:space="0" w:color="auto"/>
            </w:tcBorders>
            <w:shd w:val="clear" w:color="000000" w:fill="D3C5D7"/>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58.9%</w:t>
            </w:r>
          </w:p>
        </w:tc>
      </w:tr>
      <w:tr w:rsidR="0009618A" w:rsidRPr="0009618A" w:rsidTr="006C6779">
        <w:trPr>
          <w:trHeight w:val="270"/>
        </w:trPr>
        <w:tc>
          <w:tcPr>
            <w:tcW w:w="1833" w:type="dxa"/>
            <w:tcBorders>
              <w:top w:val="nil"/>
              <w:left w:val="single" w:sz="8" w:space="0" w:color="auto"/>
              <w:bottom w:val="single" w:sz="4" w:space="0" w:color="auto"/>
              <w:right w:val="single" w:sz="8" w:space="0" w:color="auto"/>
            </w:tcBorders>
            <w:shd w:val="clear" w:color="000000" w:fill="E3EED3"/>
            <w:noWrap/>
            <w:vAlign w:val="center"/>
            <w:hideMark/>
          </w:tcPr>
          <w:p w:rsidR="0009618A" w:rsidRPr="006C6779" w:rsidRDefault="0009618A" w:rsidP="006C6779">
            <w:pPr>
              <w:spacing w:after="0" w:line="240" w:lineRule="auto"/>
              <w:jc w:val="center"/>
              <w:rPr>
                <w:rFonts w:ascii="Arial" w:eastAsia="Times New Roman" w:hAnsi="Arial" w:cs="Arial"/>
                <w:color w:val="000000"/>
                <w:lang w:eastAsia="en-AU"/>
              </w:rPr>
            </w:pPr>
            <w:r w:rsidRPr="006C6779">
              <w:rPr>
                <w:rFonts w:ascii="Arial" w:eastAsia="Times New Roman" w:hAnsi="Arial" w:cs="Arial"/>
                <w:color w:val="000000"/>
                <w:lang w:eastAsia="en-AU"/>
              </w:rPr>
              <w:t>4 Years</w:t>
            </w:r>
          </w:p>
        </w:tc>
        <w:tc>
          <w:tcPr>
            <w:tcW w:w="1447" w:type="dxa"/>
            <w:tcBorders>
              <w:top w:val="nil"/>
              <w:left w:val="nil"/>
              <w:bottom w:val="single" w:sz="4" w:space="0" w:color="auto"/>
              <w:right w:val="single" w:sz="8" w:space="0" w:color="auto"/>
            </w:tcBorders>
            <w:shd w:val="clear" w:color="000000" w:fill="E3EED3"/>
            <w:noWrap/>
            <w:vAlign w:val="bottom"/>
            <w:hideMark/>
          </w:tcPr>
          <w:p w:rsidR="0009618A" w:rsidRPr="0009618A" w:rsidRDefault="0009618A" w:rsidP="006C6779">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B</w:t>
            </w:r>
          </w:p>
        </w:tc>
        <w:tc>
          <w:tcPr>
            <w:tcW w:w="1660" w:type="dxa"/>
            <w:tcBorders>
              <w:top w:val="nil"/>
              <w:left w:val="nil"/>
              <w:bottom w:val="single" w:sz="4" w:space="0" w:color="auto"/>
              <w:right w:val="nil"/>
            </w:tcBorders>
            <w:shd w:val="clear" w:color="000000" w:fill="E3EED3"/>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62.5%</w:t>
            </w:r>
          </w:p>
        </w:tc>
        <w:tc>
          <w:tcPr>
            <w:tcW w:w="1280" w:type="dxa"/>
            <w:tcBorders>
              <w:top w:val="nil"/>
              <w:left w:val="single" w:sz="8" w:space="0" w:color="auto"/>
              <w:bottom w:val="single" w:sz="4" w:space="0" w:color="auto"/>
              <w:right w:val="single" w:sz="8" w:space="0" w:color="auto"/>
            </w:tcBorders>
            <w:shd w:val="clear" w:color="000000" w:fill="E3EED3"/>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51.4%</w:t>
            </w:r>
          </w:p>
        </w:tc>
        <w:tc>
          <w:tcPr>
            <w:tcW w:w="1660" w:type="dxa"/>
            <w:tcBorders>
              <w:top w:val="nil"/>
              <w:left w:val="nil"/>
              <w:bottom w:val="single" w:sz="4" w:space="0" w:color="auto"/>
              <w:right w:val="nil"/>
            </w:tcBorders>
            <w:shd w:val="clear" w:color="000000" w:fill="E3EED3"/>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61.9%</w:t>
            </w:r>
          </w:p>
        </w:tc>
        <w:tc>
          <w:tcPr>
            <w:tcW w:w="1660" w:type="dxa"/>
            <w:tcBorders>
              <w:top w:val="nil"/>
              <w:left w:val="single" w:sz="8" w:space="0" w:color="auto"/>
              <w:bottom w:val="single" w:sz="4" w:space="0" w:color="auto"/>
              <w:right w:val="single" w:sz="8" w:space="0" w:color="auto"/>
            </w:tcBorders>
            <w:shd w:val="clear" w:color="000000" w:fill="E3EED3"/>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63.6%</w:t>
            </w:r>
          </w:p>
        </w:tc>
      </w:tr>
      <w:tr w:rsidR="0009618A" w:rsidRPr="0009618A" w:rsidTr="006C6779">
        <w:trPr>
          <w:trHeight w:val="270"/>
        </w:trPr>
        <w:tc>
          <w:tcPr>
            <w:tcW w:w="1833" w:type="dxa"/>
            <w:tcBorders>
              <w:top w:val="single" w:sz="4" w:space="0" w:color="auto"/>
              <w:left w:val="single" w:sz="4" w:space="0" w:color="auto"/>
              <w:bottom w:val="single" w:sz="4" w:space="0" w:color="auto"/>
              <w:right w:val="single" w:sz="4" w:space="0" w:color="auto"/>
            </w:tcBorders>
            <w:shd w:val="clear" w:color="000000" w:fill="E3EED3"/>
            <w:noWrap/>
            <w:vAlign w:val="center"/>
            <w:hideMark/>
          </w:tcPr>
          <w:p w:rsidR="0009618A" w:rsidRPr="006C6779" w:rsidRDefault="006C6779" w:rsidP="006C6779">
            <w:pPr>
              <w:spacing w:after="0" w:line="240" w:lineRule="auto"/>
              <w:jc w:val="center"/>
              <w:rPr>
                <w:rFonts w:ascii="Arial" w:eastAsia="Times New Roman" w:hAnsi="Arial" w:cs="Arial"/>
                <w:color w:val="000000"/>
                <w:lang w:eastAsia="en-AU"/>
              </w:rPr>
            </w:pPr>
            <w:r w:rsidRPr="006C6779">
              <w:rPr>
                <w:rFonts w:ascii="Arial" w:eastAsia="Times New Roman" w:hAnsi="Arial" w:cs="Arial"/>
                <w:color w:val="000000"/>
                <w:lang w:eastAsia="en-AU"/>
              </w:rPr>
              <w:t>4 Years</w:t>
            </w:r>
          </w:p>
        </w:tc>
        <w:tc>
          <w:tcPr>
            <w:tcW w:w="1447" w:type="dxa"/>
            <w:tcBorders>
              <w:top w:val="nil"/>
              <w:left w:val="single" w:sz="4" w:space="0" w:color="auto"/>
              <w:bottom w:val="single" w:sz="4" w:space="0" w:color="auto"/>
              <w:right w:val="single" w:sz="8" w:space="0" w:color="auto"/>
            </w:tcBorders>
            <w:shd w:val="clear" w:color="000000" w:fill="E3EED3"/>
            <w:noWrap/>
            <w:vAlign w:val="bottom"/>
            <w:hideMark/>
          </w:tcPr>
          <w:p w:rsidR="0009618A" w:rsidRPr="0009618A" w:rsidRDefault="0009618A" w:rsidP="006C6779">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R1</w:t>
            </w:r>
          </w:p>
        </w:tc>
        <w:tc>
          <w:tcPr>
            <w:tcW w:w="1660" w:type="dxa"/>
            <w:tcBorders>
              <w:top w:val="nil"/>
              <w:left w:val="nil"/>
              <w:bottom w:val="single" w:sz="4" w:space="0" w:color="auto"/>
              <w:right w:val="nil"/>
            </w:tcBorders>
            <w:shd w:val="clear" w:color="000000" w:fill="E3EED3"/>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63.4%</w:t>
            </w:r>
          </w:p>
        </w:tc>
        <w:tc>
          <w:tcPr>
            <w:tcW w:w="1280" w:type="dxa"/>
            <w:tcBorders>
              <w:top w:val="nil"/>
              <w:left w:val="single" w:sz="8" w:space="0" w:color="auto"/>
              <w:bottom w:val="single" w:sz="4" w:space="0" w:color="auto"/>
              <w:right w:val="single" w:sz="8" w:space="0" w:color="auto"/>
            </w:tcBorders>
            <w:shd w:val="clear" w:color="000000" w:fill="E3EED3"/>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60.9%</w:t>
            </w:r>
          </w:p>
        </w:tc>
        <w:tc>
          <w:tcPr>
            <w:tcW w:w="1660" w:type="dxa"/>
            <w:tcBorders>
              <w:top w:val="nil"/>
              <w:left w:val="nil"/>
              <w:bottom w:val="single" w:sz="4" w:space="0" w:color="auto"/>
              <w:right w:val="nil"/>
            </w:tcBorders>
            <w:shd w:val="clear" w:color="000000" w:fill="E3EED3"/>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63.9%</w:t>
            </w:r>
          </w:p>
        </w:tc>
        <w:tc>
          <w:tcPr>
            <w:tcW w:w="1660" w:type="dxa"/>
            <w:tcBorders>
              <w:top w:val="nil"/>
              <w:left w:val="single" w:sz="8" w:space="0" w:color="auto"/>
              <w:bottom w:val="single" w:sz="4" w:space="0" w:color="auto"/>
              <w:right w:val="single" w:sz="8" w:space="0" w:color="auto"/>
            </w:tcBorders>
            <w:shd w:val="clear" w:color="000000" w:fill="E3EED3"/>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63.0%</w:t>
            </w:r>
          </w:p>
        </w:tc>
      </w:tr>
      <w:tr w:rsidR="0009618A" w:rsidRPr="0009618A" w:rsidTr="006C6779">
        <w:trPr>
          <w:trHeight w:val="270"/>
        </w:trPr>
        <w:tc>
          <w:tcPr>
            <w:tcW w:w="1833" w:type="dxa"/>
            <w:tcBorders>
              <w:top w:val="single" w:sz="4" w:space="0" w:color="auto"/>
              <w:left w:val="single" w:sz="4" w:space="0" w:color="auto"/>
              <w:bottom w:val="single" w:sz="4" w:space="0" w:color="auto"/>
              <w:right w:val="single" w:sz="4" w:space="0" w:color="auto"/>
            </w:tcBorders>
            <w:shd w:val="clear" w:color="000000" w:fill="E3EED3"/>
            <w:noWrap/>
            <w:vAlign w:val="center"/>
            <w:hideMark/>
          </w:tcPr>
          <w:p w:rsidR="0009618A" w:rsidRPr="006C6779" w:rsidRDefault="006C6779" w:rsidP="006C6779">
            <w:pPr>
              <w:spacing w:after="0" w:line="240" w:lineRule="auto"/>
              <w:jc w:val="center"/>
              <w:rPr>
                <w:rFonts w:ascii="Arial" w:eastAsia="Times New Roman" w:hAnsi="Arial" w:cs="Arial"/>
                <w:color w:val="000000"/>
                <w:lang w:eastAsia="en-AU"/>
              </w:rPr>
            </w:pPr>
            <w:r w:rsidRPr="006C6779">
              <w:rPr>
                <w:rFonts w:ascii="Arial" w:eastAsia="Times New Roman" w:hAnsi="Arial" w:cs="Arial"/>
                <w:color w:val="000000"/>
                <w:lang w:eastAsia="en-AU"/>
              </w:rPr>
              <w:t>4 Years</w:t>
            </w:r>
          </w:p>
        </w:tc>
        <w:tc>
          <w:tcPr>
            <w:tcW w:w="1447" w:type="dxa"/>
            <w:tcBorders>
              <w:top w:val="nil"/>
              <w:left w:val="single" w:sz="4" w:space="0" w:color="auto"/>
              <w:bottom w:val="single" w:sz="4" w:space="0" w:color="auto"/>
              <w:right w:val="single" w:sz="8" w:space="0" w:color="auto"/>
            </w:tcBorders>
            <w:shd w:val="clear" w:color="000000" w:fill="E3EED3"/>
            <w:noWrap/>
            <w:vAlign w:val="bottom"/>
            <w:hideMark/>
          </w:tcPr>
          <w:p w:rsidR="0009618A" w:rsidRPr="0009618A" w:rsidRDefault="0009618A" w:rsidP="006C6779">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R2</w:t>
            </w:r>
          </w:p>
        </w:tc>
        <w:tc>
          <w:tcPr>
            <w:tcW w:w="1660" w:type="dxa"/>
            <w:tcBorders>
              <w:top w:val="nil"/>
              <w:left w:val="nil"/>
              <w:bottom w:val="single" w:sz="4" w:space="0" w:color="auto"/>
              <w:right w:val="nil"/>
            </w:tcBorders>
            <w:shd w:val="clear" w:color="000000" w:fill="E3EED3"/>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64.6%</w:t>
            </w:r>
          </w:p>
        </w:tc>
        <w:tc>
          <w:tcPr>
            <w:tcW w:w="1280" w:type="dxa"/>
            <w:tcBorders>
              <w:top w:val="nil"/>
              <w:left w:val="single" w:sz="8" w:space="0" w:color="auto"/>
              <w:bottom w:val="single" w:sz="4" w:space="0" w:color="auto"/>
              <w:right w:val="single" w:sz="8" w:space="0" w:color="auto"/>
            </w:tcBorders>
            <w:shd w:val="clear" w:color="000000" w:fill="E3EED3"/>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64.6%</w:t>
            </w:r>
          </w:p>
        </w:tc>
        <w:tc>
          <w:tcPr>
            <w:tcW w:w="1660" w:type="dxa"/>
            <w:tcBorders>
              <w:top w:val="nil"/>
              <w:left w:val="nil"/>
              <w:bottom w:val="single" w:sz="4" w:space="0" w:color="auto"/>
              <w:right w:val="nil"/>
            </w:tcBorders>
            <w:shd w:val="clear" w:color="000000" w:fill="E3EED3"/>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66.9%</w:t>
            </w:r>
          </w:p>
        </w:tc>
        <w:tc>
          <w:tcPr>
            <w:tcW w:w="1660" w:type="dxa"/>
            <w:tcBorders>
              <w:top w:val="nil"/>
              <w:left w:val="single" w:sz="8" w:space="0" w:color="auto"/>
              <w:bottom w:val="single" w:sz="4" w:space="0" w:color="auto"/>
              <w:right w:val="single" w:sz="8" w:space="0" w:color="auto"/>
            </w:tcBorders>
            <w:shd w:val="clear" w:color="000000" w:fill="E3EED3"/>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62.4%</w:t>
            </w:r>
          </w:p>
        </w:tc>
      </w:tr>
      <w:tr w:rsidR="0009618A" w:rsidRPr="0009618A" w:rsidTr="006C6779">
        <w:trPr>
          <w:trHeight w:val="270"/>
        </w:trPr>
        <w:tc>
          <w:tcPr>
            <w:tcW w:w="1833" w:type="dxa"/>
            <w:tcBorders>
              <w:top w:val="single" w:sz="4" w:space="0" w:color="auto"/>
              <w:left w:val="single" w:sz="4" w:space="0" w:color="auto"/>
              <w:bottom w:val="single" w:sz="4" w:space="0" w:color="auto"/>
              <w:right w:val="single" w:sz="4" w:space="0" w:color="auto"/>
            </w:tcBorders>
            <w:shd w:val="clear" w:color="000000" w:fill="E3EED3"/>
            <w:noWrap/>
            <w:vAlign w:val="center"/>
            <w:hideMark/>
          </w:tcPr>
          <w:p w:rsidR="0009618A" w:rsidRPr="006C6779" w:rsidRDefault="006C6779" w:rsidP="006C6779">
            <w:pPr>
              <w:spacing w:after="0" w:line="240" w:lineRule="auto"/>
              <w:jc w:val="center"/>
              <w:rPr>
                <w:rFonts w:ascii="Arial" w:eastAsia="Times New Roman" w:hAnsi="Arial" w:cs="Arial"/>
                <w:color w:val="000000"/>
                <w:lang w:eastAsia="en-AU"/>
              </w:rPr>
            </w:pPr>
            <w:r w:rsidRPr="006C6779">
              <w:rPr>
                <w:rFonts w:ascii="Arial" w:eastAsia="Times New Roman" w:hAnsi="Arial" w:cs="Arial"/>
                <w:color w:val="000000"/>
                <w:lang w:eastAsia="en-AU"/>
              </w:rPr>
              <w:t>4 Years</w:t>
            </w:r>
          </w:p>
        </w:tc>
        <w:tc>
          <w:tcPr>
            <w:tcW w:w="1447" w:type="dxa"/>
            <w:tcBorders>
              <w:top w:val="nil"/>
              <w:left w:val="single" w:sz="4" w:space="0" w:color="auto"/>
              <w:bottom w:val="single" w:sz="4" w:space="0" w:color="auto"/>
              <w:right w:val="single" w:sz="8" w:space="0" w:color="auto"/>
            </w:tcBorders>
            <w:shd w:val="clear" w:color="000000" w:fill="E3EED3"/>
            <w:noWrap/>
            <w:vAlign w:val="bottom"/>
            <w:hideMark/>
          </w:tcPr>
          <w:p w:rsidR="0009618A" w:rsidRPr="0009618A" w:rsidRDefault="0009618A" w:rsidP="006C6779">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R3</w:t>
            </w:r>
          </w:p>
        </w:tc>
        <w:tc>
          <w:tcPr>
            <w:tcW w:w="1660" w:type="dxa"/>
            <w:tcBorders>
              <w:top w:val="nil"/>
              <w:left w:val="nil"/>
              <w:bottom w:val="single" w:sz="4" w:space="0" w:color="auto"/>
              <w:right w:val="nil"/>
            </w:tcBorders>
            <w:shd w:val="clear" w:color="000000" w:fill="E3EED3"/>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65.3%</w:t>
            </w:r>
          </w:p>
        </w:tc>
        <w:tc>
          <w:tcPr>
            <w:tcW w:w="1280" w:type="dxa"/>
            <w:tcBorders>
              <w:top w:val="nil"/>
              <w:left w:val="single" w:sz="8" w:space="0" w:color="auto"/>
              <w:bottom w:val="single" w:sz="4" w:space="0" w:color="auto"/>
              <w:right w:val="single" w:sz="8" w:space="0" w:color="auto"/>
            </w:tcBorders>
            <w:shd w:val="clear" w:color="000000" w:fill="E3EED3"/>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66.3%</w:t>
            </w:r>
          </w:p>
        </w:tc>
        <w:tc>
          <w:tcPr>
            <w:tcW w:w="1660" w:type="dxa"/>
            <w:tcBorders>
              <w:top w:val="nil"/>
              <w:left w:val="nil"/>
              <w:bottom w:val="single" w:sz="4" w:space="0" w:color="auto"/>
              <w:right w:val="nil"/>
            </w:tcBorders>
            <w:shd w:val="clear" w:color="000000" w:fill="E3EED3"/>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67.4%</w:t>
            </w:r>
          </w:p>
        </w:tc>
        <w:tc>
          <w:tcPr>
            <w:tcW w:w="1660" w:type="dxa"/>
            <w:tcBorders>
              <w:top w:val="nil"/>
              <w:left w:val="single" w:sz="8" w:space="0" w:color="auto"/>
              <w:bottom w:val="single" w:sz="4" w:space="0" w:color="auto"/>
              <w:right w:val="single" w:sz="8" w:space="0" w:color="auto"/>
            </w:tcBorders>
            <w:shd w:val="clear" w:color="000000" w:fill="E3EED3"/>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63.2%</w:t>
            </w:r>
          </w:p>
        </w:tc>
      </w:tr>
      <w:tr w:rsidR="0009618A" w:rsidRPr="0009618A" w:rsidTr="006C6779">
        <w:trPr>
          <w:trHeight w:val="278"/>
        </w:trPr>
        <w:tc>
          <w:tcPr>
            <w:tcW w:w="1833" w:type="dxa"/>
            <w:tcBorders>
              <w:top w:val="single" w:sz="4" w:space="0" w:color="auto"/>
              <w:left w:val="single" w:sz="8" w:space="0" w:color="auto"/>
              <w:bottom w:val="single" w:sz="8" w:space="0" w:color="auto"/>
              <w:right w:val="single" w:sz="8" w:space="0" w:color="auto"/>
            </w:tcBorders>
            <w:shd w:val="clear" w:color="000000" w:fill="E3EED3"/>
            <w:noWrap/>
            <w:vAlign w:val="center"/>
            <w:hideMark/>
          </w:tcPr>
          <w:p w:rsidR="0009618A" w:rsidRPr="006C6779" w:rsidRDefault="006C6779" w:rsidP="006C6779">
            <w:pPr>
              <w:spacing w:after="0" w:line="240" w:lineRule="auto"/>
              <w:jc w:val="center"/>
              <w:rPr>
                <w:rFonts w:ascii="Arial" w:eastAsia="Times New Roman" w:hAnsi="Arial" w:cs="Arial"/>
                <w:color w:val="000000"/>
                <w:lang w:eastAsia="en-AU"/>
              </w:rPr>
            </w:pPr>
            <w:r w:rsidRPr="006C6779">
              <w:rPr>
                <w:rFonts w:ascii="Arial" w:eastAsia="Times New Roman" w:hAnsi="Arial" w:cs="Arial"/>
                <w:color w:val="000000"/>
                <w:lang w:eastAsia="en-AU"/>
              </w:rPr>
              <w:t>4 Years</w:t>
            </w:r>
          </w:p>
        </w:tc>
        <w:tc>
          <w:tcPr>
            <w:tcW w:w="1447" w:type="dxa"/>
            <w:tcBorders>
              <w:top w:val="nil"/>
              <w:left w:val="nil"/>
              <w:bottom w:val="single" w:sz="8" w:space="0" w:color="auto"/>
              <w:right w:val="single" w:sz="8" w:space="0" w:color="auto"/>
            </w:tcBorders>
            <w:shd w:val="clear" w:color="000000" w:fill="E3EED3"/>
            <w:noWrap/>
            <w:vAlign w:val="bottom"/>
            <w:hideMark/>
          </w:tcPr>
          <w:p w:rsidR="0009618A" w:rsidRPr="0009618A" w:rsidRDefault="0009618A" w:rsidP="006C6779">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R4</w:t>
            </w:r>
          </w:p>
        </w:tc>
        <w:tc>
          <w:tcPr>
            <w:tcW w:w="1660" w:type="dxa"/>
            <w:tcBorders>
              <w:top w:val="nil"/>
              <w:left w:val="nil"/>
              <w:bottom w:val="single" w:sz="8" w:space="0" w:color="auto"/>
              <w:right w:val="nil"/>
            </w:tcBorders>
            <w:shd w:val="clear" w:color="000000" w:fill="E3EED3"/>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64.0%</w:t>
            </w:r>
          </w:p>
        </w:tc>
        <w:tc>
          <w:tcPr>
            <w:tcW w:w="1280" w:type="dxa"/>
            <w:tcBorders>
              <w:top w:val="nil"/>
              <w:left w:val="single" w:sz="8" w:space="0" w:color="auto"/>
              <w:bottom w:val="single" w:sz="8" w:space="0" w:color="auto"/>
              <w:right w:val="single" w:sz="8" w:space="0" w:color="auto"/>
            </w:tcBorders>
            <w:shd w:val="clear" w:color="000000" w:fill="E3EED3"/>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68.4%</w:t>
            </w:r>
          </w:p>
        </w:tc>
        <w:tc>
          <w:tcPr>
            <w:tcW w:w="1660" w:type="dxa"/>
            <w:tcBorders>
              <w:top w:val="nil"/>
              <w:left w:val="nil"/>
              <w:bottom w:val="single" w:sz="8" w:space="0" w:color="auto"/>
              <w:right w:val="nil"/>
            </w:tcBorders>
            <w:shd w:val="clear" w:color="000000" w:fill="E3EED3"/>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65.8%</w:t>
            </w:r>
          </w:p>
        </w:tc>
        <w:tc>
          <w:tcPr>
            <w:tcW w:w="1660" w:type="dxa"/>
            <w:tcBorders>
              <w:top w:val="nil"/>
              <w:left w:val="single" w:sz="8" w:space="0" w:color="auto"/>
              <w:bottom w:val="single" w:sz="8" w:space="0" w:color="auto"/>
              <w:right w:val="single" w:sz="8" w:space="0" w:color="auto"/>
            </w:tcBorders>
            <w:shd w:val="clear" w:color="000000" w:fill="E3EED3"/>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62.1%</w:t>
            </w:r>
          </w:p>
        </w:tc>
      </w:tr>
      <w:tr w:rsidR="0009618A" w:rsidRPr="0009618A" w:rsidTr="006C6779">
        <w:trPr>
          <w:trHeight w:val="270"/>
        </w:trPr>
        <w:tc>
          <w:tcPr>
            <w:tcW w:w="1833" w:type="dxa"/>
            <w:tcBorders>
              <w:top w:val="nil"/>
              <w:left w:val="single" w:sz="8" w:space="0" w:color="auto"/>
              <w:bottom w:val="single" w:sz="4" w:space="0" w:color="auto"/>
              <w:right w:val="single" w:sz="8" w:space="0" w:color="auto"/>
            </w:tcBorders>
            <w:shd w:val="clear" w:color="000000" w:fill="FFE9CC"/>
            <w:noWrap/>
            <w:vAlign w:val="center"/>
            <w:hideMark/>
          </w:tcPr>
          <w:p w:rsidR="0009618A" w:rsidRPr="0009618A" w:rsidRDefault="0009618A" w:rsidP="006C6779">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3 Years</w:t>
            </w:r>
          </w:p>
        </w:tc>
        <w:tc>
          <w:tcPr>
            <w:tcW w:w="1447" w:type="dxa"/>
            <w:tcBorders>
              <w:top w:val="nil"/>
              <w:left w:val="nil"/>
              <w:bottom w:val="single" w:sz="4" w:space="0" w:color="auto"/>
              <w:right w:val="single" w:sz="8" w:space="0" w:color="auto"/>
            </w:tcBorders>
            <w:shd w:val="clear" w:color="000000" w:fill="FFE9CC"/>
            <w:noWrap/>
            <w:vAlign w:val="bottom"/>
            <w:hideMark/>
          </w:tcPr>
          <w:p w:rsidR="0009618A" w:rsidRPr="0009618A" w:rsidRDefault="0009618A" w:rsidP="006C6779">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B</w:t>
            </w:r>
          </w:p>
        </w:tc>
        <w:tc>
          <w:tcPr>
            <w:tcW w:w="1660" w:type="dxa"/>
            <w:tcBorders>
              <w:top w:val="nil"/>
              <w:left w:val="nil"/>
              <w:bottom w:val="single" w:sz="4" w:space="0" w:color="auto"/>
              <w:right w:val="nil"/>
            </w:tcBorders>
            <w:shd w:val="clear" w:color="000000" w:fill="FFE9CC"/>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60.9%</w:t>
            </w:r>
          </w:p>
        </w:tc>
        <w:tc>
          <w:tcPr>
            <w:tcW w:w="1280" w:type="dxa"/>
            <w:tcBorders>
              <w:top w:val="nil"/>
              <w:left w:val="single" w:sz="8" w:space="0" w:color="auto"/>
              <w:bottom w:val="single" w:sz="4" w:space="0" w:color="auto"/>
              <w:right w:val="single" w:sz="8" w:space="0" w:color="auto"/>
            </w:tcBorders>
            <w:shd w:val="clear" w:color="000000" w:fill="FFE9CC"/>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49.8%</w:t>
            </w:r>
          </w:p>
        </w:tc>
        <w:tc>
          <w:tcPr>
            <w:tcW w:w="1660" w:type="dxa"/>
            <w:tcBorders>
              <w:top w:val="nil"/>
              <w:left w:val="nil"/>
              <w:bottom w:val="single" w:sz="4" w:space="0" w:color="auto"/>
              <w:right w:val="nil"/>
            </w:tcBorders>
            <w:shd w:val="clear" w:color="000000" w:fill="FFE9CC"/>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61.7%</w:t>
            </w:r>
          </w:p>
        </w:tc>
        <w:tc>
          <w:tcPr>
            <w:tcW w:w="1660" w:type="dxa"/>
            <w:tcBorders>
              <w:top w:val="nil"/>
              <w:left w:val="single" w:sz="8" w:space="0" w:color="auto"/>
              <w:bottom w:val="single" w:sz="4" w:space="0" w:color="auto"/>
              <w:right w:val="single" w:sz="8" w:space="0" w:color="auto"/>
            </w:tcBorders>
            <w:shd w:val="clear" w:color="000000" w:fill="FFE9CC"/>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61.6%</w:t>
            </w:r>
          </w:p>
        </w:tc>
      </w:tr>
      <w:tr w:rsidR="0009618A" w:rsidRPr="0009618A" w:rsidTr="006C6779">
        <w:trPr>
          <w:trHeight w:val="270"/>
        </w:trPr>
        <w:tc>
          <w:tcPr>
            <w:tcW w:w="1833" w:type="dxa"/>
            <w:tcBorders>
              <w:top w:val="single" w:sz="4" w:space="0" w:color="auto"/>
              <w:left w:val="single" w:sz="4" w:space="0" w:color="auto"/>
              <w:bottom w:val="single" w:sz="4" w:space="0" w:color="auto"/>
              <w:right w:val="single" w:sz="4" w:space="0" w:color="auto"/>
            </w:tcBorders>
            <w:shd w:val="clear" w:color="000000" w:fill="FFE9CC"/>
            <w:noWrap/>
            <w:vAlign w:val="center"/>
            <w:hideMark/>
          </w:tcPr>
          <w:p w:rsidR="0009618A" w:rsidRPr="0009618A" w:rsidRDefault="006C6779" w:rsidP="006C6779">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3 Years</w:t>
            </w:r>
          </w:p>
        </w:tc>
        <w:tc>
          <w:tcPr>
            <w:tcW w:w="1447" w:type="dxa"/>
            <w:tcBorders>
              <w:top w:val="nil"/>
              <w:left w:val="single" w:sz="4" w:space="0" w:color="auto"/>
              <w:bottom w:val="single" w:sz="4" w:space="0" w:color="auto"/>
              <w:right w:val="single" w:sz="8" w:space="0" w:color="auto"/>
            </w:tcBorders>
            <w:shd w:val="clear" w:color="000000" w:fill="FFE9CC"/>
            <w:noWrap/>
            <w:vAlign w:val="bottom"/>
            <w:hideMark/>
          </w:tcPr>
          <w:p w:rsidR="0009618A" w:rsidRPr="0009618A" w:rsidRDefault="0009618A" w:rsidP="006C6779">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R1</w:t>
            </w:r>
          </w:p>
        </w:tc>
        <w:tc>
          <w:tcPr>
            <w:tcW w:w="1660" w:type="dxa"/>
            <w:tcBorders>
              <w:top w:val="nil"/>
              <w:left w:val="nil"/>
              <w:bottom w:val="single" w:sz="4" w:space="0" w:color="auto"/>
              <w:right w:val="nil"/>
            </w:tcBorders>
            <w:shd w:val="clear" w:color="000000" w:fill="FFE9CC"/>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63.0%</w:t>
            </w:r>
          </w:p>
        </w:tc>
        <w:tc>
          <w:tcPr>
            <w:tcW w:w="1280" w:type="dxa"/>
            <w:tcBorders>
              <w:top w:val="nil"/>
              <w:left w:val="single" w:sz="8" w:space="0" w:color="auto"/>
              <w:bottom w:val="single" w:sz="4" w:space="0" w:color="auto"/>
              <w:right w:val="single" w:sz="8" w:space="0" w:color="auto"/>
            </w:tcBorders>
            <w:shd w:val="clear" w:color="000000" w:fill="FFE9CC"/>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58.3%</w:t>
            </w:r>
          </w:p>
        </w:tc>
        <w:tc>
          <w:tcPr>
            <w:tcW w:w="1660" w:type="dxa"/>
            <w:tcBorders>
              <w:top w:val="nil"/>
              <w:left w:val="nil"/>
              <w:bottom w:val="single" w:sz="4" w:space="0" w:color="auto"/>
              <w:right w:val="nil"/>
            </w:tcBorders>
            <w:shd w:val="clear" w:color="000000" w:fill="FFE9CC"/>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66.1%</w:t>
            </w:r>
          </w:p>
        </w:tc>
        <w:tc>
          <w:tcPr>
            <w:tcW w:w="1660" w:type="dxa"/>
            <w:tcBorders>
              <w:top w:val="nil"/>
              <w:left w:val="single" w:sz="8" w:space="0" w:color="auto"/>
              <w:bottom w:val="single" w:sz="4" w:space="0" w:color="auto"/>
              <w:right w:val="single" w:sz="8" w:space="0" w:color="auto"/>
            </w:tcBorders>
            <w:shd w:val="clear" w:color="000000" w:fill="FFE9CC"/>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61.5%</w:t>
            </w:r>
          </w:p>
        </w:tc>
      </w:tr>
      <w:tr w:rsidR="0009618A" w:rsidRPr="0009618A" w:rsidTr="006C6779">
        <w:trPr>
          <w:trHeight w:val="270"/>
        </w:trPr>
        <w:tc>
          <w:tcPr>
            <w:tcW w:w="1833" w:type="dxa"/>
            <w:tcBorders>
              <w:top w:val="single" w:sz="4" w:space="0" w:color="auto"/>
              <w:left w:val="single" w:sz="4" w:space="0" w:color="auto"/>
              <w:bottom w:val="single" w:sz="4" w:space="0" w:color="auto"/>
              <w:right w:val="single" w:sz="4" w:space="0" w:color="auto"/>
            </w:tcBorders>
            <w:shd w:val="clear" w:color="000000" w:fill="FFE9CC"/>
            <w:noWrap/>
            <w:vAlign w:val="center"/>
            <w:hideMark/>
          </w:tcPr>
          <w:p w:rsidR="0009618A" w:rsidRPr="0009618A" w:rsidRDefault="006C6779" w:rsidP="006C6779">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3 Years</w:t>
            </w:r>
          </w:p>
        </w:tc>
        <w:tc>
          <w:tcPr>
            <w:tcW w:w="1447" w:type="dxa"/>
            <w:tcBorders>
              <w:top w:val="nil"/>
              <w:left w:val="single" w:sz="4" w:space="0" w:color="auto"/>
              <w:bottom w:val="single" w:sz="4" w:space="0" w:color="auto"/>
              <w:right w:val="single" w:sz="8" w:space="0" w:color="auto"/>
            </w:tcBorders>
            <w:shd w:val="clear" w:color="000000" w:fill="FFE9CC"/>
            <w:noWrap/>
            <w:vAlign w:val="bottom"/>
            <w:hideMark/>
          </w:tcPr>
          <w:p w:rsidR="0009618A" w:rsidRPr="0009618A" w:rsidRDefault="0009618A" w:rsidP="006C6779">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R2</w:t>
            </w:r>
          </w:p>
        </w:tc>
        <w:tc>
          <w:tcPr>
            <w:tcW w:w="1660" w:type="dxa"/>
            <w:tcBorders>
              <w:top w:val="nil"/>
              <w:left w:val="nil"/>
              <w:bottom w:val="single" w:sz="4" w:space="0" w:color="auto"/>
              <w:right w:val="nil"/>
            </w:tcBorders>
            <w:shd w:val="clear" w:color="000000" w:fill="FFE9CC"/>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63.9%</w:t>
            </w:r>
          </w:p>
        </w:tc>
        <w:tc>
          <w:tcPr>
            <w:tcW w:w="1280" w:type="dxa"/>
            <w:tcBorders>
              <w:top w:val="nil"/>
              <w:left w:val="single" w:sz="8" w:space="0" w:color="auto"/>
              <w:bottom w:val="single" w:sz="4" w:space="0" w:color="auto"/>
              <w:right w:val="single" w:sz="8" w:space="0" w:color="auto"/>
            </w:tcBorders>
            <w:shd w:val="clear" w:color="000000" w:fill="FFE9CC"/>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63.0%</w:t>
            </w:r>
          </w:p>
        </w:tc>
        <w:tc>
          <w:tcPr>
            <w:tcW w:w="1660" w:type="dxa"/>
            <w:tcBorders>
              <w:top w:val="nil"/>
              <w:left w:val="nil"/>
              <w:bottom w:val="single" w:sz="4" w:space="0" w:color="auto"/>
              <w:right w:val="nil"/>
            </w:tcBorders>
            <w:shd w:val="clear" w:color="000000" w:fill="FFE9CC"/>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68.1%</w:t>
            </w:r>
          </w:p>
        </w:tc>
        <w:tc>
          <w:tcPr>
            <w:tcW w:w="1660" w:type="dxa"/>
            <w:tcBorders>
              <w:top w:val="nil"/>
              <w:left w:val="single" w:sz="8" w:space="0" w:color="auto"/>
              <w:bottom w:val="single" w:sz="4" w:space="0" w:color="auto"/>
              <w:right w:val="single" w:sz="8" w:space="0" w:color="auto"/>
            </w:tcBorders>
            <w:shd w:val="clear" w:color="000000" w:fill="FFE9CC"/>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61.0%</w:t>
            </w:r>
          </w:p>
        </w:tc>
      </w:tr>
      <w:tr w:rsidR="0009618A" w:rsidRPr="0009618A" w:rsidTr="006C6779">
        <w:trPr>
          <w:trHeight w:val="278"/>
        </w:trPr>
        <w:tc>
          <w:tcPr>
            <w:tcW w:w="1833" w:type="dxa"/>
            <w:tcBorders>
              <w:top w:val="single" w:sz="4" w:space="0" w:color="auto"/>
              <w:left w:val="single" w:sz="8" w:space="0" w:color="auto"/>
              <w:bottom w:val="single" w:sz="8" w:space="0" w:color="auto"/>
              <w:right w:val="single" w:sz="8" w:space="0" w:color="auto"/>
            </w:tcBorders>
            <w:shd w:val="clear" w:color="000000" w:fill="FFE9CC"/>
            <w:noWrap/>
            <w:vAlign w:val="center"/>
            <w:hideMark/>
          </w:tcPr>
          <w:p w:rsidR="0009618A" w:rsidRPr="0009618A" w:rsidRDefault="006C6779" w:rsidP="006C6779">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3 Years</w:t>
            </w:r>
          </w:p>
        </w:tc>
        <w:tc>
          <w:tcPr>
            <w:tcW w:w="1447" w:type="dxa"/>
            <w:tcBorders>
              <w:top w:val="nil"/>
              <w:left w:val="nil"/>
              <w:bottom w:val="single" w:sz="8" w:space="0" w:color="auto"/>
              <w:right w:val="single" w:sz="8" w:space="0" w:color="auto"/>
            </w:tcBorders>
            <w:shd w:val="clear" w:color="000000" w:fill="FFE9CC"/>
            <w:noWrap/>
            <w:vAlign w:val="bottom"/>
            <w:hideMark/>
          </w:tcPr>
          <w:p w:rsidR="0009618A" w:rsidRPr="0009618A" w:rsidRDefault="0009618A" w:rsidP="006C6779">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R3</w:t>
            </w:r>
          </w:p>
        </w:tc>
        <w:tc>
          <w:tcPr>
            <w:tcW w:w="1660" w:type="dxa"/>
            <w:tcBorders>
              <w:top w:val="nil"/>
              <w:left w:val="nil"/>
              <w:bottom w:val="single" w:sz="8" w:space="0" w:color="auto"/>
              <w:right w:val="nil"/>
            </w:tcBorders>
            <w:shd w:val="clear" w:color="000000" w:fill="FFE9CC"/>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63.6%</w:t>
            </w:r>
          </w:p>
        </w:tc>
        <w:tc>
          <w:tcPr>
            <w:tcW w:w="1280" w:type="dxa"/>
            <w:tcBorders>
              <w:top w:val="nil"/>
              <w:left w:val="single" w:sz="8" w:space="0" w:color="auto"/>
              <w:bottom w:val="single" w:sz="8" w:space="0" w:color="auto"/>
              <w:right w:val="single" w:sz="8" w:space="0" w:color="auto"/>
            </w:tcBorders>
            <w:shd w:val="clear" w:color="000000" w:fill="FFE9CC"/>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66.5%</w:t>
            </w:r>
          </w:p>
        </w:tc>
        <w:tc>
          <w:tcPr>
            <w:tcW w:w="1660" w:type="dxa"/>
            <w:tcBorders>
              <w:top w:val="nil"/>
              <w:left w:val="nil"/>
              <w:bottom w:val="single" w:sz="8" w:space="0" w:color="auto"/>
              <w:right w:val="nil"/>
            </w:tcBorders>
            <w:shd w:val="clear" w:color="000000" w:fill="FFE9CC"/>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67.6%</w:t>
            </w:r>
          </w:p>
        </w:tc>
        <w:tc>
          <w:tcPr>
            <w:tcW w:w="1660" w:type="dxa"/>
            <w:tcBorders>
              <w:top w:val="nil"/>
              <w:left w:val="single" w:sz="8" w:space="0" w:color="auto"/>
              <w:bottom w:val="single" w:sz="8" w:space="0" w:color="auto"/>
              <w:right w:val="single" w:sz="8" w:space="0" w:color="auto"/>
            </w:tcBorders>
            <w:shd w:val="clear" w:color="000000" w:fill="FFE9CC"/>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60.7%</w:t>
            </w:r>
          </w:p>
        </w:tc>
      </w:tr>
      <w:tr w:rsidR="0009618A" w:rsidRPr="0009618A" w:rsidTr="006C6779">
        <w:trPr>
          <w:trHeight w:val="270"/>
        </w:trPr>
        <w:tc>
          <w:tcPr>
            <w:tcW w:w="1833" w:type="dxa"/>
            <w:tcBorders>
              <w:top w:val="nil"/>
              <w:left w:val="single" w:sz="8" w:space="0" w:color="auto"/>
              <w:bottom w:val="single" w:sz="4" w:space="0" w:color="auto"/>
              <w:right w:val="single" w:sz="8" w:space="0" w:color="auto"/>
            </w:tcBorders>
            <w:shd w:val="clear" w:color="000000" w:fill="D1D3D4"/>
            <w:noWrap/>
            <w:vAlign w:val="center"/>
            <w:hideMark/>
          </w:tcPr>
          <w:p w:rsidR="0009618A" w:rsidRPr="0009618A" w:rsidRDefault="0009618A" w:rsidP="006C6779">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2 Years</w:t>
            </w:r>
          </w:p>
        </w:tc>
        <w:tc>
          <w:tcPr>
            <w:tcW w:w="1447" w:type="dxa"/>
            <w:tcBorders>
              <w:top w:val="nil"/>
              <w:left w:val="nil"/>
              <w:bottom w:val="single" w:sz="4" w:space="0" w:color="auto"/>
              <w:right w:val="single" w:sz="8" w:space="0" w:color="auto"/>
            </w:tcBorders>
            <w:shd w:val="clear" w:color="000000" w:fill="D1D3D4"/>
            <w:noWrap/>
            <w:vAlign w:val="bottom"/>
            <w:hideMark/>
          </w:tcPr>
          <w:p w:rsidR="0009618A" w:rsidRPr="0009618A" w:rsidRDefault="0009618A" w:rsidP="006C6779">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B</w:t>
            </w:r>
          </w:p>
        </w:tc>
        <w:tc>
          <w:tcPr>
            <w:tcW w:w="1660" w:type="dxa"/>
            <w:tcBorders>
              <w:top w:val="nil"/>
              <w:left w:val="nil"/>
              <w:bottom w:val="single" w:sz="4" w:space="0" w:color="auto"/>
              <w:right w:val="nil"/>
            </w:tcBorders>
            <w:shd w:val="clear" w:color="000000" w:fill="D1D3D4"/>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59.8%</w:t>
            </w:r>
          </w:p>
        </w:tc>
        <w:tc>
          <w:tcPr>
            <w:tcW w:w="1280" w:type="dxa"/>
            <w:tcBorders>
              <w:top w:val="nil"/>
              <w:left w:val="single" w:sz="8" w:space="0" w:color="auto"/>
              <w:bottom w:val="single" w:sz="4" w:space="0" w:color="auto"/>
              <w:right w:val="single" w:sz="8" w:space="0" w:color="auto"/>
            </w:tcBorders>
            <w:shd w:val="clear" w:color="000000" w:fill="D1D3D4"/>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49.4%</w:t>
            </w:r>
          </w:p>
        </w:tc>
        <w:tc>
          <w:tcPr>
            <w:tcW w:w="1660" w:type="dxa"/>
            <w:tcBorders>
              <w:top w:val="nil"/>
              <w:left w:val="nil"/>
              <w:bottom w:val="single" w:sz="4" w:space="0" w:color="auto"/>
              <w:right w:val="nil"/>
            </w:tcBorders>
            <w:shd w:val="clear" w:color="000000" w:fill="D1D3D4"/>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62.8%</w:t>
            </w:r>
          </w:p>
        </w:tc>
        <w:tc>
          <w:tcPr>
            <w:tcW w:w="1660" w:type="dxa"/>
            <w:tcBorders>
              <w:top w:val="nil"/>
              <w:left w:val="single" w:sz="8" w:space="0" w:color="auto"/>
              <w:bottom w:val="single" w:sz="4" w:space="0" w:color="auto"/>
              <w:right w:val="single" w:sz="8" w:space="0" w:color="auto"/>
            </w:tcBorders>
            <w:shd w:val="clear" w:color="000000" w:fill="D1D3D4"/>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61.5%</w:t>
            </w:r>
          </w:p>
        </w:tc>
      </w:tr>
      <w:tr w:rsidR="0009618A" w:rsidRPr="0009618A" w:rsidTr="006C6779">
        <w:trPr>
          <w:trHeight w:val="270"/>
        </w:trPr>
        <w:tc>
          <w:tcPr>
            <w:tcW w:w="1833" w:type="dxa"/>
            <w:tcBorders>
              <w:top w:val="single" w:sz="4" w:space="0" w:color="auto"/>
              <w:left w:val="single" w:sz="4" w:space="0" w:color="auto"/>
              <w:bottom w:val="single" w:sz="4" w:space="0" w:color="auto"/>
              <w:right w:val="single" w:sz="4" w:space="0" w:color="auto"/>
            </w:tcBorders>
            <w:shd w:val="clear" w:color="000000" w:fill="D1D3D4"/>
            <w:noWrap/>
            <w:vAlign w:val="center"/>
            <w:hideMark/>
          </w:tcPr>
          <w:p w:rsidR="0009618A" w:rsidRPr="0009618A" w:rsidRDefault="006C6779" w:rsidP="006C6779">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2 Years</w:t>
            </w:r>
          </w:p>
        </w:tc>
        <w:tc>
          <w:tcPr>
            <w:tcW w:w="1447" w:type="dxa"/>
            <w:tcBorders>
              <w:top w:val="nil"/>
              <w:left w:val="single" w:sz="4" w:space="0" w:color="auto"/>
              <w:bottom w:val="single" w:sz="4" w:space="0" w:color="auto"/>
              <w:right w:val="single" w:sz="8" w:space="0" w:color="auto"/>
            </w:tcBorders>
            <w:shd w:val="clear" w:color="000000" w:fill="D1D3D4"/>
            <w:noWrap/>
            <w:vAlign w:val="bottom"/>
            <w:hideMark/>
          </w:tcPr>
          <w:p w:rsidR="0009618A" w:rsidRPr="0009618A" w:rsidRDefault="0009618A" w:rsidP="006C6779">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R1</w:t>
            </w:r>
          </w:p>
        </w:tc>
        <w:tc>
          <w:tcPr>
            <w:tcW w:w="1660" w:type="dxa"/>
            <w:tcBorders>
              <w:top w:val="nil"/>
              <w:left w:val="nil"/>
              <w:bottom w:val="single" w:sz="4" w:space="0" w:color="auto"/>
              <w:right w:val="nil"/>
            </w:tcBorders>
            <w:shd w:val="clear" w:color="000000" w:fill="D1D3D4"/>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63.0%</w:t>
            </w:r>
          </w:p>
        </w:tc>
        <w:tc>
          <w:tcPr>
            <w:tcW w:w="1280" w:type="dxa"/>
            <w:tcBorders>
              <w:top w:val="nil"/>
              <w:left w:val="single" w:sz="8" w:space="0" w:color="auto"/>
              <w:bottom w:val="single" w:sz="4" w:space="0" w:color="auto"/>
              <w:right w:val="single" w:sz="8" w:space="0" w:color="auto"/>
            </w:tcBorders>
            <w:shd w:val="clear" w:color="000000" w:fill="D1D3D4"/>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55.2%</w:t>
            </w:r>
          </w:p>
        </w:tc>
        <w:tc>
          <w:tcPr>
            <w:tcW w:w="1660" w:type="dxa"/>
            <w:tcBorders>
              <w:top w:val="nil"/>
              <w:left w:val="nil"/>
              <w:bottom w:val="single" w:sz="4" w:space="0" w:color="auto"/>
              <w:right w:val="nil"/>
            </w:tcBorders>
            <w:shd w:val="clear" w:color="000000" w:fill="D1D3D4"/>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69.3%</w:t>
            </w:r>
          </w:p>
        </w:tc>
        <w:tc>
          <w:tcPr>
            <w:tcW w:w="1660" w:type="dxa"/>
            <w:tcBorders>
              <w:top w:val="nil"/>
              <w:left w:val="single" w:sz="8" w:space="0" w:color="auto"/>
              <w:bottom w:val="single" w:sz="4" w:space="0" w:color="auto"/>
              <w:right w:val="single" w:sz="8" w:space="0" w:color="auto"/>
            </w:tcBorders>
            <w:shd w:val="clear" w:color="000000" w:fill="D1D3D4"/>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62.2%</w:t>
            </w:r>
          </w:p>
        </w:tc>
      </w:tr>
      <w:tr w:rsidR="0009618A" w:rsidRPr="0009618A" w:rsidTr="006C6779">
        <w:trPr>
          <w:trHeight w:val="278"/>
        </w:trPr>
        <w:tc>
          <w:tcPr>
            <w:tcW w:w="1833" w:type="dxa"/>
            <w:tcBorders>
              <w:top w:val="single" w:sz="4" w:space="0" w:color="auto"/>
              <w:left w:val="single" w:sz="8" w:space="0" w:color="auto"/>
              <w:bottom w:val="single" w:sz="8" w:space="0" w:color="auto"/>
              <w:right w:val="single" w:sz="8" w:space="0" w:color="auto"/>
            </w:tcBorders>
            <w:shd w:val="clear" w:color="000000" w:fill="D1D3D4"/>
            <w:noWrap/>
            <w:vAlign w:val="center"/>
            <w:hideMark/>
          </w:tcPr>
          <w:p w:rsidR="0009618A" w:rsidRPr="0009618A" w:rsidRDefault="006C6779" w:rsidP="006C6779">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2 Years</w:t>
            </w:r>
          </w:p>
        </w:tc>
        <w:tc>
          <w:tcPr>
            <w:tcW w:w="1447" w:type="dxa"/>
            <w:tcBorders>
              <w:top w:val="nil"/>
              <w:left w:val="nil"/>
              <w:bottom w:val="single" w:sz="8" w:space="0" w:color="auto"/>
              <w:right w:val="single" w:sz="8" w:space="0" w:color="auto"/>
            </w:tcBorders>
            <w:shd w:val="clear" w:color="000000" w:fill="D1D3D4"/>
            <w:noWrap/>
            <w:vAlign w:val="bottom"/>
            <w:hideMark/>
          </w:tcPr>
          <w:p w:rsidR="0009618A" w:rsidRPr="0009618A" w:rsidRDefault="0009618A" w:rsidP="006C6779">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R2</w:t>
            </w:r>
          </w:p>
        </w:tc>
        <w:tc>
          <w:tcPr>
            <w:tcW w:w="1660" w:type="dxa"/>
            <w:tcBorders>
              <w:top w:val="nil"/>
              <w:left w:val="nil"/>
              <w:bottom w:val="single" w:sz="8" w:space="0" w:color="auto"/>
              <w:right w:val="nil"/>
            </w:tcBorders>
            <w:shd w:val="clear" w:color="000000" w:fill="D1D3D4"/>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64.1%</w:t>
            </w:r>
          </w:p>
        </w:tc>
        <w:tc>
          <w:tcPr>
            <w:tcW w:w="1280" w:type="dxa"/>
            <w:tcBorders>
              <w:top w:val="nil"/>
              <w:left w:val="single" w:sz="8" w:space="0" w:color="auto"/>
              <w:bottom w:val="single" w:sz="8" w:space="0" w:color="auto"/>
              <w:right w:val="single" w:sz="8" w:space="0" w:color="auto"/>
            </w:tcBorders>
            <w:shd w:val="clear" w:color="000000" w:fill="D1D3D4"/>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60.4%</w:t>
            </w:r>
          </w:p>
        </w:tc>
        <w:tc>
          <w:tcPr>
            <w:tcW w:w="1660" w:type="dxa"/>
            <w:tcBorders>
              <w:top w:val="nil"/>
              <w:left w:val="nil"/>
              <w:bottom w:val="single" w:sz="8" w:space="0" w:color="auto"/>
              <w:right w:val="nil"/>
            </w:tcBorders>
            <w:shd w:val="clear" w:color="000000" w:fill="D1D3D4"/>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71.3%</w:t>
            </w:r>
          </w:p>
        </w:tc>
        <w:tc>
          <w:tcPr>
            <w:tcW w:w="1660" w:type="dxa"/>
            <w:tcBorders>
              <w:top w:val="nil"/>
              <w:left w:val="single" w:sz="8" w:space="0" w:color="auto"/>
              <w:bottom w:val="single" w:sz="8" w:space="0" w:color="auto"/>
              <w:right w:val="single" w:sz="8" w:space="0" w:color="auto"/>
            </w:tcBorders>
            <w:shd w:val="clear" w:color="000000" w:fill="D1D3D4"/>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61.8%</w:t>
            </w:r>
          </w:p>
        </w:tc>
      </w:tr>
      <w:tr w:rsidR="0009618A" w:rsidRPr="0009618A" w:rsidTr="006C6779">
        <w:trPr>
          <w:trHeight w:val="270"/>
        </w:trPr>
        <w:tc>
          <w:tcPr>
            <w:tcW w:w="1833" w:type="dxa"/>
            <w:tcBorders>
              <w:top w:val="nil"/>
              <w:left w:val="single" w:sz="8" w:space="0" w:color="auto"/>
              <w:bottom w:val="single" w:sz="4" w:space="0" w:color="auto"/>
              <w:right w:val="single" w:sz="8" w:space="0" w:color="auto"/>
            </w:tcBorders>
            <w:shd w:val="clear" w:color="000000" w:fill="F7EEF7"/>
            <w:noWrap/>
            <w:vAlign w:val="center"/>
            <w:hideMark/>
          </w:tcPr>
          <w:p w:rsidR="0009618A" w:rsidRPr="0009618A" w:rsidRDefault="0009618A" w:rsidP="006C6779">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1 Year</w:t>
            </w:r>
          </w:p>
        </w:tc>
        <w:tc>
          <w:tcPr>
            <w:tcW w:w="1447" w:type="dxa"/>
            <w:tcBorders>
              <w:top w:val="nil"/>
              <w:left w:val="nil"/>
              <w:bottom w:val="single" w:sz="4" w:space="0" w:color="auto"/>
              <w:right w:val="single" w:sz="8" w:space="0" w:color="auto"/>
            </w:tcBorders>
            <w:shd w:val="clear" w:color="000000" w:fill="F7EEF7"/>
            <w:noWrap/>
            <w:vAlign w:val="bottom"/>
            <w:hideMark/>
          </w:tcPr>
          <w:p w:rsidR="0009618A" w:rsidRPr="0009618A" w:rsidRDefault="0009618A" w:rsidP="006C6779">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B</w:t>
            </w:r>
          </w:p>
        </w:tc>
        <w:tc>
          <w:tcPr>
            <w:tcW w:w="1660" w:type="dxa"/>
            <w:tcBorders>
              <w:top w:val="nil"/>
              <w:left w:val="nil"/>
              <w:bottom w:val="single" w:sz="4" w:space="0" w:color="auto"/>
              <w:right w:val="nil"/>
            </w:tcBorders>
            <w:shd w:val="clear" w:color="000000" w:fill="F7EEF7"/>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59.9%</w:t>
            </w:r>
          </w:p>
        </w:tc>
        <w:tc>
          <w:tcPr>
            <w:tcW w:w="1280" w:type="dxa"/>
            <w:tcBorders>
              <w:top w:val="nil"/>
              <w:left w:val="single" w:sz="8" w:space="0" w:color="auto"/>
              <w:bottom w:val="single" w:sz="4" w:space="0" w:color="auto"/>
              <w:right w:val="single" w:sz="8" w:space="0" w:color="auto"/>
            </w:tcBorders>
            <w:shd w:val="clear" w:color="000000" w:fill="F7EEF7"/>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53.5%</w:t>
            </w:r>
          </w:p>
        </w:tc>
        <w:tc>
          <w:tcPr>
            <w:tcW w:w="1660" w:type="dxa"/>
            <w:tcBorders>
              <w:top w:val="nil"/>
              <w:left w:val="nil"/>
              <w:bottom w:val="single" w:sz="4" w:space="0" w:color="auto"/>
              <w:right w:val="nil"/>
            </w:tcBorders>
            <w:shd w:val="clear" w:color="000000" w:fill="F7EEF7"/>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69.6%</w:t>
            </w:r>
          </w:p>
        </w:tc>
        <w:tc>
          <w:tcPr>
            <w:tcW w:w="1660" w:type="dxa"/>
            <w:tcBorders>
              <w:top w:val="nil"/>
              <w:left w:val="single" w:sz="8" w:space="0" w:color="auto"/>
              <w:bottom w:val="single" w:sz="4" w:space="0" w:color="auto"/>
              <w:right w:val="single" w:sz="8" w:space="0" w:color="auto"/>
            </w:tcBorders>
            <w:shd w:val="clear" w:color="000000" w:fill="F7EEF7"/>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61.5%</w:t>
            </w:r>
          </w:p>
        </w:tc>
      </w:tr>
      <w:tr w:rsidR="0009618A" w:rsidRPr="0009618A" w:rsidTr="006C6779">
        <w:trPr>
          <w:trHeight w:val="278"/>
        </w:trPr>
        <w:tc>
          <w:tcPr>
            <w:tcW w:w="1833" w:type="dxa"/>
            <w:tcBorders>
              <w:top w:val="single" w:sz="4" w:space="0" w:color="auto"/>
              <w:left w:val="single" w:sz="4" w:space="0" w:color="auto"/>
              <w:bottom w:val="single" w:sz="4" w:space="0" w:color="auto"/>
              <w:right w:val="single" w:sz="4" w:space="0" w:color="auto"/>
            </w:tcBorders>
            <w:shd w:val="clear" w:color="000000" w:fill="F7EEF7"/>
            <w:noWrap/>
            <w:vAlign w:val="center"/>
            <w:hideMark/>
          </w:tcPr>
          <w:p w:rsidR="0009618A" w:rsidRPr="0009618A" w:rsidRDefault="006C6779" w:rsidP="006C6779">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1 Year</w:t>
            </w:r>
          </w:p>
        </w:tc>
        <w:tc>
          <w:tcPr>
            <w:tcW w:w="1447" w:type="dxa"/>
            <w:tcBorders>
              <w:top w:val="nil"/>
              <w:left w:val="single" w:sz="4" w:space="0" w:color="auto"/>
              <w:bottom w:val="single" w:sz="8" w:space="0" w:color="auto"/>
              <w:right w:val="single" w:sz="8" w:space="0" w:color="auto"/>
            </w:tcBorders>
            <w:shd w:val="clear" w:color="000000" w:fill="F7EEF7"/>
            <w:noWrap/>
            <w:vAlign w:val="bottom"/>
            <w:hideMark/>
          </w:tcPr>
          <w:p w:rsidR="0009618A" w:rsidRPr="0009618A" w:rsidRDefault="0009618A" w:rsidP="006C6779">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R1</w:t>
            </w:r>
          </w:p>
        </w:tc>
        <w:tc>
          <w:tcPr>
            <w:tcW w:w="1660" w:type="dxa"/>
            <w:tcBorders>
              <w:top w:val="nil"/>
              <w:left w:val="nil"/>
              <w:bottom w:val="single" w:sz="8" w:space="0" w:color="auto"/>
              <w:right w:val="nil"/>
            </w:tcBorders>
            <w:shd w:val="clear" w:color="000000" w:fill="F7EEF7"/>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62.6%</w:t>
            </w:r>
          </w:p>
        </w:tc>
        <w:tc>
          <w:tcPr>
            <w:tcW w:w="1280" w:type="dxa"/>
            <w:tcBorders>
              <w:top w:val="nil"/>
              <w:left w:val="single" w:sz="8" w:space="0" w:color="auto"/>
              <w:bottom w:val="single" w:sz="8" w:space="0" w:color="auto"/>
              <w:right w:val="single" w:sz="8" w:space="0" w:color="auto"/>
            </w:tcBorders>
            <w:shd w:val="clear" w:color="000000" w:fill="F7EEF7"/>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59.0%</w:t>
            </w:r>
          </w:p>
        </w:tc>
        <w:tc>
          <w:tcPr>
            <w:tcW w:w="1660" w:type="dxa"/>
            <w:tcBorders>
              <w:top w:val="nil"/>
              <w:left w:val="nil"/>
              <w:bottom w:val="single" w:sz="8" w:space="0" w:color="auto"/>
              <w:right w:val="nil"/>
            </w:tcBorders>
            <w:shd w:val="clear" w:color="000000" w:fill="F7EEF7"/>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76.7%</w:t>
            </w:r>
          </w:p>
        </w:tc>
        <w:tc>
          <w:tcPr>
            <w:tcW w:w="1660" w:type="dxa"/>
            <w:tcBorders>
              <w:top w:val="nil"/>
              <w:left w:val="single" w:sz="8" w:space="0" w:color="auto"/>
              <w:bottom w:val="single" w:sz="8" w:space="0" w:color="auto"/>
              <w:right w:val="single" w:sz="8" w:space="0" w:color="auto"/>
            </w:tcBorders>
            <w:shd w:val="clear" w:color="000000" w:fill="F7EEF7"/>
            <w:noWrap/>
            <w:vAlign w:val="bottom"/>
            <w:hideMark/>
          </w:tcPr>
          <w:p w:rsidR="0009618A" w:rsidRPr="0009618A" w:rsidRDefault="0009618A" w:rsidP="0009618A">
            <w:pPr>
              <w:spacing w:after="0" w:line="240" w:lineRule="auto"/>
              <w:jc w:val="center"/>
              <w:rPr>
                <w:rFonts w:ascii="Arial" w:eastAsia="Times New Roman" w:hAnsi="Arial" w:cs="Arial"/>
                <w:color w:val="000000"/>
                <w:lang w:eastAsia="en-AU"/>
              </w:rPr>
            </w:pPr>
            <w:r w:rsidRPr="0009618A">
              <w:rPr>
                <w:rFonts w:ascii="Arial" w:eastAsia="Times New Roman" w:hAnsi="Arial" w:cs="Arial"/>
                <w:color w:val="000000"/>
                <w:lang w:eastAsia="en-AU"/>
              </w:rPr>
              <w:t>61.8%</w:t>
            </w:r>
          </w:p>
        </w:tc>
      </w:tr>
    </w:tbl>
    <w:p w:rsidR="0009618A" w:rsidRDefault="0009618A" w:rsidP="0009618A"/>
    <w:p w:rsidR="005B2A83" w:rsidRDefault="005B2A83" w:rsidP="005B2A83">
      <w:pPr>
        <w:pStyle w:val="Heading2"/>
      </w:pPr>
      <w:bookmarkStart w:id="36" w:name="_Toc121151413"/>
      <w:r>
        <w:t>Slide 31: Participants aged 0 to 14</w:t>
      </w:r>
      <w:bookmarkEnd w:id="36"/>
    </w:p>
    <w:p w:rsidR="005B2A83" w:rsidRDefault="005B2A83" w:rsidP="005B2A83">
      <w:pPr>
        <w:pStyle w:val="Heading5"/>
      </w:pPr>
      <w:r>
        <w:t>Relationships</w:t>
      </w:r>
    </w:p>
    <w:p w:rsidR="005B2A83" w:rsidRPr="0009618A" w:rsidRDefault="005B2A83" w:rsidP="005B2A83">
      <w:pPr>
        <w:pStyle w:val="Heading5"/>
      </w:pPr>
      <w:r>
        <w:t>Family life</w:t>
      </w:r>
    </w:p>
    <w:p w:rsidR="005B2A83" w:rsidRPr="005B2A83" w:rsidRDefault="005B2A83" w:rsidP="005B2A83">
      <w:pPr>
        <w:pStyle w:val="Heading5"/>
        <w:rPr>
          <w:i/>
        </w:rPr>
      </w:pPr>
      <w:r w:rsidRPr="005B2A83">
        <w:rPr>
          <w:i/>
        </w:rPr>
        <w:t>My child fits well into the everyday life of the family (</w:t>
      </w:r>
      <w:r w:rsidR="0080201D">
        <w:rPr>
          <w:i/>
        </w:rPr>
        <w:t>Footnote 1</w:t>
      </w:r>
      <w:r w:rsidRPr="005B2A83">
        <w:rPr>
          <w:i/>
        </w:rPr>
        <w:t>)</w:t>
      </w:r>
    </w:p>
    <w:p w:rsidR="005B2A83" w:rsidRDefault="005B2A83" w:rsidP="00B83265">
      <w:pPr>
        <w:pStyle w:val="ListParagraph"/>
        <w:numPr>
          <w:ilvl w:val="0"/>
          <w:numId w:val="22"/>
        </w:numPr>
      </w:pPr>
      <w:r>
        <w:t>There is an increasing trend in the percentage of parents/ carers reporting that their child fits in with the everyday life of the family, with positive changes for all cohorts between baseline and latest review. The largest improvement occurs at first review, for all cohorts. For cohort 5, there is a 13.9 percentage point increase between baseline (74.5%) and fifth review (88.4%), although there was a 1.4 percentage point decrease between review 4 and 5.</w:t>
      </w:r>
    </w:p>
    <w:p w:rsidR="005B2A83" w:rsidRDefault="005B2A83" w:rsidP="00B83265">
      <w:pPr>
        <w:pStyle w:val="ListParagraph"/>
        <w:numPr>
          <w:ilvl w:val="0"/>
          <w:numId w:val="22"/>
        </w:numPr>
      </w:pPr>
      <w:r>
        <w:t>Considering age group, the S-14 group is fairly stable across all cohorts and has an average of about 88% of respondents reporting that the child fits well into family life.</w:t>
      </w:r>
    </w:p>
    <w:p w:rsidR="005B2A83" w:rsidRDefault="005B2A83" w:rsidP="005B2A83">
      <w:pPr>
        <w:pStyle w:val="ListParagraph"/>
        <w:numPr>
          <w:ilvl w:val="0"/>
          <w:numId w:val="22"/>
        </w:numPr>
      </w:pPr>
      <w:r>
        <w:t>The largest increases over time are evident for the 0-S/S-14 age group, with increases of between 26 and 30 percentage points, of which the most profound change occurs at first review. For example, for children in this age group who have been in the Scheme for five years, there is an increase of 27.4 percentage points from baseline (61.6%) to fifth review (89.0%).</w:t>
      </w:r>
    </w:p>
    <w:p w:rsidR="00C376B0" w:rsidRDefault="00C376B0" w:rsidP="00C376B0">
      <w:r>
        <w:t>Combined group, by time in Scheme:</w:t>
      </w:r>
    </w:p>
    <w:tbl>
      <w:tblPr>
        <w:tblW w:w="9960" w:type="dxa"/>
        <w:tblLook w:val="04A0" w:firstRow="1" w:lastRow="0" w:firstColumn="1" w:lastColumn="0" w:noHBand="0" w:noVBand="1"/>
      </w:tblPr>
      <w:tblGrid>
        <w:gridCol w:w="1660"/>
        <w:gridCol w:w="1660"/>
        <w:gridCol w:w="1660"/>
        <w:gridCol w:w="1660"/>
        <w:gridCol w:w="1660"/>
        <w:gridCol w:w="1660"/>
      </w:tblGrid>
      <w:tr w:rsidR="005B2A83" w:rsidRPr="005B2A83" w:rsidTr="005B2A83">
        <w:trPr>
          <w:trHeight w:val="278"/>
        </w:trPr>
        <w:tc>
          <w:tcPr>
            <w:tcW w:w="1660" w:type="dxa"/>
            <w:tcBorders>
              <w:top w:val="single" w:sz="8" w:space="0" w:color="auto"/>
              <w:left w:val="single" w:sz="8" w:space="0" w:color="auto"/>
              <w:bottom w:val="single" w:sz="8" w:space="0" w:color="auto"/>
              <w:right w:val="nil"/>
            </w:tcBorders>
            <w:shd w:val="clear" w:color="auto" w:fill="auto"/>
            <w:noWrap/>
            <w:vAlign w:val="bottom"/>
            <w:hideMark/>
          </w:tcPr>
          <w:p w:rsidR="005B2A83" w:rsidRPr="005B2A83" w:rsidRDefault="006C6779" w:rsidP="006C6779">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Cohort</w:t>
            </w:r>
          </w:p>
        </w:tc>
        <w:tc>
          <w:tcPr>
            <w:tcW w:w="16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B2A83" w:rsidRPr="005B2A83" w:rsidRDefault="006C6779" w:rsidP="006C6779">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Time point</w:t>
            </w:r>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All</w:t>
            </w:r>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0-S</w:t>
            </w:r>
          </w:p>
        </w:tc>
        <w:tc>
          <w:tcPr>
            <w:tcW w:w="1660" w:type="dxa"/>
            <w:tcBorders>
              <w:top w:val="single" w:sz="8" w:space="0" w:color="auto"/>
              <w:left w:val="nil"/>
              <w:bottom w:val="single" w:sz="8" w:space="0" w:color="auto"/>
              <w:right w:val="nil"/>
            </w:tcBorders>
            <w:shd w:val="clear" w:color="auto" w:fill="auto"/>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0-S/S-14</w:t>
            </w:r>
          </w:p>
        </w:tc>
        <w:tc>
          <w:tcPr>
            <w:tcW w:w="16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S-14</w:t>
            </w:r>
          </w:p>
        </w:tc>
      </w:tr>
      <w:tr w:rsidR="00836678" w:rsidRPr="005B2A83" w:rsidTr="006C6779">
        <w:trPr>
          <w:trHeight w:val="300"/>
        </w:trPr>
        <w:tc>
          <w:tcPr>
            <w:tcW w:w="1660" w:type="dxa"/>
            <w:tcBorders>
              <w:top w:val="nil"/>
              <w:left w:val="single" w:sz="8" w:space="0" w:color="auto"/>
              <w:bottom w:val="single" w:sz="4" w:space="0" w:color="auto"/>
              <w:right w:val="single" w:sz="8" w:space="0" w:color="auto"/>
            </w:tcBorders>
            <w:shd w:val="clear" w:color="000000" w:fill="D3C5D7"/>
            <w:noWrap/>
            <w:vAlign w:val="center"/>
            <w:hideMark/>
          </w:tcPr>
          <w:p w:rsidR="00836678" w:rsidRPr="005B2A83" w:rsidRDefault="00836678"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5 Years</w:t>
            </w:r>
          </w:p>
        </w:tc>
        <w:tc>
          <w:tcPr>
            <w:tcW w:w="1660" w:type="dxa"/>
            <w:tcBorders>
              <w:top w:val="nil"/>
              <w:left w:val="nil"/>
              <w:bottom w:val="single" w:sz="4" w:space="0" w:color="auto"/>
              <w:right w:val="single" w:sz="8" w:space="0" w:color="auto"/>
            </w:tcBorders>
            <w:shd w:val="clear" w:color="000000" w:fill="D3C5D7"/>
            <w:noWrap/>
            <w:vAlign w:val="bottom"/>
            <w:hideMark/>
          </w:tcPr>
          <w:p w:rsidR="00836678" w:rsidRPr="005B2A83" w:rsidRDefault="00836678"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B</w:t>
            </w:r>
          </w:p>
        </w:tc>
        <w:tc>
          <w:tcPr>
            <w:tcW w:w="1660" w:type="dxa"/>
            <w:tcBorders>
              <w:top w:val="nil"/>
              <w:left w:val="nil"/>
              <w:bottom w:val="single" w:sz="4" w:space="0" w:color="auto"/>
              <w:right w:val="nil"/>
            </w:tcBorders>
            <w:shd w:val="clear" w:color="000000" w:fill="D3C5D7"/>
            <w:noWrap/>
            <w:vAlign w:val="bottom"/>
            <w:hideMark/>
          </w:tcPr>
          <w:p w:rsidR="00836678" w:rsidRPr="005B2A83" w:rsidRDefault="00836678"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74.5%</w:t>
            </w:r>
          </w:p>
        </w:tc>
        <w:tc>
          <w:tcPr>
            <w:tcW w:w="1660" w:type="dxa"/>
            <w:tcBorders>
              <w:top w:val="nil"/>
              <w:left w:val="single" w:sz="8" w:space="0" w:color="auto"/>
              <w:bottom w:val="single" w:sz="4" w:space="0" w:color="auto"/>
              <w:right w:val="single" w:sz="8" w:space="0" w:color="auto"/>
            </w:tcBorders>
            <w:shd w:val="clear" w:color="000000" w:fill="D3C5D7"/>
            <w:noWrap/>
            <w:vAlign w:val="bottom"/>
            <w:hideMark/>
          </w:tcPr>
          <w:p w:rsidR="00836678" w:rsidRPr="005B2A83" w:rsidRDefault="00836678"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 </w:t>
            </w:r>
          </w:p>
        </w:tc>
        <w:tc>
          <w:tcPr>
            <w:tcW w:w="1660" w:type="dxa"/>
            <w:tcBorders>
              <w:top w:val="nil"/>
              <w:left w:val="nil"/>
              <w:bottom w:val="single" w:sz="4" w:space="0" w:color="auto"/>
              <w:right w:val="nil"/>
            </w:tcBorders>
            <w:shd w:val="clear" w:color="000000" w:fill="D3C5D7"/>
            <w:noWrap/>
            <w:vAlign w:val="bottom"/>
            <w:hideMark/>
          </w:tcPr>
          <w:p w:rsidR="00836678" w:rsidRPr="005B2A83" w:rsidRDefault="00836678"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61.6%</w:t>
            </w:r>
          </w:p>
        </w:tc>
        <w:tc>
          <w:tcPr>
            <w:tcW w:w="1660" w:type="dxa"/>
            <w:tcBorders>
              <w:top w:val="nil"/>
              <w:left w:val="single" w:sz="8" w:space="0" w:color="auto"/>
              <w:bottom w:val="single" w:sz="4" w:space="0" w:color="auto"/>
              <w:right w:val="single" w:sz="8" w:space="0" w:color="auto"/>
            </w:tcBorders>
            <w:shd w:val="clear" w:color="000000" w:fill="D3C5D7"/>
            <w:noWrap/>
            <w:vAlign w:val="bottom"/>
            <w:hideMark/>
          </w:tcPr>
          <w:p w:rsidR="00836678" w:rsidRPr="005B2A83" w:rsidRDefault="00836678"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89.1%</w:t>
            </w:r>
          </w:p>
        </w:tc>
      </w:tr>
      <w:tr w:rsidR="00836678" w:rsidRPr="005B2A83" w:rsidTr="006C6779">
        <w:trPr>
          <w:trHeight w:val="270"/>
        </w:trPr>
        <w:tc>
          <w:tcPr>
            <w:tcW w:w="1660" w:type="dxa"/>
            <w:tcBorders>
              <w:top w:val="single" w:sz="4" w:space="0" w:color="auto"/>
              <w:left w:val="single" w:sz="4" w:space="0" w:color="auto"/>
              <w:bottom w:val="single" w:sz="4" w:space="0" w:color="auto"/>
              <w:right w:val="single" w:sz="4" w:space="0" w:color="auto"/>
            </w:tcBorders>
            <w:shd w:val="clear" w:color="000000" w:fill="D3C5D7"/>
            <w:vAlign w:val="center"/>
            <w:hideMark/>
          </w:tcPr>
          <w:p w:rsidR="00836678" w:rsidRPr="005B2A83" w:rsidRDefault="006C6779"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5 Years</w:t>
            </w:r>
          </w:p>
        </w:tc>
        <w:tc>
          <w:tcPr>
            <w:tcW w:w="1660" w:type="dxa"/>
            <w:tcBorders>
              <w:top w:val="nil"/>
              <w:left w:val="single" w:sz="4" w:space="0" w:color="auto"/>
              <w:bottom w:val="single" w:sz="4" w:space="0" w:color="auto"/>
              <w:right w:val="single" w:sz="8" w:space="0" w:color="auto"/>
            </w:tcBorders>
            <w:shd w:val="clear" w:color="000000" w:fill="D3C5D7"/>
            <w:noWrap/>
            <w:vAlign w:val="bottom"/>
            <w:hideMark/>
          </w:tcPr>
          <w:p w:rsidR="00836678" w:rsidRPr="005B2A83" w:rsidRDefault="00836678"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R1</w:t>
            </w:r>
          </w:p>
        </w:tc>
        <w:tc>
          <w:tcPr>
            <w:tcW w:w="1660" w:type="dxa"/>
            <w:tcBorders>
              <w:top w:val="nil"/>
              <w:left w:val="nil"/>
              <w:bottom w:val="single" w:sz="4" w:space="0" w:color="auto"/>
              <w:right w:val="nil"/>
            </w:tcBorders>
            <w:shd w:val="clear" w:color="000000" w:fill="D3C5D7"/>
            <w:noWrap/>
            <w:vAlign w:val="bottom"/>
            <w:hideMark/>
          </w:tcPr>
          <w:p w:rsidR="00836678" w:rsidRPr="005B2A83" w:rsidRDefault="00836678"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85.5%</w:t>
            </w:r>
          </w:p>
        </w:tc>
        <w:tc>
          <w:tcPr>
            <w:tcW w:w="1660" w:type="dxa"/>
            <w:tcBorders>
              <w:top w:val="nil"/>
              <w:left w:val="single" w:sz="8" w:space="0" w:color="auto"/>
              <w:bottom w:val="single" w:sz="4" w:space="0" w:color="auto"/>
              <w:right w:val="single" w:sz="8" w:space="0" w:color="auto"/>
            </w:tcBorders>
            <w:shd w:val="clear" w:color="000000" w:fill="D3C5D7"/>
            <w:noWrap/>
            <w:vAlign w:val="bottom"/>
            <w:hideMark/>
          </w:tcPr>
          <w:p w:rsidR="00836678" w:rsidRPr="005B2A83" w:rsidRDefault="00836678"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 </w:t>
            </w:r>
          </w:p>
        </w:tc>
        <w:tc>
          <w:tcPr>
            <w:tcW w:w="1660" w:type="dxa"/>
            <w:tcBorders>
              <w:top w:val="nil"/>
              <w:left w:val="nil"/>
              <w:bottom w:val="single" w:sz="4" w:space="0" w:color="auto"/>
              <w:right w:val="nil"/>
            </w:tcBorders>
            <w:shd w:val="clear" w:color="000000" w:fill="D3C5D7"/>
            <w:noWrap/>
            <w:vAlign w:val="bottom"/>
            <w:hideMark/>
          </w:tcPr>
          <w:p w:rsidR="00836678" w:rsidRPr="005B2A83" w:rsidRDefault="00836678"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81.6%</w:t>
            </w:r>
          </w:p>
        </w:tc>
        <w:tc>
          <w:tcPr>
            <w:tcW w:w="1660" w:type="dxa"/>
            <w:tcBorders>
              <w:top w:val="nil"/>
              <w:left w:val="single" w:sz="8" w:space="0" w:color="auto"/>
              <w:bottom w:val="single" w:sz="4" w:space="0" w:color="auto"/>
              <w:right w:val="single" w:sz="8" w:space="0" w:color="auto"/>
            </w:tcBorders>
            <w:shd w:val="clear" w:color="000000" w:fill="D3C5D7"/>
            <w:noWrap/>
            <w:vAlign w:val="bottom"/>
            <w:hideMark/>
          </w:tcPr>
          <w:p w:rsidR="00836678" w:rsidRPr="005B2A83" w:rsidRDefault="00836678"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89.8%</w:t>
            </w:r>
          </w:p>
        </w:tc>
      </w:tr>
      <w:tr w:rsidR="00836678" w:rsidRPr="005B2A83" w:rsidTr="006C6779">
        <w:trPr>
          <w:trHeight w:val="270"/>
        </w:trPr>
        <w:tc>
          <w:tcPr>
            <w:tcW w:w="1660" w:type="dxa"/>
            <w:tcBorders>
              <w:top w:val="single" w:sz="4" w:space="0" w:color="auto"/>
              <w:left w:val="single" w:sz="4" w:space="0" w:color="auto"/>
              <w:bottom w:val="single" w:sz="4" w:space="0" w:color="auto"/>
              <w:right w:val="single" w:sz="4" w:space="0" w:color="auto"/>
            </w:tcBorders>
            <w:shd w:val="clear" w:color="000000" w:fill="D3C5D7"/>
            <w:vAlign w:val="center"/>
            <w:hideMark/>
          </w:tcPr>
          <w:p w:rsidR="00836678" w:rsidRPr="005B2A83" w:rsidRDefault="006C6779"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5 Years</w:t>
            </w:r>
          </w:p>
        </w:tc>
        <w:tc>
          <w:tcPr>
            <w:tcW w:w="1660" w:type="dxa"/>
            <w:tcBorders>
              <w:top w:val="nil"/>
              <w:left w:val="single" w:sz="4" w:space="0" w:color="auto"/>
              <w:bottom w:val="single" w:sz="4" w:space="0" w:color="auto"/>
              <w:right w:val="single" w:sz="8" w:space="0" w:color="auto"/>
            </w:tcBorders>
            <w:shd w:val="clear" w:color="000000" w:fill="D3C5D7"/>
            <w:noWrap/>
            <w:vAlign w:val="bottom"/>
            <w:hideMark/>
          </w:tcPr>
          <w:p w:rsidR="00836678" w:rsidRPr="005B2A83" w:rsidRDefault="00836678"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R2</w:t>
            </w:r>
          </w:p>
        </w:tc>
        <w:tc>
          <w:tcPr>
            <w:tcW w:w="1660" w:type="dxa"/>
            <w:tcBorders>
              <w:top w:val="nil"/>
              <w:left w:val="nil"/>
              <w:bottom w:val="single" w:sz="4" w:space="0" w:color="auto"/>
              <w:right w:val="nil"/>
            </w:tcBorders>
            <w:shd w:val="clear" w:color="000000" w:fill="D3C5D7"/>
            <w:noWrap/>
            <w:vAlign w:val="bottom"/>
            <w:hideMark/>
          </w:tcPr>
          <w:p w:rsidR="00836678" w:rsidRPr="005B2A83" w:rsidRDefault="00836678"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87.6%</w:t>
            </w:r>
          </w:p>
        </w:tc>
        <w:tc>
          <w:tcPr>
            <w:tcW w:w="1660" w:type="dxa"/>
            <w:tcBorders>
              <w:top w:val="nil"/>
              <w:left w:val="single" w:sz="8" w:space="0" w:color="auto"/>
              <w:bottom w:val="single" w:sz="4" w:space="0" w:color="auto"/>
              <w:right w:val="single" w:sz="8" w:space="0" w:color="auto"/>
            </w:tcBorders>
            <w:shd w:val="clear" w:color="000000" w:fill="D3C5D7"/>
            <w:noWrap/>
            <w:vAlign w:val="bottom"/>
            <w:hideMark/>
          </w:tcPr>
          <w:p w:rsidR="00836678" w:rsidRPr="005B2A83" w:rsidRDefault="00836678"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 </w:t>
            </w:r>
          </w:p>
        </w:tc>
        <w:tc>
          <w:tcPr>
            <w:tcW w:w="1660" w:type="dxa"/>
            <w:tcBorders>
              <w:top w:val="nil"/>
              <w:left w:val="nil"/>
              <w:bottom w:val="single" w:sz="4" w:space="0" w:color="auto"/>
              <w:right w:val="nil"/>
            </w:tcBorders>
            <w:shd w:val="clear" w:color="000000" w:fill="D3C5D7"/>
            <w:noWrap/>
            <w:vAlign w:val="bottom"/>
            <w:hideMark/>
          </w:tcPr>
          <w:p w:rsidR="00836678" w:rsidRPr="005B2A83" w:rsidRDefault="00836678"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86.1%</w:t>
            </w:r>
          </w:p>
        </w:tc>
        <w:tc>
          <w:tcPr>
            <w:tcW w:w="1660" w:type="dxa"/>
            <w:tcBorders>
              <w:top w:val="nil"/>
              <w:left w:val="single" w:sz="8" w:space="0" w:color="auto"/>
              <w:bottom w:val="single" w:sz="4" w:space="0" w:color="auto"/>
              <w:right w:val="single" w:sz="8" w:space="0" w:color="auto"/>
            </w:tcBorders>
            <w:shd w:val="clear" w:color="000000" w:fill="D3C5D7"/>
            <w:noWrap/>
            <w:vAlign w:val="bottom"/>
            <w:hideMark/>
          </w:tcPr>
          <w:p w:rsidR="00836678" w:rsidRPr="005B2A83" w:rsidRDefault="00836678"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89.2%</w:t>
            </w:r>
          </w:p>
        </w:tc>
      </w:tr>
      <w:tr w:rsidR="00836678" w:rsidRPr="005B2A83" w:rsidTr="006C6779">
        <w:trPr>
          <w:trHeight w:val="270"/>
        </w:trPr>
        <w:tc>
          <w:tcPr>
            <w:tcW w:w="1660" w:type="dxa"/>
            <w:tcBorders>
              <w:top w:val="single" w:sz="4" w:space="0" w:color="auto"/>
              <w:left w:val="single" w:sz="4" w:space="0" w:color="auto"/>
              <w:bottom w:val="single" w:sz="4" w:space="0" w:color="auto"/>
              <w:right w:val="single" w:sz="4" w:space="0" w:color="auto"/>
            </w:tcBorders>
            <w:shd w:val="clear" w:color="000000" w:fill="D3C5D7"/>
            <w:vAlign w:val="center"/>
            <w:hideMark/>
          </w:tcPr>
          <w:p w:rsidR="00836678" w:rsidRPr="005B2A83" w:rsidRDefault="006C6779"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5 Years</w:t>
            </w:r>
          </w:p>
        </w:tc>
        <w:tc>
          <w:tcPr>
            <w:tcW w:w="1660" w:type="dxa"/>
            <w:tcBorders>
              <w:top w:val="nil"/>
              <w:left w:val="single" w:sz="4" w:space="0" w:color="auto"/>
              <w:bottom w:val="single" w:sz="4" w:space="0" w:color="auto"/>
              <w:right w:val="single" w:sz="8" w:space="0" w:color="auto"/>
            </w:tcBorders>
            <w:shd w:val="clear" w:color="000000" w:fill="D3C5D7"/>
            <w:noWrap/>
            <w:vAlign w:val="bottom"/>
            <w:hideMark/>
          </w:tcPr>
          <w:p w:rsidR="00836678" w:rsidRPr="005B2A83" w:rsidRDefault="00836678"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R3</w:t>
            </w:r>
          </w:p>
        </w:tc>
        <w:tc>
          <w:tcPr>
            <w:tcW w:w="1660" w:type="dxa"/>
            <w:tcBorders>
              <w:top w:val="nil"/>
              <w:left w:val="nil"/>
              <w:bottom w:val="single" w:sz="4" w:space="0" w:color="auto"/>
              <w:right w:val="nil"/>
            </w:tcBorders>
            <w:shd w:val="clear" w:color="000000" w:fill="D3C5D7"/>
            <w:noWrap/>
            <w:vAlign w:val="bottom"/>
            <w:hideMark/>
          </w:tcPr>
          <w:p w:rsidR="00836678" w:rsidRPr="005B2A83" w:rsidRDefault="00836678"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89.4%</w:t>
            </w:r>
          </w:p>
        </w:tc>
        <w:tc>
          <w:tcPr>
            <w:tcW w:w="1660" w:type="dxa"/>
            <w:tcBorders>
              <w:top w:val="nil"/>
              <w:left w:val="single" w:sz="8" w:space="0" w:color="auto"/>
              <w:bottom w:val="single" w:sz="4" w:space="0" w:color="auto"/>
              <w:right w:val="single" w:sz="8" w:space="0" w:color="auto"/>
            </w:tcBorders>
            <w:shd w:val="clear" w:color="000000" w:fill="D3C5D7"/>
            <w:noWrap/>
            <w:vAlign w:val="bottom"/>
            <w:hideMark/>
          </w:tcPr>
          <w:p w:rsidR="00836678" w:rsidRPr="005B2A83" w:rsidRDefault="00836678"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 </w:t>
            </w:r>
          </w:p>
        </w:tc>
        <w:tc>
          <w:tcPr>
            <w:tcW w:w="1660" w:type="dxa"/>
            <w:tcBorders>
              <w:top w:val="nil"/>
              <w:left w:val="nil"/>
              <w:bottom w:val="single" w:sz="4" w:space="0" w:color="auto"/>
              <w:right w:val="nil"/>
            </w:tcBorders>
            <w:shd w:val="clear" w:color="000000" w:fill="D3C5D7"/>
            <w:noWrap/>
            <w:vAlign w:val="bottom"/>
            <w:hideMark/>
          </w:tcPr>
          <w:p w:rsidR="00836678" w:rsidRPr="005B2A83" w:rsidRDefault="00836678"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89.9%</w:t>
            </w:r>
          </w:p>
        </w:tc>
        <w:tc>
          <w:tcPr>
            <w:tcW w:w="1660" w:type="dxa"/>
            <w:tcBorders>
              <w:top w:val="nil"/>
              <w:left w:val="single" w:sz="8" w:space="0" w:color="auto"/>
              <w:bottom w:val="single" w:sz="4" w:space="0" w:color="auto"/>
              <w:right w:val="single" w:sz="8" w:space="0" w:color="auto"/>
            </w:tcBorders>
            <w:shd w:val="clear" w:color="000000" w:fill="D3C5D7"/>
            <w:noWrap/>
            <w:vAlign w:val="bottom"/>
            <w:hideMark/>
          </w:tcPr>
          <w:p w:rsidR="00836678" w:rsidRPr="005B2A83" w:rsidRDefault="00836678"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88.7%</w:t>
            </w:r>
          </w:p>
        </w:tc>
      </w:tr>
      <w:tr w:rsidR="00836678" w:rsidRPr="005B2A83" w:rsidTr="006C6779">
        <w:trPr>
          <w:trHeight w:val="270"/>
        </w:trPr>
        <w:tc>
          <w:tcPr>
            <w:tcW w:w="1660" w:type="dxa"/>
            <w:tcBorders>
              <w:top w:val="single" w:sz="4" w:space="0" w:color="auto"/>
              <w:left w:val="single" w:sz="4" w:space="0" w:color="auto"/>
              <w:bottom w:val="single" w:sz="4" w:space="0" w:color="auto"/>
              <w:right w:val="single" w:sz="4" w:space="0" w:color="auto"/>
            </w:tcBorders>
            <w:shd w:val="clear" w:color="000000" w:fill="D3C5D7"/>
            <w:vAlign w:val="center"/>
            <w:hideMark/>
          </w:tcPr>
          <w:p w:rsidR="00836678" w:rsidRPr="005B2A83" w:rsidRDefault="006C6779"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5 Years</w:t>
            </w:r>
          </w:p>
        </w:tc>
        <w:tc>
          <w:tcPr>
            <w:tcW w:w="1660" w:type="dxa"/>
            <w:tcBorders>
              <w:top w:val="nil"/>
              <w:left w:val="single" w:sz="4" w:space="0" w:color="auto"/>
              <w:bottom w:val="single" w:sz="4" w:space="0" w:color="auto"/>
              <w:right w:val="single" w:sz="8" w:space="0" w:color="auto"/>
            </w:tcBorders>
            <w:shd w:val="clear" w:color="000000" w:fill="D3C5D7"/>
            <w:noWrap/>
            <w:vAlign w:val="bottom"/>
            <w:hideMark/>
          </w:tcPr>
          <w:p w:rsidR="00836678" w:rsidRPr="005B2A83" w:rsidRDefault="00836678"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R4</w:t>
            </w:r>
          </w:p>
        </w:tc>
        <w:tc>
          <w:tcPr>
            <w:tcW w:w="1660" w:type="dxa"/>
            <w:tcBorders>
              <w:top w:val="nil"/>
              <w:left w:val="nil"/>
              <w:bottom w:val="single" w:sz="4" w:space="0" w:color="auto"/>
              <w:right w:val="nil"/>
            </w:tcBorders>
            <w:shd w:val="clear" w:color="000000" w:fill="D3C5D7"/>
            <w:noWrap/>
            <w:vAlign w:val="bottom"/>
            <w:hideMark/>
          </w:tcPr>
          <w:p w:rsidR="00836678" w:rsidRPr="005B2A83" w:rsidRDefault="00836678"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89.8%</w:t>
            </w:r>
          </w:p>
        </w:tc>
        <w:tc>
          <w:tcPr>
            <w:tcW w:w="1660" w:type="dxa"/>
            <w:tcBorders>
              <w:top w:val="nil"/>
              <w:left w:val="single" w:sz="8" w:space="0" w:color="auto"/>
              <w:bottom w:val="single" w:sz="4" w:space="0" w:color="auto"/>
              <w:right w:val="single" w:sz="8" w:space="0" w:color="auto"/>
            </w:tcBorders>
            <w:shd w:val="clear" w:color="000000" w:fill="D3C5D7"/>
            <w:noWrap/>
            <w:vAlign w:val="bottom"/>
            <w:hideMark/>
          </w:tcPr>
          <w:p w:rsidR="00836678" w:rsidRPr="005B2A83" w:rsidRDefault="00836678"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 </w:t>
            </w:r>
          </w:p>
        </w:tc>
        <w:tc>
          <w:tcPr>
            <w:tcW w:w="1660" w:type="dxa"/>
            <w:tcBorders>
              <w:top w:val="nil"/>
              <w:left w:val="nil"/>
              <w:bottom w:val="single" w:sz="4" w:space="0" w:color="auto"/>
              <w:right w:val="nil"/>
            </w:tcBorders>
            <w:shd w:val="clear" w:color="000000" w:fill="D3C5D7"/>
            <w:noWrap/>
            <w:vAlign w:val="bottom"/>
            <w:hideMark/>
          </w:tcPr>
          <w:p w:rsidR="00836678" w:rsidRPr="005B2A83" w:rsidRDefault="00836678"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90.3%</w:t>
            </w:r>
          </w:p>
        </w:tc>
        <w:tc>
          <w:tcPr>
            <w:tcW w:w="1660" w:type="dxa"/>
            <w:tcBorders>
              <w:top w:val="nil"/>
              <w:left w:val="single" w:sz="8" w:space="0" w:color="auto"/>
              <w:bottom w:val="single" w:sz="4" w:space="0" w:color="auto"/>
              <w:right w:val="single" w:sz="8" w:space="0" w:color="auto"/>
            </w:tcBorders>
            <w:shd w:val="clear" w:color="000000" w:fill="D3C5D7"/>
            <w:noWrap/>
            <w:vAlign w:val="bottom"/>
            <w:hideMark/>
          </w:tcPr>
          <w:p w:rsidR="00836678" w:rsidRPr="005B2A83" w:rsidRDefault="00836678"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89.1%</w:t>
            </w:r>
          </w:p>
        </w:tc>
      </w:tr>
      <w:tr w:rsidR="00836678" w:rsidRPr="005B2A83" w:rsidTr="006C6779">
        <w:trPr>
          <w:trHeight w:val="278"/>
        </w:trPr>
        <w:tc>
          <w:tcPr>
            <w:tcW w:w="1660" w:type="dxa"/>
            <w:tcBorders>
              <w:top w:val="single" w:sz="4" w:space="0" w:color="auto"/>
              <w:left w:val="single" w:sz="8" w:space="0" w:color="auto"/>
              <w:bottom w:val="single" w:sz="8" w:space="0" w:color="000000"/>
              <w:right w:val="single" w:sz="8" w:space="0" w:color="auto"/>
            </w:tcBorders>
            <w:shd w:val="clear" w:color="000000" w:fill="D3C5D7"/>
            <w:vAlign w:val="center"/>
            <w:hideMark/>
          </w:tcPr>
          <w:p w:rsidR="00836678" w:rsidRPr="005B2A83" w:rsidRDefault="006C6779"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lastRenderedPageBreak/>
              <w:t>5 Years</w:t>
            </w:r>
          </w:p>
        </w:tc>
        <w:tc>
          <w:tcPr>
            <w:tcW w:w="1660" w:type="dxa"/>
            <w:tcBorders>
              <w:top w:val="nil"/>
              <w:left w:val="nil"/>
              <w:bottom w:val="single" w:sz="8" w:space="0" w:color="auto"/>
              <w:right w:val="single" w:sz="8" w:space="0" w:color="auto"/>
            </w:tcBorders>
            <w:shd w:val="clear" w:color="000000" w:fill="D3C5D7"/>
            <w:noWrap/>
            <w:vAlign w:val="bottom"/>
            <w:hideMark/>
          </w:tcPr>
          <w:p w:rsidR="00836678" w:rsidRPr="005B2A83" w:rsidRDefault="00836678"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R5</w:t>
            </w:r>
          </w:p>
        </w:tc>
        <w:tc>
          <w:tcPr>
            <w:tcW w:w="1660" w:type="dxa"/>
            <w:tcBorders>
              <w:top w:val="nil"/>
              <w:left w:val="nil"/>
              <w:bottom w:val="single" w:sz="8" w:space="0" w:color="auto"/>
              <w:right w:val="nil"/>
            </w:tcBorders>
            <w:shd w:val="clear" w:color="000000" w:fill="D3C5D7"/>
            <w:noWrap/>
            <w:vAlign w:val="bottom"/>
            <w:hideMark/>
          </w:tcPr>
          <w:p w:rsidR="00836678" w:rsidRPr="005B2A83" w:rsidRDefault="00836678"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88.4%</w:t>
            </w:r>
          </w:p>
        </w:tc>
        <w:tc>
          <w:tcPr>
            <w:tcW w:w="1660" w:type="dxa"/>
            <w:tcBorders>
              <w:top w:val="nil"/>
              <w:left w:val="single" w:sz="8" w:space="0" w:color="auto"/>
              <w:bottom w:val="single" w:sz="8" w:space="0" w:color="auto"/>
              <w:right w:val="single" w:sz="8" w:space="0" w:color="auto"/>
            </w:tcBorders>
            <w:shd w:val="clear" w:color="000000" w:fill="D3C5D7"/>
            <w:noWrap/>
            <w:vAlign w:val="bottom"/>
            <w:hideMark/>
          </w:tcPr>
          <w:p w:rsidR="00836678" w:rsidRPr="005B2A83" w:rsidRDefault="00836678"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 </w:t>
            </w:r>
          </w:p>
        </w:tc>
        <w:tc>
          <w:tcPr>
            <w:tcW w:w="1660" w:type="dxa"/>
            <w:tcBorders>
              <w:top w:val="nil"/>
              <w:left w:val="nil"/>
              <w:bottom w:val="single" w:sz="8" w:space="0" w:color="auto"/>
              <w:right w:val="nil"/>
            </w:tcBorders>
            <w:shd w:val="clear" w:color="000000" w:fill="D3C5D7"/>
            <w:noWrap/>
            <w:vAlign w:val="bottom"/>
            <w:hideMark/>
          </w:tcPr>
          <w:p w:rsidR="00836678" w:rsidRPr="005B2A83" w:rsidRDefault="00836678"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89.0%</w:t>
            </w:r>
          </w:p>
        </w:tc>
        <w:tc>
          <w:tcPr>
            <w:tcW w:w="1660" w:type="dxa"/>
            <w:tcBorders>
              <w:top w:val="nil"/>
              <w:left w:val="single" w:sz="8" w:space="0" w:color="auto"/>
              <w:bottom w:val="single" w:sz="8" w:space="0" w:color="auto"/>
              <w:right w:val="single" w:sz="8" w:space="0" w:color="auto"/>
            </w:tcBorders>
            <w:shd w:val="clear" w:color="000000" w:fill="D3C5D7"/>
            <w:noWrap/>
            <w:vAlign w:val="bottom"/>
            <w:hideMark/>
          </w:tcPr>
          <w:p w:rsidR="00836678" w:rsidRPr="005B2A83" w:rsidRDefault="00836678"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87.8%</w:t>
            </w:r>
          </w:p>
        </w:tc>
      </w:tr>
      <w:tr w:rsidR="005B2A83" w:rsidRPr="005B2A83" w:rsidTr="005B2A83">
        <w:trPr>
          <w:trHeight w:val="270"/>
        </w:trPr>
        <w:tc>
          <w:tcPr>
            <w:tcW w:w="1660" w:type="dxa"/>
            <w:tcBorders>
              <w:top w:val="nil"/>
              <w:left w:val="single" w:sz="8" w:space="0" w:color="auto"/>
              <w:bottom w:val="single" w:sz="8" w:space="0" w:color="000000"/>
              <w:right w:val="single" w:sz="8" w:space="0" w:color="auto"/>
            </w:tcBorders>
            <w:shd w:val="clear" w:color="000000" w:fill="E3EED3"/>
            <w:noWrap/>
            <w:vAlign w:val="center"/>
            <w:hideMark/>
          </w:tcPr>
          <w:p w:rsidR="005B2A83" w:rsidRPr="005B2A83" w:rsidRDefault="005B2A83"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4 Years</w:t>
            </w:r>
          </w:p>
        </w:tc>
        <w:tc>
          <w:tcPr>
            <w:tcW w:w="1660" w:type="dxa"/>
            <w:tcBorders>
              <w:top w:val="nil"/>
              <w:left w:val="nil"/>
              <w:bottom w:val="single" w:sz="4" w:space="0" w:color="auto"/>
              <w:right w:val="single" w:sz="8" w:space="0" w:color="auto"/>
            </w:tcBorders>
            <w:shd w:val="clear" w:color="000000" w:fill="E3EED3"/>
            <w:noWrap/>
            <w:vAlign w:val="bottom"/>
            <w:hideMark/>
          </w:tcPr>
          <w:p w:rsidR="005B2A83" w:rsidRPr="005B2A83" w:rsidRDefault="005B2A83"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B</w:t>
            </w:r>
          </w:p>
        </w:tc>
        <w:tc>
          <w:tcPr>
            <w:tcW w:w="1660" w:type="dxa"/>
            <w:tcBorders>
              <w:top w:val="nil"/>
              <w:left w:val="nil"/>
              <w:bottom w:val="single" w:sz="4" w:space="0" w:color="auto"/>
              <w:right w:val="nil"/>
            </w:tcBorders>
            <w:shd w:val="clear" w:color="000000" w:fill="E3EED3"/>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77.0%</w:t>
            </w:r>
          </w:p>
        </w:tc>
        <w:tc>
          <w:tcPr>
            <w:tcW w:w="1660" w:type="dxa"/>
            <w:tcBorders>
              <w:top w:val="nil"/>
              <w:left w:val="single" w:sz="8" w:space="0" w:color="auto"/>
              <w:bottom w:val="single" w:sz="4" w:space="0" w:color="auto"/>
              <w:right w:val="single" w:sz="8" w:space="0" w:color="auto"/>
            </w:tcBorders>
            <w:shd w:val="clear" w:color="000000" w:fill="E3EED3"/>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81.1%</w:t>
            </w:r>
          </w:p>
        </w:tc>
        <w:tc>
          <w:tcPr>
            <w:tcW w:w="1660" w:type="dxa"/>
            <w:tcBorders>
              <w:top w:val="nil"/>
              <w:left w:val="nil"/>
              <w:bottom w:val="single" w:sz="4" w:space="0" w:color="auto"/>
              <w:right w:val="nil"/>
            </w:tcBorders>
            <w:shd w:val="clear" w:color="000000" w:fill="E3EED3"/>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64.9%</w:t>
            </w:r>
          </w:p>
        </w:tc>
        <w:tc>
          <w:tcPr>
            <w:tcW w:w="1660" w:type="dxa"/>
            <w:tcBorders>
              <w:top w:val="nil"/>
              <w:left w:val="single" w:sz="8" w:space="0" w:color="auto"/>
              <w:bottom w:val="single" w:sz="4" w:space="0" w:color="auto"/>
              <w:right w:val="single" w:sz="8" w:space="0" w:color="auto"/>
            </w:tcBorders>
            <w:shd w:val="clear" w:color="000000" w:fill="E3EED3"/>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88.3%</w:t>
            </w:r>
          </w:p>
        </w:tc>
      </w:tr>
      <w:tr w:rsidR="005B2A83" w:rsidRPr="005B2A83" w:rsidTr="006C6779">
        <w:trPr>
          <w:trHeight w:val="270"/>
        </w:trPr>
        <w:tc>
          <w:tcPr>
            <w:tcW w:w="1660" w:type="dxa"/>
            <w:tcBorders>
              <w:top w:val="nil"/>
              <w:left w:val="single" w:sz="8" w:space="0" w:color="auto"/>
              <w:bottom w:val="single" w:sz="8" w:space="0" w:color="000000"/>
              <w:right w:val="single" w:sz="8" w:space="0" w:color="auto"/>
            </w:tcBorders>
            <w:shd w:val="clear" w:color="000000" w:fill="E3EED3"/>
            <w:vAlign w:val="center"/>
            <w:hideMark/>
          </w:tcPr>
          <w:p w:rsidR="005B2A83" w:rsidRPr="005B2A83" w:rsidRDefault="006C6779"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4 Years</w:t>
            </w:r>
          </w:p>
        </w:tc>
        <w:tc>
          <w:tcPr>
            <w:tcW w:w="1660" w:type="dxa"/>
            <w:tcBorders>
              <w:top w:val="nil"/>
              <w:left w:val="nil"/>
              <w:bottom w:val="single" w:sz="4" w:space="0" w:color="auto"/>
              <w:right w:val="single" w:sz="8" w:space="0" w:color="auto"/>
            </w:tcBorders>
            <w:shd w:val="clear" w:color="000000" w:fill="E3EED3"/>
            <w:noWrap/>
            <w:vAlign w:val="bottom"/>
            <w:hideMark/>
          </w:tcPr>
          <w:p w:rsidR="005B2A83" w:rsidRPr="005B2A83" w:rsidRDefault="005B2A83"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R1</w:t>
            </w:r>
          </w:p>
        </w:tc>
        <w:tc>
          <w:tcPr>
            <w:tcW w:w="1660" w:type="dxa"/>
            <w:tcBorders>
              <w:top w:val="nil"/>
              <w:left w:val="nil"/>
              <w:bottom w:val="single" w:sz="4" w:space="0" w:color="auto"/>
              <w:right w:val="nil"/>
            </w:tcBorders>
            <w:shd w:val="clear" w:color="000000" w:fill="E3EED3"/>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84.8%</w:t>
            </w:r>
          </w:p>
        </w:tc>
        <w:tc>
          <w:tcPr>
            <w:tcW w:w="1660" w:type="dxa"/>
            <w:tcBorders>
              <w:top w:val="nil"/>
              <w:left w:val="single" w:sz="8" w:space="0" w:color="auto"/>
              <w:bottom w:val="single" w:sz="4" w:space="0" w:color="auto"/>
              <w:right w:val="single" w:sz="8" w:space="0" w:color="auto"/>
            </w:tcBorders>
            <w:shd w:val="clear" w:color="000000" w:fill="E3EED3"/>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86.4%</w:t>
            </w:r>
          </w:p>
        </w:tc>
        <w:tc>
          <w:tcPr>
            <w:tcW w:w="1660" w:type="dxa"/>
            <w:tcBorders>
              <w:top w:val="nil"/>
              <w:left w:val="nil"/>
              <w:bottom w:val="single" w:sz="4" w:space="0" w:color="auto"/>
              <w:right w:val="nil"/>
            </w:tcBorders>
            <w:shd w:val="clear" w:color="000000" w:fill="E3EED3"/>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80.7%</w:t>
            </w:r>
          </w:p>
        </w:tc>
        <w:tc>
          <w:tcPr>
            <w:tcW w:w="1660" w:type="dxa"/>
            <w:tcBorders>
              <w:top w:val="nil"/>
              <w:left w:val="single" w:sz="8" w:space="0" w:color="auto"/>
              <w:bottom w:val="single" w:sz="4" w:space="0" w:color="auto"/>
              <w:right w:val="single" w:sz="8" w:space="0" w:color="auto"/>
            </w:tcBorders>
            <w:shd w:val="clear" w:color="000000" w:fill="E3EED3"/>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88.4%</w:t>
            </w:r>
          </w:p>
        </w:tc>
      </w:tr>
      <w:tr w:rsidR="005B2A83" w:rsidRPr="005B2A83" w:rsidTr="006C6779">
        <w:trPr>
          <w:trHeight w:val="270"/>
        </w:trPr>
        <w:tc>
          <w:tcPr>
            <w:tcW w:w="1660" w:type="dxa"/>
            <w:tcBorders>
              <w:top w:val="nil"/>
              <w:left w:val="single" w:sz="8" w:space="0" w:color="auto"/>
              <w:bottom w:val="single" w:sz="8" w:space="0" w:color="000000"/>
              <w:right w:val="single" w:sz="8" w:space="0" w:color="auto"/>
            </w:tcBorders>
            <w:shd w:val="clear" w:color="000000" w:fill="E3EED3"/>
            <w:vAlign w:val="center"/>
            <w:hideMark/>
          </w:tcPr>
          <w:p w:rsidR="005B2A83" w:rsidRPr="005B2A83" w:rsidRDefault="006C6779"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4 Years</w:t>
            </w:r>
          </w:p>
        </w:tc>
        <w:tc>
          <w:tcPr>
            <w:tcW w:w="1660" w:type="dxa"/>
            <w:tcBorders>
              <w:top w:val="nil"/>
              <w:left w:val="nil"/>
              <w:bottom w:val="single" w:sz="4" w:space="0" w:color="auto"/>
              <w:right w:val="single" w:sz="8" w:space="0" w:color="auto"/>
            </w:tcBorders>
            <w:shd w:val="clear" w:color="000000" w:fill="E3EED3"/>
            <w:noWrap/>
            <w:vAlign w:val="bottom"/>
            <w:hideMark/>
          </w:tcPr>
          <w:p w:rsidR="005B2A83" w:rsidRPr="005B2A83" w:rsidRDefault="005B2A83"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R2</w:t>
            </w:r>
          </w:p>
        </w:tc>
        <w:tc>
          <w:tcPr>
            <w:tcW w:w="1660" w:type="dxa"/>
            <w:tcBorders>
              <w:top w:val="nil"/>
              <w:left w:val="nil"/>
              <w:bottom w:val="single" w:sz="4" w:space="0" w:color="auto"/>
              <w:right w:val="nil"/>
            </w:tcBorders>
            <w:shd w:val="clear" w:color="000000" w:fill="E3EED3"/>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87.9%</w:t>
            </w:r>
          </w:p>
        </w:tc>
        <w:tc>
          <w:tcPr>
            <w:tcW w:w="1660" w:type="dxa"/>
            <w:tcBorders>
              <w:top w:val="nil"/>
              <w:left w:val="single" w:sz="8" w:space="0" w:color="auto"/>
              <w:bottom w:val="single" w:sz="4" w:space="0" w:color="auto"/>
              <w:right w:val="single" w:sz="8" w:space="0" w:color="auto"/>
            </w:tcBorders>
            <w:shd w:val="clear" w:color="000000" w:fill="E3EED3"/>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80.1%</w:t>
            </w:r>
          </w:p>
        </w:tc>
        <w:tc>
          <w:tcPr>
            <w:tcW w:w="1660" w:type="dxa"/>
            <w:tcBorders>
              <w:top w:val="nil"/>
              <w:left w:val="nil"/>
              <w:bottom w:val="single" w:sz="4" w:space="0" w:color="auto"/>
              <w:right w:val="nil"/>
            </w:tcBorders>
            <w:shd w:val="clear" w:color="000000" w:fill="E3EED3"/>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87.5%</w:t>
            </w:r>
          </w:p>
        </w:tc>
        <w:tc>
          <w:tcPr>
            <w:tcW w:w="1660" w:type="dxa"/>
            <w:tcBorders>
              <w:top w:val="nil"/>
              <w:left w:val="single" w:sz="8" w:space="0" w:color="auto"/>
              <w:bottom w:val="single" w:sz="4" w:space="0" w:color="auto"/>
              <w:right w:val="single" w:sz="8" w:space="0" w:color="auto"/>
            </w:tcBorders>
            <w:shd w:val="clear" w:color="000000" w:fill="E3EED3"/>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88.5%</w:t>
            </w:r>
          </w:p>
        </w:tc>
      </w:tr>
      <w:tr w:rsidR="005B2A83" w:rsidRPr="005B2A83" w:rsidTr="006C6779">
        <w:trPr>
          <w:trHeight w:val="270"/>
        </w:trPr>
        <w:tc>
          <w:tcPr>
            <w:tcW w:w="1660" w:type="dxa"/>
            <w:tcBorders>
              <w:top w:val="nil"/>
              <w:left w:val="single" w:sz="8" w:space="0" w:color="auto"/>
              <w:bottom w:val="single" w:sz="8" w:space="0" w:color="000000"/>
              <w:right w:val="single" w:sz="8" w:space="0" w:color="auto"/>
            </w:tcBorders>
            <w:shd w:val="clear" w:color="000000" w:fill="E3EED3"/>
            <w:vAlign w:val="center"/>
            <w:hideMark/>
          </w:tcPr>
          <w:p w:rsidR="005B2A83" w:rsidRPr="005B2A83" w:rsidRDefault="006C6779"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4 Years</w:t>
            </w:r>
          </w:p>
        </w:tc>
        <w:tc>
          <w:tcPr>
            <w:tcW w:w="1660" w:type="dxa"/>
            <w:tcBorders>
              <w:top w:val="nil"/>
              <w:left w:val="nil"/>
              <w:bottom w:val="single" w:sz="4" w:space="0" w:color="auto"/>
              <w:right w:val="single" w:sz="8" w:space="0" w:color="auto"/>
            </w:tcBorders>
            <w:shd w:val="clear" w:color="000000" w:fill="E3EED3"/>
            <w:noWrap/>
            <w:vAlign w:val="bottom"/>
            <w:hideMark/>
          </w:tcPr>
          <w:p w:rsidR="005B2A83" w:rsidRPr="005B2A83" w:rsidRDefault="005B2A83"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R3</w:t>
            </w:r>
          </w:p>
        </w:tc>
        <w:tc>
          <w:tcPr>
            <w:tcW w:w="1660" w:type="dxa"/>
            <w:tcBorders>
              <w:top w:val="nil"/>
              <w:left w:val="nil"/>
              <w:bottom w:val="single" w:sz="4" w:space="0" w:color="auto"/>
              <w:right w:val="nil"/>
            </w:tcBorders>
            <w:shd w:val="clear" w:color="000000" w:fill="E3EED3"/>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89.2%</w:t>
            </w:r>
          </w:p>
        </w:tc>
        <w:tc>
          <w:tcPr>
            <w:tcW w:w="1660" w:type="dxa"/>
            <w:tcBorders>
              <w:top w:val="nil"/>
              <w:left w:val="single" w:sz="8" w:space="0" w:color="auto"/>
              <w:bottom w:val="single" w:sz="4" w:space="0" w:color="auto"/>
              <w:right w:val="single" w:sz="8" w:space="0" w:color="auto"/>
            </w:tcBorders>
            <w:shd w:val="clear" w:color="000000" w:fill="E3EED3"/>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81.7%</w:t>
            </w:r>
          </w:p>
        </w:tc>
        <w:tc>
          <w:tcPr>
            <w:tcW w:w="1660" w:type="dxa"/>
            <w:tcBorders>
              <w:top w:val="nil"/>
              <w:left w:val="nil"/>
              <w:bottom w:val="single" w:sz="4" w:space="0" w:color="auto"/>
              <w:right w:val="nil"/>
            </w:tcBorders>
            <w:shd w:val="clear" w:color="000000" w:fill="E3EED3"/>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90.3%</w:t>
            </w:r>
          </w:p>
        </w:tc>
        <w:tc>
          <w:tcPr>
            <w:tcW w:w="1660" w:type="dxa"/>
            <w:tcBorders>
              <w:top w:val="nil"/>
              <w:left w:val="single" w:sz="8" w:space="0" w:color="auto"/>
              <w:bottom w:val="single" w:sz="4" w:space="0" w:color="auto"/>
              <w:right w:val="single" w:sz="8" w:space="0" w:color="auto"/>
            </w:tcBorders>
            <w:shd w:val="clear" w:color="000000" w:fill="E3EED3"/>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88.3%</w:t>
            </w:r>
          </w:p>
        </w:tc>
      </w:tr>
      <w:tr w:rsidR="005B2A83" w:rsidRPr="005B2A83" w:rsidTr="006C6779">
        <w:trPr>
          <w:trHeight w:val="278"/>
        </w:trPr>
        <w:tc>
          <w:tcPr>
            <w:tcW w:w="1660" w:type="dxa"/>
            <w:tcBorders>
              <w:top w:val="nil"/>
              <w:left w:val="single" w:sz="8" w:space="0" w:color="auto"/>
              <w:bottom w:val="single" w:sz="8" w:space="0" w:color="000000"/>
              <w:right w:val="single" w:sz="8" w:space="0" w:color="auto"/>
            </w:tcBorders>
            <w:shd w:val="clear" w:color="000000" w:fill="E3EED3"/>
            <w:vAlign w:val="center"/>
            <w:hideMark/>
          </w:tcPr>
          <w:p w:rsidR="005B2A83" w:rsidRPr="005B2A83" w:rsidRDefault="006C6779"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4 Years</w:t>
            </w:r>
          </w:p>
        </w:tc>
        <w:tc>
          <w:tcPr>
            <w:tcW w:w="1660" w:type="dxa"/>
            <w:tcBorders>
              <w:top w:val="nil"/>
              <w:left w:val="nil"/>
              <w:bottom w:val="single" w:sz="8" w:space="0" w:color="auto"/>
              <w:right w:val="single" w:sz="8" w:space="0" w:color="auto"/>
            </w:tcBorders>
            <w:shd w:val="clear" w:color="000000" w:fill="E3EED3"/>
            <w:noWrap/>
            <w:vAlign w:val="bottom"/>
            <w:hideMark/>
          </w:tcPr>
          <w:p w:rsidR="005B2A83" w:rsidRPr="005B2A83" w:rsidRDefault="005B2A83"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R4</w:t>
            </w:r>
          </w:p>
        </w:tc>
        <w:tc>
          <w:tcPr>
            <w:tcW w:w="1660" w:type="dxa"/>
            <w:tcBorders>
              <w:top w:val="nil"/>
              <w:left w:val="nil"/>
              <w:bottom w:val="single" w:sz="8" w:space="0" w:color="auto"/>
              <w:right w:val="nil"/>
            </w:tcBorders>
            <w:shd w:val="clear" w:color="000000" w:fill="E3EED3"/>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88.9%</w:t>
            </w:r>
          </w:p>
        </w:tc>
        <w:tc>
          <w:tcPr>
            <w:tcW w:w="1660" w:type="dxa"/>
            <w:tcBorders>
              <w:top w:val="nil"/>
              <w:left w:val="single" w:sz="8" w:space="0" w:color="auto"/>
              <w:bottom w:val="single" w:sz="8" w:space="0" w:color="auto"/>
              <w:right w:val="single" w:sz="8" w:space="0" w:color="auto"/>
            </w:tcBorders>
            <w:shd w:val="clear" w:color="000000" w:fill="E3EED3"/>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82.8%</w:t>
            </w:r>
          </w:p>
        </w:tc>
        <w:tc>
          <w:tcPr>
            <w:tcW w:w="1660" w:type="dxa"/>
            <w:tcBorders>
              <w:top w:val="nil"/>
              <w:left w:val="nil"/>
              <w:bottom w:val="single" w:sz="8" w:space="0" w:color="auto"/>
              <w:right w:val="nil"/>
            </w:tcBorders>
            <w:shd w:val="clear" w:color="000000" w:fill="E3EED3"/>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90.8%</w:t>
            </w:r>
          </w:p>
        </w:tc>
        <w:tc>
          <w:tcPr>
            <w:tcW w:w="1660" w:type="dxa"/>
            <w:tcBorders>
              <w:top w:val="nil"/>
              <w:left w:val="single" w:sz="8" w:space="0" w:color="auto"/>
              <w:bottom w:val="single" w:sz="8" w:space="0" w:color="auto"/>
              <w:right w:val="single" w:sz="8" w:space="0" w:color="auto"/>
            </w:tcBorders>
            <w:shd w:val="clear" w:color="000000" w:fill="E3EED3"/>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87.4%</w:t>
            </w:r>
          </w:p>
        </w:tc>
      </w:tr>
      <w:tr w:rsidR="005B2A83" w:rsidRPr="005B2A83" w:rsidTr="005B2A83">
        <w:trPr>
          <w:trHeight w:val="270"/>
        </w:trPr>
        <w:tc>
          <w:tcPr>
            <w:tcW w:w="1660" w:type="dxa"/>
            <w:tcBorders>
              <w:top w:val="nil"/>
              <w:left w:val="single" w:sz="8" w:space="0" w:color="auto"/>
              <w:bottom w:val="single" w:sz="8" w:space="0" w:color="000000"/>
              <w:right w:val="single" w:sz="8" w:space="0" w:color="auto"/>
            </w:tcBorders>
            <w:shd w:val="clear" w:color="000000" w:fill="FFE9CC"/>
            <w:noWrap/>
            <w:vAlign w:val="center"/>
            <w:hideMark/>
          </w:tcPr>
          <w:p w:rsidR="005B2A83" w:rsidRPr="005B2A83" w:rsidRDefault="005B2A83"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3 Years</w:t>
            </w:r>
          </w:p>
        </w:tc>
        <w:tc>
          <w:tcPr>
            <w:tcW w:w="1660" w:type="dxa"/>
            <w:tcBorders>
              <w:top w:val="nil"/>
              <w:left w:val="nil"/>
              <w:bottom w:val="single" w:sz="4" w:space="0" w:color="auto"/>
              <w:right w:val="single" w:sz="8" w:space="0" w:color="auto"/>
            </w:tcBorders>
            <w:shd w:val="clear" w:color="000000" w:fill="FFE9CC"/>
            <w:noWrap/>
            <w:vAlign w:val="bottom"/>
            <w:hideMark/>
          </w:tcPr>
          <w:p w:rsidR="005B2A83" w:rsidRPr="005B2A83" w:rsidRDefault="005B2A83"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B</w:t>
            </w:r>
          </w:p>
        </w:tc>
        <w:tc>
          <w:tcPr>
            <w:tcW w:w="1660" w:type="dxa"/>
            <w:tcBorders>
              <w:top w:val="nil"/>
              <w:left w:val="nil"/>
              <w:bottom w:val="single" w:sz="4" w:space="0" w:color="auto"/>
              <w:right w:val="nil"/>
            </w:tcBorders>
            <w:shd w:val="clear" w:color="000000" w:fill="FFE9CC"/>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78.2%</w:t>
            </w:r>
          </w:p>
        </w:tc>
        <w:tc>
          <w:tcPr>
            <w:tcW w:w="1660" w:type="dxa"/>
            <w:tcBorders>
              <w:top w:val="nil"/>
              <w:left w:val="single" w:sz="8" w:space="0" w:color="auto"/>
              <w:bottom w:val="single" w:sz="4" w:space="0" w:color="auto"/>
              <w:right w:val="single" w:sz="8" w:space="0" w:color="auto"/>
            </w:tcBorders>
            <w:shd w:val="clear" w:color="000000" w:fill="FFE9CC"/>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76.1%</w:t>
            </w:r>
          </w:p>
        </w:tc>
        <w:tc>
          <w:tcPr>
            <w:tcW w:w="1660" w:type="dxa"/>
            <w:tcBorders>
              <w:top w:val="nil"/>
              <w:left w:val="nil"/>
              <w:bottom w:val="single" w:sz="4" w:space="0" w:color="auto"/>
              <w:right w:val="nil"/>
            </w:tcBorders>
            <w:shd w:val="clear" w:color="000000" w:fill="FFE9CC"/>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64.8%</w:t>
            </w:r>
          </w:p>
        </w:tc>
        <w:tc>
          <w:tcPr>
            <w:tcW w:w="1660" w:type="dxa"/>
            <w:tcBorders>
              <w:top w:val="nil"/>
              <w:left w:val="single" w:sz="8" w:space="0" w:color="auto"/>
              <w:bottom w:val="single" w:sz="4" w:space="0" w:color="auto"/>
              <w:right w:val="single" w:sz="8" w:space="0" w:color="auto"/>
            </w:tcBorders>
            <w:shd w:val="clear" w:color="000000" w:fill="FFE9CC"/>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87.1%</w:t>
            </w:r>
          </w:p>
        </w:tc>
      </w:tr>
      <w:tr w:rsidR="005B2A83" w:rsidRPr="005B2A83" w:rsidTr="006C6779">
        <w:trPr>
          <w:trHeight w:val="270"/>
        </w:trPr>
        <w:tc>
          <w:tcPr>
            <w:tcW w:w="1660" w:type="dxa"/>
            <w:tcBorders>
              <w:top w:val="nil"/>
              <w:left w:val="single" w:sz="8" w:space="0" w:color="auto"/>
              <w:bottom w:val="single" w:sz="8" w:space="0" w:color="000000"/>
              <w:right w:val="single" w:sz="8" w:space="0" w:color="auto"/>
            </w:tcBorders>
            <w:shd w:val="clear" w:color="000000" w:fill="FFE9CC"/>
            <w:vAlign w:val="center"/>
            <w:hideMark/>
          </w:tcPr>
          <w:p w:rsidR="005B2A83" w:rsidRPr="005B2A83" w:rsidRDefault="006C6779"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3 Years</w:t>
            </w:r>
          </w:p>
        </w:tc>
        <w:tc>
          <w:tcPr>
            <w:tcW w:w="1660" w:type="dxa"/>
            <w:tcBorders>
              <w:top w:val="nil"/>
              <w:left w:val="nil"/>
              <w:bottom w:val="single" w:sz="4" w:space="0" w:color="auto"/>
              <w:right w:val="single" w:sz="8" w:space="0" w:color="auto"/>
            </w:tcBorders>
            <w:shd w:val="clear" w:color="000000" w:fill="FFE9CC"/>
            <w:noWrap/>
            <w:vAlign w:val="bottom"/>
            <w:hideMark/>
          </w:tcPr>
          <w:p w:rsidR="005B2A83" w:rsidRPr="005B2A83" w:rsidRDefault="005B2A83"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R1</w:t>
            </w:r>
          </w:p>
        </w:tc>
        <w:tc>
          <w:tcPr>
            <w:tcW w:w="1660" w:type="dxa"/>
            <w:tcBorders>
              <w:top w:val="nil"/>
              <w:left w:val="nil"/>
              <w:bottom w:val="single" w:sz="4" w:space="0" w:color="auto"/>
              <w:right w:val="nil"/>
            </w:tcBorders>
            <w:shd w:val="clear" w:color="000000" w:fill="FFE9CC"/>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84.4%</w:t>
            </w:r>
          </w:p>
        </w:tc>
        <w:tc>
          <w:tcPr>
            <w:tcW w:w="1660" w:type="dxa"/>
            <w:tcBorders>
              <w:top w:val="nil"/>
              <w:left w:val="single" w:sz="8" w:space="0" w:color="auto"/>
              <w:bottom w:val="single" w:sz="4" w:space="0" w:color="auto"/>
              <w:right w:val="single" w:sz="8" w:space="0" w:color="auto"/>
            </w:tcBorders>
            <w:shd w:val="clear" w:color="000000" w:fill="FFE9CC"/>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81.7%</w:t>
            </w:r>
          </w:p>
        </w:tc>
        <w:tc>
          <w:tcPr>
            <w:tcW w:w="1660" w:type="dxa"/>
            <w:tcBorders>
              <w:top w:val="nil"/>
              <w:left w:val="nil"/>
              <w:bottom w:val="single" w:sz="4" w:space="0" w:color="auto"/>
              <w:right w:val="nil"/>
            </w:tcBorders>
            <w:shd w:val="clear" w:color="000000" w:fill="FFE9CC"/>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79.9%</w:t>
            </w:r>
          </w:p>
        </w:tc>
        <w:tc>
          <w:tcPr>
            <w:tcW w:w="1660" w:type="dxa"/>
            <w:tcBorders>
              <w:top w:val="nil"/>
              <w:left w:val="single" w:sz="8" w:space="0" w:color="auto"/>
              <w:bottom w:val="single" w:sz="4" w:space="0" w:color="auto"/>
              <w:right w:val="single" w:sz="8" w:space="0" w:color="auto"/>
            </w:tcBorders>
            <w:shd w:val="clear" w:color="000000" w:fill="FFE9CC"/>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87.7%</w:t>
            </w:r>
          </w:p>
        </w:tc>
      </w:tr>
      <w:tr w:rsidR="005B2A83" w:rsidRPr="005B2A83" w:rsidTr="006C6779">
        <w:trPr>
          <w:trHeight w:val="270"/>
        </w:trPr>
        <w:tc>
          <w:tcPr>
            <w:tcW w:w="1660" w:type="dxa"/>
            <w:tcBorders>
              <w:top w:val="nil"/>
              <w:left w:val="single" w:sz="8" w:space="0" w:color="auto"/>
              <w:bottom w:val="single" w:sz="8" w:space="0" w:color="000000"/>
              <w:right w:val="single" w:sz="8" w:space="0" w:color="auto"/>
            </w:tcBorders>
            <w:shd w:val="clear" w:color="000000" w:fill="FFE9CC"/>
            <w:vAlign w:val="center"/>
            <w:hideMark/>
          </w:tcPr>
          <w:p w:rsidR="005B2A83" w:rsidRPr="005B2A83" w:rsidRDefault="006C6779"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3 Years</w:t>
            </w:r>
          </w:p>
        </w:tc>
        <w:tc>
          <w:tcPr>
            <w:tcW w:w="1660" w:type="dxa"/>
            <w:tcBorders>
              <w:top w:val="nil"/>
              <w:left w:val="nil"/>
              <w:bottom w:val="single" w:sz="4" w:space="0" w:color="auto"/>
              <w:right w:val="single" w:sz="8" w:space="0" w:color="auto"/>
            </w:tcBorders>
            <w:shd w:val="clear" w:color="000000" w:fill="FFE9CC"/>
            <w:noWrap/>
            <w:vAlign w:val="bottom"/>
            <w:hideMark/>
          </w:tcPr>
          <w:p w:rsidR="005B2A83" w:rsidRPr="005B2A83" w:rsidRDefault="005B2A83"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R2</w:t>
            </w:r>
          </w:p>
        </w:tc>
        <w:tc>
          <w:tcPr>
            <w:tcW w:w="1660" w:type="dxa"/>
            <w:tcBorders>
              <w:top w:val="nil"/>
              <w:left w:val="nil"/>
              <w:bottom w:val="single" w:sz="4" w:space="0" w:color="auto"/>
              <w:right w:val="nil"/>
            </w:tcBorders>
            <w:shd w:val="clear" w:color="000000" w:fill="FFE9CC"/>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87.8%</w:t>
            </w:r>
          </w:p>
        </w:tc>
        <w:tc>
          <w:tcPr>
            <w:tcW w:w="1660" w:type="dxa"/>
            <w:tcBorders>
              <w:top w:val="nil"/>
              <w:left w:val="single" w:sz="8" w:space="0" w:color="auto"/>
              <w:bottom w:val="single" w:sz="4" w:space="0" w:color="auto"/>
              <w:right w:val="single" w:sz="8" w:space="0" w:color="auto"/>
            </w:tcBorders>
            <w:shd w:val="clear" w:color="000000" w:fill="FFE9CC"/>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84.7%</w:t>
            </w:r>
          </w:p>
        </w:tc>
        <w:tc>
          <w:tcPr>
            <w:tcW w:w="1660" w:type="dxa"/>
            <w:tcBorders>
              <w:top w:val="nil"/>
              <w:left w:val="nil"/>
              <w:bottom w:val="single" w:sz="4" w:space="0" w:color="auto"/>
              <w:right w:val="nil"/>
            </w:tcBorders>
            <w:shd w:val="clear" w:color="000000" w:fill="FFE9CC"/>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88.3%</w:t>
            </w:r>
          </w:p>
        </w:tc>
        <w:tc>
          <w:tcPr>
            <w:tcW w:w="1660" w:type="dxa"/>
            <w:tcBorders>
              <w:top w:val="nil"/>
              <w:left w:val="single" w:sz="8" w:space="0" w:color="auto"/>
              <w:bottom w:val="single" w:sz="4" w:space="0" w:color="auto"/>
              <w:right w:val="single" w:sz="8" w:space="0" w:color="auto"/>
            </w:tcBorders>
            <w:shd w:val="clear" w:color="000000" w:fill="FFE9CC"/>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87.7%</w:t>
            </w:r>
          </w:p>
        </w:tc>
      </w:tr>
      <w:tr w:rsidR="005B2A83" w:rsidRPr="005B2A83" w:rsidTr="006C6779">
        <w:trPr>
          <w:trHeight w:val="278"/>
        </w:trPr>
        <w:tc>
          <w:tcPr>
            <w:tcW w:w="1660" w:type="dxa"/>
            <w:tcBorders>
              <w:top w:val="nil"/>
              <w:left w:val="single" w:sz="8" w:space="0" w:color="auto"/>
              <w:bottom w:val="single" w:sz="8" w:space="0" w:color="000000"/>
              <w:right w:val="single" w:sz="8" w:space="0" w:color="auto"/>
            </w:tcBorders>
            <w:shd w:val="clear" w:color="000000" w:fill="FFE9CC"/>
            <w:vAlign w:val="center"/>
            <w:hideMark/>
          </w:tcPr>
          <w:p w:rsidR="005B2A83" w:rsidRPr="005B2A83" w:rsidRDefault="006C6779"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3 Years</w:t>
            </w:r>
          </w:p>
        </w:tc>
        <w:tc>
          <w:tcPr>
            <w:tcW w:w="1660" w:type="dxa"/>
            <w:tcBorders>
              <w:top w:val="nil"/>
              <w:left w:val="nil"/>
              <w:bottom w:val="single" w:sz="8" w:space="0" w:color="auto"/>
              <w:right w:val="single" w:sz="8" w:space="0" w:color="auto"/>
            </w:tcBorders>
            <w:shd w:val="clear" w:color="000000" w:fill="FFE9CC"/>
            <w:noWrap/>
            <w:vAlign w:val="bottom"/>
            <w:hideMark/>
          </w:tcPr>
          <w:p w:rsidR="005B2A83" w:rsidRPr="005B2A83" w:rsidRDefault="005B2A83"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R3</w:t>
            </w:r>
          </w:p>
        </w:tc>
        <w:tc>
          <w:tcPr>
            <w:tcW w:w="1660" w:type="dxa"/>
            <w:tcBorders>
              <w:top w:val="nil"/>
              <w:left w:val="nil"/>
              <w:bottom w:val="single" w:sz="8" w:space="0" w:color="auto"/>
              <w:right w:val="nil"/>
            </w:tcBorders>
            <w:shd w:val="clear" w:color="000000" w:fill="FFE9CC"/>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88.3%</w:t>
            </w:r>
          </w:p>
        </w:tc>
        <w:tc>
          <w:tcPr>
            <w:tcW w:w="1660" w:type="dxa"/>
            <w:tcBorders>
              <w:top w:val="nil"/>
              <w:left w:val="single" w:sz="8" w:space="0" w:color="auto"/>
              <w:bottom w:val="single" w:sz="8" w:space="0" w:color="auto"/>
              <w:right w:val="single" w:sz="8" w:space="0" w:color="auto"/>
            </w:tcBorders>
            <w:shd w:val="clear" w:color="000000" w:fill="FFE9CC"/>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82.4%</w:t>
            </w:r>
          </w:p>
        </w:tc>
        <w:tc>
          <w:tcPr>
            <w:tcW w:w="1660" w:type="dxa"/>
            <w:tcBorders>
              <w:top w:val="nil"/>
              <w:left w:val="nil"/>
              <w:bottom w:val="single" w:sz="8" w:space="0" w:color="auto"/>
              <w:right w:val="nil"/>
            </w:tcBorders>
            <w:shd w:val="clear" w:color="000000" w:fill="FFE9CC"/>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91.7%</w:t>
            </w:r>
          </w:p>
        </w:tc>
        <w:tc>
          <w:tcPr>
            <w:tcW w:w="1660" w:type="dxa"/>
            <w:tcBorders>
              <w:top w:val="nil"/>
              <w:left w:val="single" w:sz="8" w:space="0" w:color="auto"/>
              <w:bottom w:val="single" w:sz="8" w:space="0" w:color="auto"/>
              <w:right w:val="single" w:sz="8" w:space="0" w:color="auto"/>
            </w:tcBorders>
            <w:shd w:val="clear" w:color="000000" w:fill="FFE9CC"/>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86.8%</w:t>
            </w:r>
          </w:p>
        </w:tc>
      </w:tr>
      <w:tr w:rsidR="005B2A83" w:rsidRPr="005B2A83" w:rsidTr="005B2A83">
        <w:trPr>
          <w:trHeight w:val="270"/>
        </w:trPr>
        <w:tc>
          <w:tcPr>
            <w:tcW w:w="1660" w:type="dxa"/>
            <w:tcBorders>
              <w:top w:val="nil"/>
              <w:left w:val="single" w:sz="8" w:space="0" w:color="auto"/>
              <w:bottom w:val="single" w:sz="8" w:space="0" w:color="000000"/>
              <w:right w:val="single" w:sz="8" w:space="0" w:color="auto"/>
            </w:tcBorders>
            <w:shd w:val="clear" w:color="000000" w:fill="D1D3D4"/>
            <w:noWrap/>
            <w:vAlign w:val="center"/>
            <w:hideMark/>
          </w:tcPr>
          <w:p w:rsidR="005B2A83" w:rsidRPr="005B2A83" w:rsidRDefault="005B2A83"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2 Years</w:t>
            </w:r>
          </w:p>
        </w:tc>
        <w:tc>
          <w:tcPr>
            <w:tcW w:w="1660" w:type="dxa"/>
            <w:tcBorders>
              <w:top w:val="nil"/>
              <w:left w:val="nil"/>
              <w:bottom w:val="single" w:sz="4" w:space="0" w:color="auto"/>
              <w:right w:val="single" w:sz="8" w:space="0" w:color="auto"/>
            </w:tcBorders>
            <w:shd w:val="clear" w:color="000000" w:fill="D1D3D4"/>
            <w:noWrap/>
            <w:vAlign w:val="bottom"/>
            <w:hideMark/>
          </w:tcPr>
          <w:p w:rsidR="005B2A83" w:rsidRPr="005B2A83" w:rsidRDefault="005B2A83"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B</w:t>
            </w:r>
          </w:p>
        </w:tc>
        <w:tc>
          <w:tcPr>
            <w:tcW w:w="1660" w:type="dxa"/>
            <w:tcBorders>
              <w:top w:val="nil"/>
              <w:left w:val="nil"/>
              <w:bottom w:val="single" w:sz="4" w:space="0" w:color="auto"/>
              <w:right w:val="nil"/>
            </w:tcBorders>
            <w:shd w:val="clear" w:color="000000" w:fill="D1D3D4"/>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77.3%</w:t>
            </w:r>
          </w:p>
        </w:tc>
        <w:tc>
          <w:tcPr>
            <w:tcW w:w="1660" w:type="dxa"/>
            <w:tcBorders>
              <w:top w:val="nil"/>
              <w:left w:val="single" w:sz="8" w:space="0" w:color="auto"/>
              <w:bottom w:val="single" w:sz="4" w:space="0" w:color="auto"/>
              <w:right w:val="single" w:sz="8" w:space="0" w:color="auto"/>
            </w:tcBorders>
            <w:shd w:val="clear" w:color="000000" w:fill="D1D3D4"/>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67.9%</w:t>
            </w:r>
          </w:p>
        </w:tc>
        <w:tc>
          <w:tcPr>
            <w:tcW w:w="1660" w:type="dxa"/>
            <w:tcBorders>
              <w:top w:val="nil"/>
              <w:left w:val="nil"/>
              <w:bottom w:val="single" w:sz="4" w:space="0" w:color="auto"/>
              <w:right w:val="nil"/>
            </w:tcBorders>
            <w:shd w:val="clear" w:color="000000" w:fill="D1D3D4"/>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62.7%</w:t>
            </w:r>
          </w:p>
        </w:tc>
        <w:tc>
          <w:tcPr>
            <w:tcW w:w="1660" w:type="dxa"/>
            <w:tcBorders>
              <w:top w:val="nil"/>
              <w:left w:val="single" w:sz="8" w:space="0" w:color="auto"/>
              <w:bottom w:val="single" w:sz="4" w:space="0" w:color="auto"/>
              <w:right w:val="single" w:sz="8" w:space="0" w:color="auto"/>
            </w:tcBorders>
            <w:shd w:val="clear" w:color="000000" w:fill="D1D3D4"/>
            <w:noWrap/>
            <w:vAlign w:val="bottom"/>
            <w:hideMark/>
          </w:tcPr>
          <w:p w:rsidR="005B2A83" w:rsidRPr="005B2A83" w:rsidRDefault="005B2A83" w:rsidP="005B2A83">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87.1%</w:t>
            </w:r>
          </w:p>
        </w:tc>
      </w:tr>
      <w:tr w:rsidR="006C6779" w:rsidRPr="005B2A83" w:rsidTr="006C6779">
        <w:trPr>
          <w:trHeight w:val="270"/>
        </w:trPr>
        <w:tc>
          <w:tcPr>
            <w:tcW w:w="1660" w:type="dxa"/>
            <w:tcBorders>
              <w:top w:val="nil"/>
              <w:left w:val="single" w:sz="8" w:space="0" w:color="auto"/>
              <w:bottom w:val="single" w:sz="8" w:space="0" w:color="000000"/>
              <w:right w:val="single" w:sz="8" w:space="0" w:color="auto"/>
            </w:tcBorders>
            <w:shd w:val="clear" w:color="000000" w:fill="D1D3D4"/>
            <w:vAlign w:val="center"/>
            <w:hideMark/>
          </w:tcPr>
          <w:p w:rsidR="006C6779" w:rsidRPr="005B2A83" w:rsidRDefault="006C6779"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2 Years</w:t>
            </w:r>
          </w:p>
        </w:tc>
        <w:tc>
          <w:tcPr>
            <w:tcW w:w="1660" w:type="dxa"/>
            <w:tcBorders>
              <w:top w:val="nil"/>
              <w:left w:val="nil"/>
              <w:bottom w:val="single" w:sz="4" w:space="0" w:color="auto"/>
              <w:right w:val="single" w:sz="8" w:space="0" w:color="auto"/>
            </w:tcBorders>
            <w:shd w:val="clear" w:color="000000" w:fill="D1D3D4"/>
            <w:noWrap/>
            <w:vAlign w:val="bottom"/>
            <w:hideMark/>
          </w:tcPr>
          <w:p w:rsidR="006C6779" w:rsidRPr="005B2A83" w:rsidRDefault="006C6779"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R1</w:t>
            </w:r>
          </w:p>
        </w:tc>
        <w:tc>
          <w:tcPr>
            <w:tcW w:w="1660" w:type="dxa"/>
            <w:tcBorders>
              <w:top w:val="nil"/>
              <w:left w:val="nil"/>
              <w:bottom w:val="single" w:sz="4" w:space="0" w:color="auto"/>
              <w:right w:val="nil"/>
            </w:tcBorders>
            <w:shd w:val="clear" w:color="000000" w:fill="D1D3D4"/>
            <w:noWrap/>
            <w:vAlign w:val="bottom"/>
            <w:hideMark/>
          </w:tcPr>
          <w:p w:rsidR="006C6779" w:rsidRPr="005B2A83" w:rsidRDefault="006C6779"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84.2%</w:t>
            </w:r>
          </w:p>
        </w:tc>
        <w:tc>
          <w:tcPr>
            <w:tcW w:w="1660" w:type="dxa"/>
            <w:tcBorders>
              <w:top w:val="nil"/>
              <w:left w:val="single" w:sz="8" w:space="0" w:color="auto"/>
              <w:bottom w:val="single" w:sz="4" w:space="0" w:color="auto"/>
              <w:right w:val="single" w:sz="8" w:space="0" w:color="auto"/>
            </w:tcBorders>
            <w:shd w:val="clear" w:color="000000" w:fill="D1D3D4"/>
            <w:noWrap/>
            <w:vAlign w:val="bottom"/>
            <w:hideMark/>
          </w:tcPr>
          <w:p w:rsidR="006C6779" w:rsidRPr="005B2A83" w:rsidRDefault="006C6779"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75.5%</w:t>
            </w:r>
          </w:p>
        </w:tc>
        <w:tc>
          <w:tcPr>
            <w:tcW w:w="1660" w:type="dxa"/>
            <w:tcBorders>
              <w:top w:val="nil"/>
              <w:left w:val="nil"/>
              <w:bottom w:val="single" w:sz="4" w:space="0" w:color="auto"/>
              <w:right w:val="nil"/>
            </w:tcBorders>
            <w:shd w:val="clear" w:color="000000" w:fill="D1D3D4"/>
            <w:noWrap/>
            <w:vAlign w:val="bottom"/>
            <w:hideMark/>
          </w:tcPr>
          <w:p w:rsidR="006C6779" w:rsidRPr="005B2A83" w:rsidRDefault="006C6779"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81.9%</w:t>
            </w:r>
          </w:p>
        </w:tc>
        <w:tc>
          <w:tcPr>
            <w:tcW w:w="1660" w:type="dxa"/>
            <w:tcBorders>
              <w:top w:val="nil"/>
              <w:left w:val="single" w:sz="8" w:space="0" w:color="auto"/>
              <w:bottom w:val="single" w:sz="4" w:space="0" w:color="auto"/>
              <w:right w:val="single" w:sz="8" w:space="0" w:color="auto"/>
            </w:tcBorders>
            <w:shd w:val="clear" w:color="000000" w:fill="D1D3D4"/>
            <w:noWrap/>
            <w:vAlign w:val="bottom"/>
            <w:hideMark/>
          </w:tcPr>
          <w:p w:rsidR="006C6779" w:rsidRPr="005B2A83" w:rsidRDefault="006C6779"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87.7%</w:t>
            </w:r>
          </w:p>
        </w:tc>
      </w:tr>
      <w:tr w:rsidR="006C6779" w:rsidRPr="005B2A83" w:rsidTr="006C6779">
        <w:trPr>
          <w:trHeight w:val="278"/>
        </w:trPr>
        <w:tc>
          <w:tcPr>
            <w:tcW w:w="1660" w:type="dxa"/>
            <w:tcBorders>
              <w:top w:val="nil"/>
              <w:left w:val="single" w:sz="8" w:space="0" w:color="auto"/>
              <w:bottom w:val="single" w:sz="8" w:space="0" w:color="000000"/>
              <w:right w:val="single" w:sz="8" w:space="0" w:color="auto"/>
            </w:tcBorders>
            <w:shd w:val="clear" w:color="000000" w:fill="D1D3D4"/>
            <w:vAlign w:val="center"/>
            <w:hideMark/>
          </w:tcPr>
          <w:p w:rsidR="006C6779" w:rsidRPr="005B2A83" w:rsidRDefault="006C6779"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2 Years</w:t>
            </w:r>
          </w:p>
        </w:tc>
        <w:tc>
          <w:tcPr>
            <w:tcW w:w="1660" w:type="dxa"/>
            <w:tcBorders>
              <w:top w:val="nil"/>
              <w:left w:val="nil"/>
              <w:bottom w:val="single" w:sz="8" w:space="0" w:color="auto"/>
              <w:right w:val="single" w:sz="8" w:space="0" w:color="auto"/>
            </w:tcBorders>
            <w:shd w:val="clear" w:color="000000" w:fill="D1D3D4"/>
            <w:noWrap/>
            <w:vAlign w:val="bottom"/>
            <w:hideMark/>
          </w:tcPr>
          <w:p w:rsidR="006C6779" w:rsidRPr="005B2A83" w:rsidRDefault="006C6779"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R2</w:t>
            </w:r>
          </w:p>
        </w:tc>
        <w:tc>
          <w:tcPr>
            <w:tcW w:w="1660" w:type="dxa"/>
            <w:tcBorders>
              <w:top w:val="nil"/>
              <w:left w:val="nil"/>
              <w:bottom w:val="single" w:sz="8" w:space="0" w:color="auto"/>
              <w:right w:val="nil"/>
            </w:tcBorders>
            <w:shd w:val="clear" w:color="000000" w:fill="D1D3D4"/>
            <w:noWrap/>
            <w:vAlign w:val="bottom"/>
            <w:hideMark/>
          </w:tcPr>
          <w:p w:rsidR="006C6779" w:rsidRPr="005B2A83" w:rsidRDefault="006C6779"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87.3%</w:t>
            </w:r>
          </w:p>
        </w:tc>
        <w:tc>
          <w:tcPr>
            <w:tcW w:w="1660" w:type="dxa"/>
            <w:tcBorders>
              <w:top w:val="nil"/>
              <w:left w:val="single" w:sz="8" w:space="0" w:color="auto"/>
              <w:bottom w:val="single" w:sz="8" w:space="0" w:color="auto"/>
              <w:right w:val="single" w:sz="8" w:space="0" w:color="auto"/>
            </w:tcBorders>
            <w:shd w:val="clear" w:color="000000" w:fill="D1D3D4"/>
            <w:noWrap/>
            <w:vAlign w:val="bottom"/>
            <w:hideMark/>
          </w:tcPr>
          <w:p w:rsidR="006C6779" w:rsidRPr="005B2A83" w:rsidRDefault="006C6779"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77.5%</w:t>
            </w:r>
          </w:p>
        </w:tc>
        <w:tc>
          <w:tcPr>
            <w:tcW w:w="1660" w:type="dxa"/>
            <w:tcBorders>
              <w:top w:val="nil"/>
              <w:left w:val="nil"/>
              <w:bottom w:val="single" w:sz="8" w:space="0" w:color="auto"/>
              <w:right w:val="nil"/>
            </w:tcBorders>
            <w:shd w:val="clear" w:color="000000" w:fill="D1D3D4"/>
            <w:noWrap/>
            <w:vAlign w:val="bottom"/>
            <w:hideMark/>
          </w:tcPr>
          <w:p w:rsidR="006C6779" w:rsidRPr="005B2A83" w:rsidRDefault="006C6779"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93.1%</w:t>
            </w:r>
          </w:p>
        </w:tc>
        <w:tc>
          <w:tcPr>
            <w:tcW w:w="1660" w:type="dxa"/>
            <w:tcBorders>
              <w:top w:val="nil"/>
              <w:left w:val="single" w:sz="8" w:space="0" w:color="auto"/>
              <w:bottom w:val="single" w:sz="8" w:space="0" w:color="auto"/>
              <w:right w:val="single" w:sz="8" w:space="0" w:color="auto"/>
            </w:tcBorders>
            <w:shd w:val="clear" w:color="000000" w:fill="D1D3D4"/>
            <w:noWrap/>
            <w:vAlign w:val="bottom"/>
            <w:hideMark/>
          </w:tcPr>
          <w:p w:rsidR="006C6779" w:rsidRPr="005B2A83" w:rsidRDefault="006C6779"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87.5%</w:t>
            </w:r>
          </w:p>
        </w:tc>
      </w:tr>
      <w:tr w:rsidR="006C6779" w:rsidRPr="005B2A83" w:rsidTr="005B2A83">
        <w:trPr>
          <w:trHeight w:val="270"/>
        </w:trPr>
        <w:tc>
          <w:tcPr>
            <w:tcW w:w="1660" w:type="dxa"/>
            <w:tcBorders>
              <w:top w:val="nil"/>
              <w:left w:val="single" w:sz="8" w:space="0" w:color="auto"/>
              <w:bottom w:val="single" w:sz="8" w:space="0" w:color="000000"/>
              <w:right w:val="single" w:sz="8" w:space="0" w:color="auto"/>
            </w:tcBorders>
            <w:shd w:val="clear" w:color="000000" w:fill="F7EEF7"/>
            <w:noWrap/>
            <w:vAlign w:val="center"/>
            <w:hideMark/>
          </w:tcPr>
          <w:p w:rsidR="006C6779" w:rsidRPr="005B2A83" w:rsidRDefault="006C6779"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1 Year</w:t>
            </w:r>
          </w:p>
        </w:tc>
        <w:tc>
          <w:tcPr>
            <w:tcW w:w="1660" w:type="dxa"/>
            <w:tcBorders>
              <w:top w:val="nil"/>
              <w:left w:val="nil"/>
              <w:bottom w:val="single" w:sz="4" w:space="0" w:color="auto"/>
              <w:right w:val="single" w:sz="8" w:space="0" w:color="auto"/>
            </w:tcBorders>
            <w:shd w:val="clear" w:color="000000" w:fill="F7EEF7"/>
            <w:noWrap/>
            <w:vAlign w:val="bottom"/>
            <w:hideMark/>
          </w:tcPr>
          <w:p w:rsidR="006C6779" w:rsidRPr="005B2A83" w:rsidRDefault="006C6779"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B</w:t>
            </w:r>
          </w:p>
        </w:tc>
        <w:tc>
          <w:tcPr>
            <w:tcW w:w="1660" w:type="dxa"/>
            <w:tcBorders>
              <w:top w:val="nil"/>
              <w:left w:val="nil"/>
              <w:bottom w:val="single" w:sz="4" w:space="0" w:color="auto"/>
              <w:right w:val="nil"/>
            </w:tcBorders>
            <w:shd w:val="clear" w:color="000000" w:fill="F7EEF7"/>
            <w:noWrap/>
            <w:vAlign w:val="bottom"/>
            <w:hideMark/>
          </w:tcPr>
          <w:p w:rsidR="006C6779" w:rsidRPr="005B2A83" w:rsidRDefault="006C6779"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78.7%</w:t>
            </w:r>
          </w:p>
        </w:tc>
        <w:tc>
          <w:tcPr>
            <w:tcW w:w="1660" w:type="dxa"/>
            <w:tcBorders>
              <w:top w:val="nil"/>
              <w:left w:val="single" w:sz="8" w:space="0" w:color="auto"/>
              <w:bottom w:val="single" w:sz="4" w:space="0" w:color="auto"/>
              <w:right w:val="single" w:sz="8" w:space="0" w:color="auto"/>
            </w:tcBorders>
            <w:shd w:val="clear" w:color="000000" w:fill="F7EEF7"/>
            <w:noWrap/>
            <w:vAlign w:val="bottom"/>
            <w:hideMark/>
          </w:tcPr>
          <w:p w:rsidR="006C6779" w:rsidRPr="005B2A83" w:rsidRDefault="006C6779"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67.5%</w:t>
            </w:r>
          </w:p>
        </w:tc>
        <w:tc>
          <w:tcPr>
            <w:tcW w:w="1660" w:type="dxa"/>
            <w:tcBorders>
              <w:top w:val="nil"/>
              <w:left w:val="nil"/>
              <w:bottom w:val="single" w:sz="4" w:space="0" w:color="auto"/>
              <w:right w:val="nil"/>
            </w:tcBorders>
            <w:shd w:val="clear" w:color="000000" w:fill="F7EEF7"/>
            <w:noWrap/>
            <w:vAlign w:val="bottom"/>
            <w:hideMark/>
          </w:tcPr>
          <w:p w:rsidR="006C6779" w:rsidRPr="005B2A83" w:rsidRDefault="006C6779"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66.7%</w:t>
            </w:r>
          </w:p>
        </w:tc>
        <w:tc>
          <w:tcPr>
            <w:tcW w:w="1660" w:type="dxa"/>
            <w:tcBorders>
              <w:top w:val="nil"/>
              <w:left w:val="single" w:sz="8" w:space="0" w:color="auto"/>
              <w:bottom w:val="single" w:sz="4" w:space="0" w:color="auto"/>
              <w:right w:val="single" w:sz="8" w:space="0" w:color="auto"/>
            </w:tcBorders>
            <w:shd w:val="clear" w:color="000000" w:fill="F7EEF7"/>
            <w:noWrap/>
            <w:vAlign w:val="bottom"/>
            <w:hideMark/>
          </w:tcPr>
          <w:p w:rsidR="006C6779" w:rsidRPr="005B2A83" w:rsidRDefault="006C6779"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87.2%</w:t>
            </w:r>
          </w:p>
        </w:tc>
      </w:tr>
      <w:tr w:rsidR="006C6779" w:rsidRPr="005B2A83" w:rsidTr="006C6779">
        <w:trPr>
          <w:trHeight w:val="278"/>
        </w:trPr>
        <w:tc>
          <w:tcPr>
            <w:tcW w:w="1660" w:type="dxa"/>
            <w:tcBorders>
              <w:top w:val="nil"/>
              <w:left w:val="single" w:sz="8" w:space="0" w:color="auto"/>
              <w:bottom w:val="single" w:sz="8" w:space="0" w:color="000000"/>
              <w:right w:val="single" w:sz="8" w:space="0" w:color="auto"/>
            </w:tcBorders>
            <w:shd w:val="clear" w:color="000000" w:fill="F7EEF7"/>
            <w:vAlign w:val="center"/>
            <w:hideMark/>
          </w:tcPr>
          <w:p w:rsidR="006C6779" w:rsidRPr="005B2A83" w:rsidRDefault="006C6779"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1 Year</w:t>
            </w:r>
          </w:p>
        </w:tc>
        <w:tc>
          <w:tcPr>
            <w:tcW w:w="1660" w:type="dxa"/>
            <w:tcBorders>
              <w:top w:val="nil"/>
              <w:left w:val="nil"/>
              <w:bottom w:val="single" w:sz="8" w:space="0" w:color="auto"/>
              <w:right w:val="single" w:sz="8" w:space="0" w:color="auto"/>
            </w:tcBorders>
            <w:shd w:val="clear" w:color="000000" w:fill="F7EEF7"/>
            <w:noWrap/>
            <w:vAlign w:val="bottom"/>
            <w:hideMark/>
          </w:tcPr>
          <w:p w:rsidR="006C6779" w:rsidRPr="005B2A83" w:rsidRDefault="006C6779"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R1</w:t>
            </w:r>
          </w:p>
        </w:tc>
        <w:tc>
          <w:tcPr>
            <w:tcW w:w="1660" w:type="dxa"/>
            <w:tcBorders>
              <w:top w:val="nil"/>
              <w:left w:val="nil"/>
              <w:bottom w:val="single" w:sz="8" w:space="0" w:color="auto"/>
              <w:right w:val="nil"/>
            </w:tcBorders>
            <w:shd w:val="clear" w:color="000000" w:fill="F7EEF7"/>
            <w:noWrap/>
            <w:vAlign w:val="bottom"/>
            <w:hideMark/>
          </w:tcPr>
          <w:p w:rsidR="006C6779" w:rsidRPr="005B2A83" w:rsidRDefault="006C6779"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83.8%</w:t>
            </w:r>
          </w:p>
        </w:tc>
        <w:tc>
          <w:tcPr>
            <w:tcW w:w="1660" w:type="dxa"/>
            <w:tcBorders>
              <w:top w:val="nil"/>
              <w:left w:val="single" w:sz="8" w:space="0" w:color="auto"/>
              <w:bottom w:val="single" w:sz="8" w:space="0" w:color="auto"/>
              <w:right w:val="single" w:sz="8" w:space="0" w:color="auto"/>
            </w:tcBorders>
            <w:shd w:val="clear" w:color="000000" w:fill="F7EEF7"/>
            <w:noWrap/>
            <w:vAlign w:val="bottom"/>
            <w:hideMark/>
          </w:tcPr>
          <w:p w:rsidR="006C6779" w:rsidRPr="005B2A83" w:rsidRDefault="006C6779"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73.9%</w:t>
            </w:r>
          </w:p>
        </w:tc>
        <w:tc>
          <w:tcPr>
            <w:tcW w:w="1660" w:type="dxa"/>
            <w:tcBorders>
              <w:top w:val="nil"/>
              <w:left w:val="nil"/>
              <w:bottom w:val="single" w:sz="8" w:space="0" w:color="auto"/>
              <w:right w:val="nil"/>
            </w:tcBorders>
            <w:shd w:val="clear" w:color="000000" w:fill="F7EEF7"/>
            <w:noWrap/>
            <w:vAlign w:val="bottom"/>
            <w:hideMark/>
          </w:tcPr>
          <w:p w:rsidR="006C6779" w:rsidRPr="005B2A83" w:rsidRDefault="006C6779"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94.9%</w:t>
            </w:r>
          </w:p>
        </w:tc>
        <w:tc>
          <w:tcPr>
            <w:tcW w:w="1660" w:type="dxa"/>
            <w:tcBorders>
              <w:top w:val="nil"/>
              <w:left w:val="single" w:sz="8" w:space="0" w:color="auto"/>
              <w:bottom w:val="single" w:sz="8" w:space="0" w:color="auto"/>
              <w:right w:val="single" w:sz="8" w:space="0" w:color="auto"/>
            </w:tcBorders>
            <w:shd w:val="clear" w:color="000000" w:fill="F7EEF7"/>
            <w:noWrap/>
            <w:vAlign w:val="bottom"/>
            <w:hideMark/>
          </w:tcPr>
          <w:p w:rsidR="006C6779" w:rsidRPr="005B2A83" w:rsidRDefault="006C6779" w:rsidP="006C6779">
            <w:pPr>
              <w:spacing w:after="0" w:line="240" w:lineRule="auto"/>
              <w:jc w:val="center"/>
              <w:rPr>
                <w:rFonts w:ascii="Arial" w:eastAsia="Times New Roman" w:hAnsi="Arial" w:cs="Arial"/>
                <w:color w:val="000000"/>
                <w:lang w:eastAsia="en-AU"/>
              </w:rPr>
            </w:pPr>
            <w:r w:rsidRPr="005B2A83">
              <w:rPr>
                <w:rFonts w:ascii="Arial" w:eastAsia="Times New Roman" w:hAnsi="Arial" w:cs="Arial"/>
                <w:color w:val="000000"/>
                <w:lang w:eastAsia="en-AU"/>
              </w:rPr>
              <w:t>87.2%</w:t>
            </w:r>
          </w:p>
        </w:tc>
      </w:tr>
    </w:tbl>
    <w:p w:rsidR="00FC0317" w:rsidRDefault="00FC0317" w:rsidP="00FC0317">
      <w:r>
        <w:br/>
      </w:r>
      <w:r w:rsidR="0080201D">
        <w:t>Footnote 1</w:t>
      </w:r>
      <w:r>
        <w:t>: For those in the Scheme for five years, only baseline and review 5 percentages are shown, since the numbers are too small to show percentages at other review time points.</w:t>
      </w:r>
    </w:p>
    <w:p w:rsidR="002401FC" w:rsidRDefault="002401FC" w:rsidP="002401FC">
      <w:pPr>
        <w:pStyle w:val="Heading2"/>
      </w:pPr>
      <w:bookmarkStart w:id="37" w:name="_Toc121151414"/>
      <w:r>
        <w:t>Slide 32: Participants aged 0 to 14</w:t>
      </w:r>
      <w:bookmarkEnd w:id="37"/>
    </w:p>
    <w:p w:rsidR="002401FC" w:rsidRDefault="002401FC" w:rsidP="002401FC">
      <w:pPr>
        <w:pStyle w:val="Heading5"/>
      </w:pPr>
      <w:r>
        <w:t>Social, community and civic participation</w:t>
      </w:r>
    </w:p>
    <w:p w:rsidR="00471C6E" w:rsidRDefault="002401FC" w:rsidP="00D762FA">
      <w:pPr>
        <w:pStyle w:val="Heading5"/>
      </w:pPr>
      <w:r>
        <w:t>Feeling welcome at community activities (</w:t>
      </w:r>
      <w:r w:rsidR="0080201D">
        <w:t>Footnote 1</w:t>
      </w:r>
      <w:r>
        <w:t>)</w:t>
      </w:r>
    </w:p>
    <w:p w:rsidR="00471C6E" w:rsidRPr="00471C6E" w:rsidRDefault="00471C6E" w:rsidP="00471C6E">
      <w:pPr>
        <w:pStyle w:val="Heading5"/>
        <w:rPr>
          <w:i/>
        </w:rPr>
      </w:pPr>
      <w:r w:rsidRPr="00471C6E">
        <w:rPr>
          <w:i/>
        </w:rPr>
        <w:t>Of those who participate, % who feel welcomed or actively included</w:t>
      </w:r>
    </w:p>
    <w:p w:rsidR="00F52219" w:rsidRDefault="00471C6E" w:rsidP="00471C6E">
      <w:r>
        <w:t>Respondents report that children in the birth to starting school age group who participate in community activities generally feel welcomed or actively included (83.5% over four years). This is an increase of 9.9 percentage points over the four years since baseline. Similar trends can be seen for the other cohorts, notwithstanding a decrease of 2 percentage points between review two and three for cohort three. The largest increase is generally seen at first review across all cohort</w:t>
      </w:r>
      <w:r w:rsidR="00043B05">
        <w:t>s – e.g. 5 percentage points fo</w:t>
      </w:r>
      <w:r>
        <w:t>r cohort four.</w:t>
      </w:r>
    </w:p>
    <w:p w:rsidR="00F52219" w:rsidRDefault="00F52219" w:rsidP="00471C6E">
      <w:r>
        <w:t>Single group (P0toSS), by time in Scheme:</w:t>
      </w:r>
    </w:p>
    <w:tbl>
      <w:tblPr>
        <w:tblW w:w="7980" w:type="dxa"/>
        <w:tblLook w:val="04A0" w:firstRow="1" w:lastRow="0" w:firstColumn="1" w:lastColumn="0" w:noHBand="0" w:noVBand="1"/>
      </w:tblPr>
      <w:tblGrid>
        <w:gridCol w:w="1140"/>
        <w:gridCol w:w="1140"/>
        <w:gridCol w:w="1140"/>
        <w:gridCol w:w="1140"/>
        <w:gridCol w:w="1140"/>
        <w:gridCol w:w="1140"/>
        <w:gridCol w:w="1140"/>
      </w:tblGrid>
      <w:tr w:rsidR="00471C6E" w:rsidRPr="00471C6E" w:rsidTr="00471C6E">
        <w:trPr>
          <w:trHeight w:val="278"/>
        </w:trPr>
        <w:tc>
          <w:tcPr>
            <w:tcW w:w="11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471C6E" w:rsidRPr="00471C6E" w:rsidRDefault="00471C6E" w:rsidP="00471C6E">
            <w:pPr>
              <w:spacing w:after="0" w:line="240" w:lineRule="auto"/>
              <w:rPr>
                <w:rFonts w:ascii="Arial" w:eastAsia="Times New Roman" w:hAnsi="Arial" w:cs="Arial"/>
                <w:b/>
                <w:bCs/>
                <w:color w:val="000000"/>
                <w:lang w:eastAsia="en-AU"/>
              </w:rPr>
            </w:pPr>
            <w:r w:rsidRPr="00471C6E">
              <w:rPr>
                <w:rFonts w:ascii="Arial" w:eastAsia="Times New Roman" w:hAnsi="Arial" w:cs="Arial"/>
                <w:b/>
                <w:bCs/>
                <w:color w:val="000000"/>
                <w:lang w:eastAsia="en-AU"/>
              </w:rPr>
              <w:t>Cohort</w:t>
            </w:r>
          </w:p>
        </w:tc>
        <w:tc>
          <w:tcPr>
            <w:tcW w:w="1140" w:type="dxa"/>
            <w:tcBorders>
              <w:top w:val="single" w:sz="8" w:space="0" w:color="auto"/>
              <w:left w:val="nil"/>
              <w:bottom w:val="single" w:sz="4" w:space="0" w:color="auto"/>
              <w:right w:val="single" w:sz="4" w:space="0" w:color="auto"/>
            </w:tcBorders>
            <w:shd w:val="clear" w:color="auto" w:fill="auto"/>
            <w:noWrap/>
            <w:vAlign w:val="bottom"/>
            <w:hideMark/>
          </w:tcPr>
          <w:p w:rsidR="00471C6E" w:rsidRPr="00471C6E" w:rsidRDefault="00471C6E" w:rsidP="00471C6E">
            <w:pPr>
              <w:spacing w:after="0" w:line="240" w:lineRule="auto"/>
              <w:rPr>
                <w:rFonts w:ascii="Arial" w:eastAsia="Times New Roman" w:hAnsi="Arial" w:cs="Arial"/>
                <w:b/>
                <w:bCs/>
                <w:color w:val="000000"/>
                <w:lang w:eastAsia="en-AU"/>
              </w:rPr>
            </w:pPr>
            <w:r w:rsidRPr="00471C6E">
              <w:rPr>
                <w:rFonts w:ascii="Arial" w:eastAsia="Times New Roman" w:hAnsi="Arial" w:cs="Arial"/>
                <w:b/>
                <w:bCs/>
                <w:color w:val="000000"/>
                <w:lang w:eastAsia="en-AU"/>
              </w:rPr>
              <w:t>B</w:t>
            </w:r>
            <w:r w:rsidR="00E86C1D">
              <w:rPr>
                <w:rFonts w:ascii="Arial" w:eastAsia="Times New Roman" w:hAnsi="Arial" w:cs="Arial"/>
                <w:b/>
                <w:bCs/>
                <w:color w:val="000000"/>
                <w:lang w:eastAsia="en-AU"/>
              </w:rPr>
              <w:t>aseline</w:t>
            </w:r>
          </w:p>
        </w:tc>
        <w:tc>
          <w:tcPr>
            <w:tcW w:w="1140" w:type="dxa"/>
            <w:tcBorders>
              <w:top w:val="single" w:sz="8" w:space="0" w:color="auto"/>
              <w:left w:val="nil"/>
              <w:bottom w:val="single" w:sz="4" w:space="0" w:color="auto"/>
              <w:right w:val="single" w:sz="4" w:space="0" w:color="auto"/>
            </w:tcBorders>
            <w:shd w:val="clear" w:color="auto" w:fill="auto"/>
            <w:noWrap/>
            <w:vAlign w:val="bottom"/>
            <w:hideMark/>
          </w:tcPr>
          <w:p w:rsidR="00471C6E" w:rsidRPr="00471C6E" w:rsidRDefault="00E86C1D" w:rsidP="00471C6E">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1</w:t>
            </w:r>
          </w:p>
        </w:tc>
        <w:tc>
          <w:tcPr>
            <w:tcW w:w="1140" w:type="dxa"/>
            <w:tcBorders>
              <w:top w:val="single" w:sz="8" w:space="0" w:color="auto"/>
              <w:left w:val="nil"/>
              <w:bottom w:val="single" w:sz="4" w:space="0" w:color="auto"/>
              <w:right w:val="single" w:sz="4" w:space="0" w:color="auto"/>
            </w:tcBorders>
            <w:shd w:val="clear" w:color="auto" w:fill="auto"/>
            <w:noWrap/>
            <w:vAlign w:val="bottom"/>
            <w:hideMark/>
          </w:tcPr>
          <w:p w:rsidR="00471C6E" w:rsidRPr="00471C6E" w:rsidRDefault="00E86C1D" w:rsidP="00471C6E">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2</w:t>
            </w:r>
          </w:p>
        </w:tc>
        <w:tc>
          <w:tcPr>
            <w:tcW w:w="1140" w:type="dxa"/>
            <w:tcBorders>
              <w:top w:val="single" w:sz="8" w:space="0" w:color="auto"/>
              <w:left w:val="nil"/>
              <w:bottom w:val="single" w:sz="4" w:space="0" w:color="auto"/>
              <w:right w:val="single" w:sz="4" w:space="0" w:color="auto"/>
            </w:tcBorders>
            <w:shd w:val="clear" w:color="auto" w:fill="auto"/>
            <w:noWrap/>
            <w:vAlign w:val="bottom"/>
            <w:hideMark/>
          </w:tcPr>
          <w:p w:rsidR="00471C6E" w:rsidRPr="00471C6E" w:rsidRDefault="00E86C1D" w:rsidP="00471C6E">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3</w:t>
            </w:r>
          </w:p>
        </w:tc>
        <w:tc>
          <w:tcPr>
            <w:tcW w:w="1140" w:type="dxa"/>
            <w:tcBorders>
              <w:top w:val="single" w:sz="8" w:space="0" w:color="auto"/>
              <w:left w:val="nil"/>
              <w:bottom w:val="single" w:sz="4" w:space="0" w:color="auto"/>
              <w:right w:val="single" w:sz="4" w:space="0" w:color="auto"/>
            </w:tcBorders>
            <w:shd w:val="clear" w:color="auto" w:fill="auto"/>
            <w:noWrap/>
            <w:vAlign w:val="bottom"/>
            <w:hideMark/>
          </w:tcPr>
          <w:p w:rsidR="00471C6E" w:rsidRPr="00471C6E" w:rsidRDefault="00E86C1D" w:rsidP="00471C6E">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4</w:t>
            </w:r>
          </w:p>
        </w:tc>
        <w:tc>
          <w:tcPr>
            <w:tcW w:w="1140" w:type="dxa"/>
            <w:tcBorders>
              <w:top w:val="single" w:sz="8" w:space="0" w:color="auto"/>
              <w:left w:val="nil"/>
              <w:bottom w:val="single" w:sz="4" w:space="0" w:color="auto"/>
              <w:right w:val="single" w:sz="8" w:space="0" w:color="auto"/>
            </w:tcBorders>
            <w:shd w:val="clear" w:color="auto" w:fill="auto"/>
            <w:noWrap/>
            <w:vAlign w:val="bottom"/>
            <w:hideMark/>
          </w:tcPr>
          <w:p w:rsidR="00471C6E" w:rsidRPr="00471C6E" w:rsidRDefault="00E86C1D" w:rsidP="00471C6E">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5</w:t>
            </w:r>
          </w:p>
        </w:tc>
      </w:tr>
      <w:tr w:rsidR="00471C6E" w:rsidRPr="00471C6E" w:rsidTr="00471C6E">
        <w:trPr>
          <w:trHeight w:val="278"/>
        </w:trPr>
        <w:tc>
          <w:tcPr>
            <w:tcW w:w="1140" w:type="dxa"/>
            <w:tcBorders>
              <w:top w:val="nil"/>
              <w:left w:val="single" w:sz="8" w:space="0" w:color="auto"/>
              <w:bottom w:val="single" w:sz="4" w:space="0" w:color="auto"/>
              <w:right w:val="single" w:sz="4" w:space="0" w:color="auto"/>
            </w:tcBorders>
            <w:shd w:val="clear" w:color="auto" w:fill="auto"/>
            <w:noWrap/>
            <w:vAlign w:val="bottom"/>
            <w:hideMark/>
          </w:tcPr>
          <w:p w:rsidR="00471C6E" w:rsidRPr="00471C6E" w:rsidRDefault="00471C6E" w:rsidP="00471C6E">
            <w:pPr>
              <w:spacing w:after="0" w:line="240" w:lineRule="auto"/>
              <w:rPr>
                <w:rFonts w:ascii="Arial" w:eastAsia="Times New Roman" w:hAnsi="Arial" w:cs="Arial"/>
                <w:b/>
                <w:bCs/>
                <w:color w:val="000000"/>
                <w:lang w:eastAsia="en-AU"/>
              </w:rPr>
            </w:pPr>
            <w:r w:rsidRPr="00471C6E">
              <w:rPr>
                <w:rFonts w:ascii="Arial" w:eastAsia="Times New Roman" w:hAnsi="Arial" w:cs="Arial"/>
                <w:b/>
                <w:bCs/>
                <w:color w:val="000000"/>
                <w:lang w:eastAsia="en-AU"/>
              </w:rPr>
              <w:t>5 years</w:t>
            </w:r>
          </w:p>
        </w:tc>
        <w:tc>
          <w:tcPr>
            <w:tcW w:w="1140" w:type="dxa"/>
            <w:tcBorders>
              <w:top w:val="nil"/>
              <w:left w:val="nil"/>
              <w:bottom w:val="single" w:sz="4" w:space="0" w:color="auto"/>
              <w:right w:val="single" w:sz="4" w:space="0" w:color="auto"/>
            </w:tcBorders>
            <w:shd w:val="clear" w:color="auto" w:fill="auto"/>
            <w:noWrap/>
            <w:vAlign w:val="bottom"/>
            <w:hideMark/>
          </w:tcPr>
          <w:p w:rsidR="00471C6E" w:rsidRPr="00471C6E" w:rsidRDefault="00471C6E" w:rsidP="00471C6E">
            <w:pPr>
              <w:spacing w:after="0" w:line="240" w:lineRule="auto"/>
              <w:rPr>
                <w:rFonts w:ascii="Arial" w:eastAsia="Times New Roman" w:hAnsi="Arial" w:cs="Arial"/>
                <w:color w:val="000000"/>
                <w:lang w:eastAsia="en-AU"/>
              </w:rPr>
            </w:pPr>
            <w:r w:rsidRPr="00471C6E">
              <w:rPr>
                <w:rFonts w:ascii="Arial" w:eastAsia="Times New Roman" w:hAnsi="Arial" w:cs="Arial"/>
                <w:color w:val="000000"/>
                <w:lang w:eastAsia="en-AU"/>
              </w:rPr>
              <w:t> </w:t>
            </w:r>
          </w:p>
        </w:tc>
        <w:tc>
          <w:tcPr>
            <w:tcW w:w="1140" w:type="dxa"/>
            <w:tcBorders>
              <w:top w:val="nil"/>
              <w:left w:val="nil"/>
              <w:bottom w:val="single" w:sz="4" w:space="0" w:color="auto"/>
              <w:right w:val="single" w:sz="4" w:space="0" w:color="auto"/>
            </w:tcBorders>
            <w:shd w:val="clear" w:color="auto" w:fill="auto"/>
            <w:noWrap/>
            <w:vAlign w:val="bottom"/>
            <w:hideMark/>
          </w:tcPr>
          <w:p w:rsidR="00471C6E" w:rsidRPr="00471C6E" w:rsidRDefault="00471C6E" w:rsidP="00471C6E">
            <w:pPr>
              <w:spacing w:after="0" w:line="240" w:lineRule="auto"/>
              <w:rPr>
                <w:rFonts w:ascii="Arial" w:eastAsia="Times New Roman" w:hAnsi="Arial" w:cs="Arial"/>
                <w:color w:val="000000"/>
                <w:lang w:eastAsia="en-AU"/>
              </w:rPr>
            </w:pPr>
            <w:r w:rsidRPr="00471C6E">
              <w:rPr>
                <w:rFonts w:ascii="Arial" w:eastAsia="Times New Roman" w:hAnsi="Arial" w:cs="Arial"/>
                <w:color w:val="000000"/>
                <w:lang w:eastAsia="en-AU"/>
              </w:rPr>
              <w:t> </w:t>
            </w:r>
          </w:p>
        </w:tc>
        <w:tc>
          <w:tcPr>
            <w:tcW w:w="1140" w:type="dxa"/>
            <w:tcBorders>
              <w:top w:val="nil"/>
              <w:left w:val="nil"/>
              <w:bottom w:val="single" w:sz="4" w:space="0" w:color="auto"/>
              <w:right w:val="single" w:sz="4" w:space="0" w:color="auto"/>
            </w:tcBorders>
            <w:shd w:val="clear" w:color="auto" w:fill="auto"/>
            <w:noWrap/>
            <w:vAlign w:val="bottom"/>
            <w:hideMark/>
          </w:tcPr>
          <w:p w:rsidR="00471C6E" w:rsidRPr="00471C6E" w:rsidRDefault="00471C6E" w:rsidP="00471C6E">
            <w:pPr>
              <w:spacing w:after="0" w:line="240" w:lineRule="auto"/>
              <w:rPr>
                <w:rFonts w:ascii="Arial" w:eastAsia="Times New Roman" w:hAnsi="Arial" w:cs="Arial"/>
                <w:color w:val="000000"/>
                <w:lang w:eastAsia="en-AU"/>
              </w:rPr>
            </w:pPr>
            <w:r w:rsidRPr="00471C6E">
              <w:rPr>
                <w:rFonts w:ascii="Arial" w:eastAsia="Times New Roman" w:hAnsi="Arial" w:cs="Arial"/>
                <w:color w:val="000000"/>
                <w:lang w:eastAsia="en-AU"/>
              </w:rPr>
              <w:t> </w:t>
            </w:r>
          </w:p>
        </w:tc>
        <w:tc>
          <w:tcPr>
            <w:tcW w:w="1140" w:type="dxa"/>
            <w:tcBorders>
              <w:top w:val="nil"/>
              <w:left w:val="nil"/>
              <w:bottom w:val="single" w:sz="4" w:space="0" w:color="auto"/>
              <w:right w:val="single" w:sz="4" w:space="0" w:color="auto"/>
            </w:tcBorders>
            <w:shd w:val="clear" w:color="auto" w:fill="auto"/>
            <w:noWrap/>
            <w:vAlign w:val="bottom"/>
            <w:hideMark/>
          </w:tcPr>
          <w:p w:rsidR="00471C6E" w:rsidRPr="00471C6E" w:rsidRDefault="00471C6E" w:rsidP="00471C6E">
            <w:pPr>
              <w:spacing w:after="0" w:line="240" w:lineRule="auto"/>
              <w:rPr>
                <w:rFonts w:ascii="Arial" w:eastAsia="Times New Roman" w:hAnsi="Arial" w:cs="Arial"/>
                <w:color w:val="000000"/>
                <w:lang w:eastAsia="en-AU"/>
              </w:rPr>
            </w:pPr>
            <w:r w:rsidRPr="00471C6E">
              <w:rPr>
                <w:rFonts w:ascii="Arial" w:eastAsia="Times New Roman" w:hAnsi="Arial" w:cs="Arial"/>
                <w:color w:val="000000"/>
                <w:lang w:eastAsia="en-AU"/>
              </w:rPr>
              <w:t> </w:t>
            </w:r>
          </w:p>
        </w:tc>
        <w:tc>
          <w:tcPr>
            <w:tcW w:w="1140" w:type="dxa"/>
            <w:tcBorders>
              <w:top w:val="nil"/>
              <w:left w:val="nil"/>
              <w:bottom w:val="single" w:sz="4" w:space="0" w:color="auto"/>
              <w:right w:val="single" w:sz="4" w:space="0" w:color="auto"/>
            </w:tcBorders>
            <w:shd w:val="clear" w:color="auto" w:fill="auto"/>
            <w:noWrap/>
            <w:vAlign w:val="bottom"/>
            <w:hideMark/>
          </w:tcPr>
          <w:p w:rsidR="00471C6E" w:rsidRPr="00471C6E" w:rsidRDefault="00471C6E" w:rsidP="00471C6E">
            <w:pPr>
              <w:spacing w:after="0" w:line="240" w:lineRule="auto"/>
              <w:rPr>
                <w:rFonts w:ascii="Arial" w:eastAsia="Times New Roman" w:hAnsi="Arial" w:cs="Arial"/>
                <w:color w:val="000000"/>
                <w:lang w:eastAsia="en-AU"/>
              </w:rPr>
            </w:pPr>
            <w:r w:rsidRPr="00471C6E">
              <w:rPr>
                <w:rFonts w:ascii="Arial" w:eastAsia="Times New Roman" w:hAnsi="Arial" w:cs="Arial"/>
                <w:color w:val="000000"/>
                <w:lang w:eastAsia="en-AU"/>
              </w:rPr>
              <w:t> </w:t>
            </w:r>
          </w:p>
        </w:tc>
        <w:tc>
          <w:tcPr>
            <w:tcW w:w="1140" w:type="dxa"/>
            <w:tcBorders>
              <w:top w:val="nil"/>
              <w:left w:val="nil"/>
              <w:bottom w:val="single" w:sz="4" w:space="0" w:color="auto"/>
              <w:right w:val="single" w:sz="8" w:space="0" w:color="auto"/>
            </w:tcBorders>
            <w:shd w:val="clear" w:color="auto" w:fill="auto"/>
            <w:noWrap/>
            <w:vAlign w:val="bottom"/>
            <w:hideMark/>
          </w:tcPr>
          <w:p w:rsidR="00471C6E" w:rsidRPr="00471C6E" w:rsidRDefault="00471C6E" w:rsidP="00471C6E">
            <w:pPr>
              <w:spacing w:after="0" w:line="240" w:lineRule="auto"/>
              <w:rPr>
                <w:rFonts w:ascii="Arial" w:eastAsia="Times New Roman" w:hAnsi="Arial" w:cs="Arial"/>
                <w:color w:val="000000"/>
                <w:lang w:eastAsia="en-AU"/>
              </w:rPr>
            </w:pPr>
            <w:r w:rsidRPr="00471C6E">
              <w:rPr>
                <w:rFonts w:ascii="Arial" w:eastAsia="Times New Roman" w:hAnsi="Arial" w:cs="Arial"/>
                <w:color w:val="000000"/>
                <w:lang w:eastAsia="en-AU"/>
              </w:rPr>
              <w:t> </w:t>
            </w:r>
          </w:p>
        </w:tc>
      </w:tr>
      <w:tr w:rsidR="00471C6E" w:rsidRPr="00471C6E" w:rsidTr="00471C6E">
        <w:trPr>
          <w:trHeight w:val="278"/>
        </w:trPr>
        <w:tc>
          <w:tcPr>
            <w:tcW w:w="1140" w:type="dxa"/>
            <w:tcBorders>
              <w:top w:val="nil"/>
              <w:left w:val="single" w:sz="8" w:space="0" w:color="auto"/>
              <w:bottom w:val="single" w:sz="4" w:space="0" w:color="auto"/>
              <w:right w:val="single" w:sz="4" w:space="0" w:color="auto"/>
            </w:tcBorders>
            <w:shd w:val="clear" w:color="auto" w:fill="auto"/>
            <w:noWrap/>
            <w:vAlign w:val="bottom"/>
            <w:hideMark/>
          </w:tcPr>
          <w:p w:rsidR="00471C6E" w:rsidRPr="00471C6E" w:rsidRDefault="00471C6E" w:rsidP="00471C6E">
            <w:pPr>
              <w:spacing w:after="0" w:line="240" w:lineRule="auto"/>
              <w:rPr>
                <w:rFonts w:ascii="Arial" w:eastAsia="Times New Roman" w:hAnsi="Arial" w:cs="Arial"/>
                <w:b/>
                <w:bCs/>
                <w:color w:val="000000"/>
                <w:lang w:eastAsia="en-AU"/>
              </w:rPr>
            </w:pPr>
            <w:r w:rsidRPr="00471C6E">
              <w:rPr>
                <w:rFonts w:ascii="Arial" w:eastAsia="Times New Roman" w:hAnsi="Arial" w:cs="Arial"/>
                <w:b/>
                <w:bCs/>
                <w:color w:val="000000"/>
                <w:lang w:eastAsia="en-AU"/>
              </w:rPr>
              <w:t>4 years</w:t>
            </w:r>
          </w:p>
        </w:tc>
        <w:tc>
          <w:tcPr>
            <w:tcW w:w="1140" w:type="dxa"/>
            <w:tcBorders>
              <w:top w:val="nil"/>
              <w:left w:val="nil"/>
              <w:bottom w:val="single" w:sz="4" w:space="0" w:color="auto"/>
              <w:right w:val="single" w:sz="4" w:space="0" w:color="auto"/>
            </w:tcBorders>
            <w:shd w:val="clear" w:color="auto" w:fill="auto"/>
            <w:noWrap/>
            <w:vAlign w:val="bottom"/>
            <w:hideMark/>
          </w:tcPr>
          <w:p w:rsidR="00471C6E" w:rsidRPr="00471C6E" w:rsidRDefault="00471C6E" w:rsidP="00471C6E">
            <w:pPr>
              <w:spacing w:after="0" w:line="240" w:lineRule="auto"/>
              <w:jc w:val="right"/>
              <w:rPr>
                <w:rFonts w:ascii="Arial" w:eastAsia="Times New Roman" w:hAnsi="Arial" w:cs="Arial"/>
                <w:color w:val="000000"/>
                <w:lang w:eastAsia="en-AU"/>
              </w:rPr>
            </w:pPr>
            <w:r w:rsidRPr="00471C6E">
              <w:rPr>
                <w:rFonts w:ascii="Arial" w:eastAsia="Times New Roman" w:hAnsi="Arial" w:cs="Arial"/>
                <w:color w:val="000000"/>
                <w:lang w:eastAsia="en-AU"/>
              </w:rPr>
              <w:t>73.6%</w:t>
            </w:r>
          </w:p>
        </w:tc>
        <w:tc>
          <w:tcPr>
            <w:tcW w:w="1140" w:type="dxa"/>
            <w:tcBorders>
              <w:top w:val="nil"/>
              <w:left w:val="nil"/>
              <w:bottom w:val="single" w:sz="4" w:space="0" w:color="auto"/>
              <w:right w:val="single" w:sz="4" w:space="0" w:color="auto"/>
            </w:tcBorders>
            <w:shd w:val="clear" w:color="auto" w:fill="auto"/>
            <w:noWrap/>
            <w:vAlign w:val="bottom"/>
            <w:hideMark/>
          </w:tcPr>
          <w:p w:rsidR="00471C6E" w:rsidRPr="00471C6E" w:rsidRDefault="00471C6E" w:rsidP="00471C6E">
            <w:pPr>
              <w:spacing w:after="0" w:line="240" w:lineRule="auto"/>
              <w:jc w:val="right"/>
              <w:rPr>
                <w:rFonts w:ascii="Arial" w:eastAsia="Times New Roman" w:hAnsi="Arial" w:cs="Arial"/>
                <w:color w:val="000000"/>
                <w:lang w:eastAsia="en-AU"/>
              </w:rPr>
            </w:pPr>
            <w:r w:rsidRPr="00471C6E">
              <w:rPr>
                <w:rFonts w:ascii="Arial" w:eastAsia="Times New Roman" w:hAnsi="Arial" w:cs="Arial"/>
                <w:color w:val="000000"/>
                <w:lang w:eastAsia="en-AU"/>
              </w:rPr>
              <w:t>78.6%</w:t>
            </w:r>
          </w:p>
        </w:tc>
        <w:tc>
          <w:tcPr>
            <w:tcW w:w="1140" w:type="dxa"/>
            <w:tcBorders>
              <w:top w:val="nil"/>
              <w:left w:val="nil"/>
              <w:bottom w:val="single" w:sz="4" w:space="0" w:color="auto"/>
              <w:right w:val="single" w:sz="4" w:space="0" w:color="auto"/>
            </w:tcBorders>
            <w:shd w:val="clear" w:color="auto" w:fill="auto"/>
            <w:noWrap/>
            <w:vAlign w:val="bottom"/>
            <w:hideMark/>
          </w:tcPr>
          <w:p w:rsidR="00471C6E" w:rsidRPr="00471C6E" w:rsidRDefault="00471C6E" w:rsidP="00471C6E">
            <w:pPr>
              <w:spacing w:after="0" w:line="240" w:lineRule="auto"/>
              <w:jc w:val="right"/>
              <w:rPr>
                <w:rFonts w:ascii="Arial" w:eastAsia="Times New Roman" w:hAnsi="Arial" w:cs="Arial"/>
                <w:color w:val="000000"/>
                <w:lang w:eastAsia="en-AU"/>
              </w:rPr>
            </w:pPr>
            <w:r w:rsidRPr="00471C6E">
              <w:rPr>
                <w:rFonts w:ascii="Arial" w:eastAsia="Times New Roman" w:hAnsi="Arial" w:cs="Arial"/>
                <w:color w:val="000000"/>
                <w:lang w:eastAsia="en-AU"/>
              </w:rPr>
              <w:t>79.5%</w:t>
            </w:r>
          </w:p>
        </w:tc>
        <w:tc>
          <w:tcPr>
            <w:tcW w:w="1140" w:type="dxa"/>
            <w:tcBorders>
              <w:top w:val="nil"/>
              <w:left w:val="nil"/>
              <w:bottom w:val="single" w:sz="4" w:space="0" w:color="auto"/>
              <w:right w:val="single" w:sz="4" w:space="0" w:color="auto"/>
            </w:tcBorders>
            <w:shd w:val="clear" w:color="auto" w:fill="auto"/>
            <w:noWrap/>
            <w:vAlign w:val="bottom"/>
            <w:hideMark/>
          </w:tcPr>
          <w:p w:rsidR="00471C6E" w:rsidRPr="00471C6E" w:rsidRDefault="00471C6E" w:rsidP="00471C6E">
            <w:pPr>
              <w:spacing w:after="0" w:line="240" w:lineRule="auto"/>
              <w:jc w:val="right"/>
              <w:rPr>
                <w:rFonts w:ascii="Arial" w:eastAsia="Times New Roman" w:hAnsi="Arial" w:cs="Arial"/>
                <w:color w:val="000000"/>
                <w:lang w:eastAsia="en-AU"/>
              </w:rPr>
            </w:pPr>
            <w:r w:rsidRPr="00471C6E">
              <w:rPr>
                <w:rFonts w:ascii="Arial" w:eastAsia="Times New Roman" w:hAnsi="Arial" w:cs="Arial"/>
                <w:color w:val="000000"/>
                <w:lang w:eastAsia="en-AU"/>
              </w:rPr>
              <w:t>83.3%</w:t>
            </w:r>
          </w:p>
        </w:tc>
        <w:tc>
          <w:tcPr>
            <w:tcW w:w="1140" w:type="dxa"/>
            <w:tcBorders>
              <w:top w:val="nil"/>
              <w:left w:val="nil"/>
              <w:bottom w:val="single" w:sz="4" w:space="0" w:color="auto"/>
              <w:right w:val="single" w:sz="4" w:space="0" w:color="auto"/>
            </w:tcBorders>
            <w:shd w:val="clear" w:color="auto" w:fill="auto"/>
            <w:noWrap/>
            <w:vAlign w:val="bottom"/>
            <w:hideMark/>
          </w:tcPr>
          <w:p w:rsidR="00471C6E" w:rsidRPr="00471C6E" w:rsidRDefault="00471C6E" w:rsidP="00471C6E">
            <w:pPr>
              <w:spacing w:after="0" w:line="240" w:lineRule="auto"/>
              <w:jc w:val="right"/>
              <w:rPr>
                <w:rFonts w:ascii="Arial" w:eastAsia="Times New Roman" w:hAnsi="Arial" w:cs="Arial"/>
                <w:color w:val="000000"/>
                <w:lang w:eastAsia="en-AU"/>
              </w:rPr>
            </w:pPr>
            <w:r w:rsidRPr="00471C6E">
              <w:rPr>
                <w:rFonts w:ascii="Arial" w:eastAsia="Times New Roman" w:hAnsi="Arial" w:cs="Arial"/>
                <w:color w:val="000000"/>
                <w:lang w:eastAsia="en-AU"/>
              </w:rPr>
              <w:t>83.5%</w:t>
            </w:r>
          </w:p>
        </w:tc>
        <w:tc>
          <w:tcPr>
            <w:tcW w:w="1140" w:type="dxa"/>
            <w:tcBorders>
              <w:top w:val="nil"/>
              <w:left w:val="nil"/>
              <w:bottom w:val="single" w:sz="4" w:space="0" w:color="auto"/>
              <w:right w:val="single" w:sz="8" w:space="0" w:color="auto"/>
            </w:tcBorders>
            <w:shd w:val="clear" w:color="auto" w:fill="auto"/>
            <w:noWrap/>
            <w:vAlign w:val="bottom"/>
            <w:hideMark/>
          </w:tcPr>
          <w:p w:rsidR="00471C6E" w:rsidRPr="00471C6E" w:rsidRDefault="00471C6E" w:rsidP="00471C6E">
            <w:pPr>
              <w:spacing w:after="0" w:line="240" w:lineRule="auto"/>
              <w:rPr>
                <w:rFonts w:ascii="Arial" w:eastAsia="Times New Roman" w:hAnsi="Arial" w:cs="Arial"/>
                <w:color w:val="000000"/>
                <w:lang w:eastAsia="en-AU"/>
              </w:rPr>
            </w:pPr>
            <w:r w:rsidRPr="00471C6E">
              <w:rPr>
                <w:rFonts w:ascii="Arial" w:eastAsia="Times New Roman" w:hAnsi="Arial" w:cs="Arial"/>
                <w:color w:val="000000"/>
                <w:lang w:eastAsia="en-AU"/>
              </w:rPr>
              <w:t> </w:t>
            </w:r>
          </w:p>
        </w:tc>
      </w:tr>
      <w:tr w:rsidR="00471C6E" w:rsidRPr="00471C6E" w:rsidTr="00471C6E">
        <w:trPr>
          <w:trHeight w:val="278"/>
        </w:trPr>
        <w:tc>
          <w:tcPr>
            <w:tcW w:w="1140" w:type="dxa"/>
            <w:tcBorders>
              <w:top w:val="nil"/>
              <w:left w:val="single" w:sz="8" w:space="0" w:color="auto"/>
              <w:bottom w:val="single" w:sz="4" w:space="0" w:color="auto"/>
              <w:right w:val="single" w:sz="4" w:space="0" w:color="auto"/>
            </w:tcBorders>
            <w:shd w:val="clear" w:color="auto" w:fill="auto"/>
            <w:noWrap/>
            <w:vAlign w:val="bottom"/>
            <w:hideMark/>
          </w:tcPr>
          <w:p w:rsidR="00471C6E" w:rsidRPr="00471C6E" w:rsidRDefault="00471C6E" w:rsidP="00471C6E">
            <w:pPr>
              <w:spacing w:after="0" w:line="240" w:lineRule="auto"/>
              <w:rPr>
                <w:rFonts w:ascii="Arial" w:eastAsia="Times New Roman" w:hAnsi="Arial" w:cs="Arial"/>
                <w:b/>
                <w:bCs/>
                <w:color w:val="000000"/>
                <w:lang w:eastAsia="en-AU"/>
              </w:rPr>
            </w:pPr>
            <w:r w:rsidRPr="00471C6E">
              <w:rPr>
                <w:rFonts w:ascii="Arial" w:eastAsia="Times New Roman" w:hAnsi="Arial" w:cs="Arial"/>
                <w:b/>
                <w:bCs/>
                <w:color w:val="000000"/>
                <w:lang w:eastAsia="en-AU"/>
              </w:rPr>
              <w:t>3 years</w:t>
            </w:r>
          </w:p>
        </w:tc>
        <w:tc>
          <w:tcPr>
            <w:tcW w:w="1140" w:type="dxa"/>
            <w:tcBorders>
              <w:top w:val="nil"/>
              <w:left w:val="nil"/>
              <w:bottom w:val="single" w:sz="4" w:space="0" w:color="auto"/>
              <w:right w:val="single" w:sz="4" w:space="0" w:color="auto"/>
            </w:tcBorders>
            <w:shd w:val="clear" w:color="auto" w:fill="auto"/>
            <w:noWrap/>
            <w:vAlign w:val="bottom"/>
            <w:hideMark/>
          </w:tcPr>
          <w:p w:rsidR="00471C6E" w:rsidRPr="00471C6E" w:rsidRDefault="00471C6E" w:rsidP="00471C6E">
            <w:pPr>
              <w:spacing w:after="0" w:line="240" w:lineRule="auto"/>
              <w:jc w:val="right"/>
              <w:rPr>
                <w:rFonts w:ascii="Arial" w:eastAsia="Times New Roman" w:hAnsi="Arial" w:cs="Arial"/>
                <w:color w:val="000000"/>
                <w:lang w:eastAsia="en-AU"/>
              </w:rPr>
            </w:pPr>
            <w:r w:rsidRPr="00471C6E">
              <w:rPr>
                <w:rFonts w:ascii="Arial" w:eastAsia="Times New Roman" w:hAnsi="Arial" w:cs="Arial"/>
                <w:color w:val="000000"/>
                <w:lang w:eastAsia="en-AU"/>
              </w:rPr>
              <w:t>68.3%</w:t>
            </w:r>
          </w:p>
        </w:tc>
        <w:tc>
          <w:tcPr>
            <w:tcW w:w="1140" w:type="dxa"/>
            <w:tcBorders>
              <w:top w:val="nil"/>
              <w:left w:val="nil"/>
              <w:bottom w:val="single" w:sz="4" w:space="0" w:color="auto"/>
              <w:right w:val="single" w:sz="4" w:space="0" w:color="auto"/>
            </w:tcBorders>
            <w:shd w:val="clear" w:color="auto" w:fill="auto"/>
            <w:noWrap/>
            <w:vAlign w:val="bottom"/>
            <w:hideMark/>
          </w:tcPr>
          <w:p w:rsidR="00471C6E" w:rsidRPr="00471C6E" w:rsidRDefault="00471C6E" w:rsidP="00471C6E">
            <w:pPr>
              <w:spacing w:after="0" w:line="240" w:lineRule="auto"/>
              <w:jc w:val="right"/>
              <w:rPr>
                <w:rFonts w:ascii="Arial" w:eastAsia="Times New Roman" w:hAnsi="Arial" w:cs="Arial"/>
                <w:color w:val="000000"/>
                <w:lang w:eastAsia="en-AU"/>
              </w:rPr>
            </w:pPr>
            <w:r w:rsidRPr="00471C6E">
              <w:rPr>
                <w:rFonts w:ascii="Arial" w:eastAsia="Times New Roman" w:hAnsi="Arial" w:cs="Arial"/>
                <w:color w:val="000000"/>
                <w:lang w:eastAsia="en-AU"/>
              </w:rPr>
              <w:t>73.1%</w:t>
            </w:r>
          </w:p>
        </w:tc>
        <w:tc>
          <w:tcPr>
            <w:tcW w:w="1140" w:type="dxa"/>
            <w:tcBorders>
              <w:top w:val="nil"/>
              <w:left w:val="nil"/>
              <w:bottom w:val="single" w:sz="4" w:space="0" w:color="auto"/>
              <w:right w:val="single" w:sz="4" w:space="0" w:color="auto"/>
            </w:tcBorders>
            <w:shd w:val="clear" w:color="auto" w:fill="auto"/>
            <w:noWrap/>
            <w:vAlign w:val="bottom"/>
            <w:hideMark/>
          </w:tcPr>
          <w:p w:rsidR="00471C6E" w:rsidRPr="00471C6E" w:rsidRDefault="00471C6E" w:rsidP="00471C6E">
            <w:pPr>
              <w:spacing w:after="0" w:line="240" w:lineRule="auto"/>
              <w:jc w:val="right"/>
              <w:rPr>
                <w:rFonts w:ascii="Arial" w:eastAsia="Times New Roman" w:hAnsi="Arial" w:cs="Arial"/>
                <w:color w:val="000000"/>
                <w:lang w:eastAsia="en-AU"/>
              </w:rPr>
            </w:pPr>
            <w:r w:rsidRPr="00471C6E">
              <w:rPr>
                <w:rFonts w:ascii="Arial" w:eastAsia="Times New Roman" w:hAnsi="Arial" w:cs="Arial"/>
                <w:color w:val="000000"/>
                <w:lang w:eastAsia="en-AU"/>
              </w:rPr>
              <w:t>75.7%</w:t>
            </w:r>
          </w:p>
        </w:tc>
        <w:tc>
          <w:tcPr>
            <w:tcW w:w="1140" w:type="dxa"/>
            <w:tcBorders>
              <w:top w:val="nil"/>
              <w:left w:val="nil"/>
              <w:bottom w:val="single" w:sz="4" w:space="0" w:color="auto"/>
              <w:right w:val="single" w:sz="4" w:space="0" w:color="auto"/>
            </w:tcBorders>
            <w:shd w:val="clear" w:color="auto" w:fill="auto"/>
            <w:noWrap/>
            <w:vAlign w:val="bottom"/>
            <w:hideMark/>
          </w:tcPr>
          <w:p w:rsidR="00471C6E" w:rsidRPr="00471C6E" w:rsidRDefault="00471C6E" w:rsidP="00471C6E">
            <w:pPr>
              <w:spacing w:after="0" w:line="240" w:lineRule="auto"/>
              <w:jc w:val="right"/>
              <w:rPr>
                <w:rFonts w:ascii="Arial" w:eastAsia="Times New Roman" w:hAnsi="Arial" w:cs="Arial"/>
                <w:color w:val="000000"/>
                <w:lang w:eastAsia="en-AU"/>
              </w:rPr>
            </w:pPr>
            <w:r w:rsidRPr="00471C6E">
              <w:rPr>
                <w:rFonts w:ascii="Arial" w:eastAsia="Times New Roman" w:hAnsi="Arial" w:cs="Arial"/>
                <w:color w:val="000000"/>
                <w:lang w:eastAsia="en-AU"/>
              </w:rPr>
              <w:t>73.7%</w:t>
            </w:r>
          </w:p>
        </w:tc>
        <w:tc>
          <w:tcPr>
            <w:tcW w:w="1140" w:type="dxa"/>
            <w:tcBorders>
              <w:top w:val="nil"/>
              <w:left w:val="nil"/>
              <w:bottom w:val="single" w:sz="4" w:space="0" w:color="auto"/>
              <w:right w:val="single" w:sz="4" w:space="0" w:color="auto"/>
            </w:tcBorders>
            <w:shd w:val="clear" w:color="auto" w:fill="auto"/>
            <w:noWrap/>
            <w:vAlign w:val="bottom"/>
            <w:hideMark/>
          </w:tcPr>
          <w:p w:rsidR="00471C6E" w:rsidRPr="00471C6E" w:rsidRDefault="00471C6E" w:rsidP="00471C6E">
            <w:pPr>
              <w:spacing w:after="0" w:line="240" w:lineRule="auto"/>
              <w:rPr>
                <w:rFonts w:ascii="Arial" w:eastAsia="Times New Roman" w:hAnsi="Arial" w:cs="Arial"/>
                <w:color w:val="000000"/>
                <w:lang w:eastAsia="en-AU"/>
              </w:rPr>
            </w:pPr>
            <w:r w:rsidRPr="00471C6E">
              <w:rPr>
                <w:rFonts w:ascii="Arial" w:eastAsia="Times New Roman" w:hAnsi="Arial" w:cs="Arial"/>
                <w:color w:val="000000"/>
                <w:lang w:eastAsia="en-AU"/>
              </w:rPr>
              <w:t> </w:t>
            </w:r>
          </w:p>
        </w:tc>
        <w:tc>
          <w:tcPr>
            <w:tcW w:w="1140" w:type="dxa"/>
            <w:tcBorders>
              <w:top w:val="nil"/>
              <w:left w:val="nil"/>
              <w:bottom w:val="single" w:sz="4" w:space="0" w:color="auto"/>
              <w:right w:val="single" w:sz="8" w:space="0" w:color="auto"/>
            </w:tcBorders>
            <w:shd w:val="clear" w:color="auto" w:fill="auto"/>
            <w:noWrap/>
            <w:vAlign w:val="bottom"/>
            <w:hideMark/>
          </w:tcPr>
          <w:p w:rsidR="00471C6E" w:rsidRPr="00471C6E" w:rsidRDefault="00471C6E" w:rsidP="00471C6E">
            <w:pPr>
              <w:spacing w:after="0" w:line="240" w:lineRule="auto"/>
              <w:rPr>
                <w:rFonts w:ascii="Arial" w:eastAsia="Times New Roman" w:hAnsi="Arial" w:cs="Arial"/>
                <w:color w:val="000000"/>
                <w:lang w:eastAsia="en-AU"/>
              </w:rPr>
            </w:pPr>
            <w:r w:rsidRPr="00471C6E">
              <w:rPr>
                <w:rFonts w:ascii="Arial" w:eastAsia="Times New Roman" w:hAnsi="Arial" w:cs="Arial"/>
                <w:color w:val="000000"/>
                <w:lang w:eastAsia="en-AU"/>
              </w:rPr>
              <w:t> </w:t>
            </w:r>
          </w:p>
        </w:tc>
      </w:tr>
      <w:tr w:rsidR="00471C6E" w:rsidRPr="00471C6E" w:rsidTr="00471C6E">
        <w:trPr>
          <w:trHeight w:val="278"/>
        </w:trPr>
        <w:tc>
          <w:tcPr>
            <w:tcW w:w="1140" w:type="dxa"/>
            <w:tcBorders>
              <w:top w:val="nil"/>
              <w:left w:val="single" w:sz="8" w:space="0" w:color="auto"/>
              <w:bottom w:val="single" w:sz="4" w:space="0" w:color="auto"/>
              <w:right w:val="single" w:sz="4" w:space="0" w:color="auto"/>
            </w:tcBorders>
            <w:shd w:val="clear" w:color="auto" w:fill="auto"/>
            <w:noWrap/>
            <w:vAlign w:val="bottom"/>
            <w:hideMark/>
          </w:tcPr>
          <w:p w:rsidR="00471C6E" w:rsidRPr="00471C6E" w:rsidRDefault="00471C6E" w:rsidP="00471C6E">
            <w:pPr>
              <w:spacing w:after="0" w:line="240" w:lineRule="auto"/>
              <w:rPr>
                <w:rFonts w:ascii="Arial" w:eastAsia="Times New Roman" w:hAnsi="Arial" w:cs="Arial"/>
                <w:b/>
                <w:bCs/>
                <w:color w:val="000000"/>
                <w:lang w:eastAsia="en-AU"/>
              </w:rPr>
            </w:pPr>
            <w:r w:rsidRPr="00471C6E">
              <w:rPr>
                <w:rFonts w:ascii="Arial" w:eastAsia="Times New Roman" w:hAnsi="Arial" w:cs="Arial"/>
                <w:b/>
                <w:bCs/>
                <w:color w:val="000000"/>
                <w:lang w:eastAsia="en-AU"/>
              </w:rPr>
              <w:t>2 years</w:t>
            </w:r>
          </w:p>
        </w:tc>
        <w:tc>
          <w:tcPr>
            <w:tcW w:w="1140" w:type="dxa"/>
            <w:tcBorders>
              <w:top w:val="nil"/>
              <w:left w:val="nil"/>
              <w:bottom w:val="single" w:sz="4" w:space="0" w:color="auto"/>
              <w:right w:val="single" w:sz="4" w:space="0" w:color="auto"/>
            </w:tcBorders>
            <w:shd w:val="clear" w:color="auto" w:fill="auto"/>
            <w:noWrap/>
            <w:vAlign w:val="bottom"/>
            <w:hideMark/>
          </w:tcPr>
          <w:p w:rsidR="00471C6E" w:rsidRPr="00471C6E" w:rsidRDefault="00471C6E" w:rsidP="00471C6E">
            <w:pPr>
              <w:spacing w:after="0" w:line="240" w:lineRule="auto"/>
              <w:jc w:val="right"/>
              <w:rPr>
                <w:rFonts w:ascii="Arial" w:eastAsia="Times New Roman" w:hAnsi="Arial" w:cs="Arial"/>
                <w:color w:val="000000"/>
                <w:lang w:eastAsia="en-AU"/>
              </w:rPr>
            </w:pPr>
            <w:r w:rsidRPr="00471C6E">
              <w:rPr>
                <w:rFonts w:ascii="Arial" w:eastAsia="Times New Roman" w:hAnsi="Arial" w:cs="Arial"/>
                <w:color w:val="000000"/>
                <w:lang w:eastAsia="en-AU"/>
              </w:rPr>
              <w:t>63.6%</w:t>
            </w:r>
          </w:p>
        </w:tc>
        <w:tc>
          <w:tcPr>
            <w:tcW w:w="1140" w:type="dxa"/>
            <w:tcBorders>
              <w:top w:val="nil"/>
              <w:left w:val="nil"/>
              <w:bottom w:val="single" w:sz="4" w:space="0" w:color="auto"/>
              <w:right w:val="single" w:sz="4" w:space="0" w:color="auto"/>
            </w:tcBorders>
            <w:shd w:val="clear" w:color="auto" w:fill="auto"/>
            <w:noWrap/>
            <w:vAlign w:val="bottom"/>
            <w:hideMark/>
          </w:tcPr>
          <w:p w:rsidR="00471C6E" w:rsidRPr="00471C6E" w:rsidRDefault="00471C6E" w:rsidP="00471C6E">
            <w:pPr>
              <w:spacing w:after="0" w:line="240" w:lineRule="auto"/>
              <w:jc w:val="right"/>
              <w:rPr>
                <w:rFonts w:ascii="Arial" w:eastAsia="Times New Roman" w:hAnsi="Arial" w:cs="Arial"/>
                <w:color w:val="000000"/>
                <w:lang w:eastAsia="en-AU"/>
              </w:rPr>
            </w:pPr>
            <w:r w:rsidRPr="00471C6E">
              <w:rPr>
                <w:rFonts w:ascii="Arial" w:eastAsia="Times New Roman" w:hAnsi="Arial" w:cs="Arial"/>
                <w:color w:val="000000"/>
                <w:lang w:eastAsia="en-AU"/>
              </w:rPr>
              <w:t>67.7%</w:t>
            </w:r>
          </w:p>
        </w:tc>
        <w:tc>
          <w:tcPr>
            <w:tcW w:w="1140" w:type="dxa"/>
            <w:tcBorders>
              <w:top w:val="nil"/>
              <w:left w:val="nil"/>
              <w:bottom w:val="single" w:sz="4" w:space="0" w:color="auto"/>
              <w:right w:val="single" w:sz="4" w:space="0" w:color="auto"/>
            </w:tcBorders>
            <w:shd w:val="clear" w:color="auto" w:fill="auto"/>
            <w:noWrap/>
            <w:vAlign w:val="bottom"/>
            <w:hideMark/>
          </w:tcPr>
          <w:p w:rsidR="00471C6E" w:rsidRPr="00471C6E" w:rsidRDefault="00471C6E" w:rsidP="00471C6E">
            <w:pPr>
              <w:spacing w:after="0" w:line="240" w:lineRule="auto"/>
              <w:jc w:val="right"/>
              <w:rPr>
                <w:rFonts w:ascii="Arial" w:eastAsia="Times New Roman" w:hAnsi="Arial" w:cs="Arial"/>
                <w:color w:val="000000"/>
                <w:lang w:eastAsia="en-AU"/>
              </w:rPr>
            </w:pPr>
            <w:r w:rsidRPr="00471C6E">
              <w:rPr>
                <w:rFonts w:ascii="Arial" w:eastAsia="Times New Roman" w:hAnsi="Arial" w:cs="Arial"/>
                <w:color w:val="000000"/>
                <w:lang w:eastAsia="en-AU"/>
              </w:rPr>
              <w:t>69.0%</w:t>
            </w:r>
          </w:p>
        </w:tc>
        <w:tc>
          <w:tcPr>
            <w:tcW w:w="1140" w:type="dxa"/>
            <w:tcBorders>
              <w:top w:val="nil"/>
              <w:left w:val="nil"/>
              <w:bottom w:val="single" w:sz="4" w:space="0" w:color="auto"/>
              <w:right w:val="single" w:sz="4" w:space="0" w:color="auto"/>
            </w:tcBorders>
            <w:shd w:val="clear" w:color="auto" w:fill="auto"/>
            <w:noWrap/>
            <w:vAlign w:val="bottom"/>
            <w:hideMark/>
          </w:tcPr>
          <w:p w:rsidR="00471C6E" w:rsidRPr="00471C6E" w:rsidRDefault="00471C6E" w:rsidP="00471C6E">
            <w:pPr>
              <w:spacing w:after="0" w:line="240" w:lineRule="auto"/>
              <w:rPr>
                <w:rFonts w:ascii="Arial" w:eastAsia="Times New Roman" w:hAnsi="Arial" w:cs="Arial"/>
                <w:color w:val="000000"/>
                <w:lang w:eastAsia="en-AU"/>
              </w:rPr>
            </w:pPr>
            <w:r w:rsidRPr="00471C6E">
              <w:rPr>
                <w:rFonts w:ascii="Arial" w:eastAsia="Times New Roman" w:hAnsi="Arial" w:cs="Arial"/>
                <w:color w:val="000000"/>
                <w:lang w:eastAsia="en-AU"/>
              </w:rPr>
              <w:t> </w:t>
            </w:r>
          </w:p>
        </w:tc>
        <w:tc>
          <w:tcPr>
            <w:tcW w:w="1140" w:type="dxa"/>
            <w:tcBorders>
              <w:top w:val="nil"/>
              <w:left w:val="nil"/>
              <w:bottom w:val="single" w:sz="4" w:space="0" w:color="auto"/>
              <w:right w:val="single" w:sz="4" w:space="0" w:color="auto"/>
            </w:tcBorders>
            <w:shd w:val="clear" w:color="auto" w:fill="auto"/>
            <w:noWrap/>
            <w:vAlign w:val="bottom"/>
            <w:hideMark/>
          </w:tcPr>
          <w:p w:rsidR="00471C6E" w:rsidRPr="00471C6E" w:rsidRDefault="00471C6E" w:rsidP="00471C6E">
            <w:pPr>
              <w:spacing w:after="0" w:line="240" w:lineRule="auto"/>
              <w:rPr>
                <w:rFonts w:ascii="Arial" w:eastAsia="Times New Roman" w:hAnsi="Arial" w:cs="Arial"/>
                <w:color w:val="000000"/>
                <w:lang w:eastAsia="en-AU"/>
              </w:rPr>
            </w:pPr>
            <w:r w:rsidRPr="00471C6E">
              <w:rPr>
                <w:rFonts w:ascii="Arial" w:eastAsia="Times New Roman" w:hAnsi="Arial" w:cs="Arial"/>
                <w:color w:val="000000"/>
                <w:lang w:eastAsia="en-AU"/>
              </w:rPr>
              <w:t> </w:t>
            </w:r>
          </w:p>
        </w:tc>
        <w:tc>
          <w:tcPr>
            <w:tcW w:w="1140" w:type="dxa"/>
            <w:tcBorders>
              <w:top w:val="nil"/>
              <w:left w:val="nil"/>
              <w:bottom w:val="single" w:sz="4" w:space="0" w:color="auto"/>
              <w:right w:val="single" w:sz="8" w:space="0" w:color="auto"/>
            </w:tcBorders>
            <w:shd w:val="clear" w:color="auto" w:fill="auto"/>
            <w:noWrap/>
            <w:vAlign w:val="bottom"/>
            <w:hideMark/>
          </w:tcPr>
          <w:p w:rsidR="00471C6E" w:rsidRPr="00471C6E" w:rsidRDefault="00471C6E" w:rsidP="00471C6E">
            <w:pPr>
              <w:spacing w:after="0" w:line="240" w:lineRule="auto"/>
              <w:rPr>
                <w:rFonts w:ascii="Arial" w:eastAsia="Times New Roman" w:hAnsi="Arial" w:cs="Arial"/>
                <w:color w:val="000000"/>
                <w:lang w:eastAsia="en-AU"/>
              </w:rPr>
            </w:pPr>
            <w:r w:rsidRPr="00471C6E">
              <w:rPr>
                <w:rFonts w:ascii="Arial" w:eastAsia="Times New Roman" w:hAnsi="Arial" w:cs="Arial"/>
                <w:color w:val="000000"/>
                <w:lang w:eastAsia="en-AU"/>
              </w:rPr>
              <w:t> </w:t>
            </w:r>
          </w:p>
        </w:tc>
      </w:tr>
      <w:tr w:rsidR="00471C6E" w:rsidRPr="00471C6E" w:rsidTr="00471C6E">
        <w:trPr>
          <w:trHeight w:val="315"/>
        </w:trPr>
        <w:tc>
          <w:tcPr>
            <w:tcW w:w="1140" w:type="dxa"/>
            <w:tcBorders>
              <w:top w:val="nil"/>
              <w:left w:val="single" w:sz="8" w:space="0" w:color="auto"/>
              <w:bottom w:val="single" w:sz="8" w:space="0" w:color="auto"/>
              <w:right w:val="single" w:sz="4" w:space="0" w:color="auto"/>
            </w:tcBorders>
            <w:shd w:val="clear" w:color="auto" w:fill="auto"/>
            <w:noWrap/>
            <w:vAlign w:val="bottom"/>
            <w:hideMark/>
          </w:tcPr>
          <w:p w:rsidR="00471C6E" w:rsidRPr="00471C6E" w:rsidRDefault="00471C6E" w:rsidP="00471C6E">
            <w:pPr>
              <w:spacing w:after="0" w:line="240" w:lineRule="auto"/>
              <w:rPr>
                <w:rFonts w:ascii="Arial" w:eastAsia="Times New Roman" w:hAnsi="Arial" w:cs="Arial"/>
                <w:b/>
                <w:bCs/>
                <w:color w:val="000000"/>
                <w:lang w:eastAsia="en-AU"/>
              </w:rPr>
            </w:pPr>
            <w:r w:rsidRPr="00471C6E">
              <w:rPr>
                <w:rFonts w:ascii="Arial" w:eastAsia="Times New Roman" w:hAnsi="Arial" w:cs="Arial"/>
                <w:b/>
                <w:bCs/>
                <w:color w:val="000000"/>
                <w:lang w:eastAsia="en-AU"/>
              </w:rPr>
              <w:t>1 year</w:t>
            </w:r>
          </w:p>
        </w:tc>
        <w:tc>
          <w:tcPr>
            <w:tcW w:w="1140" w:type="dxa"/>
            <w:tcBorders>
              <w:top w:val="nil"/>
              <w:left w:val="nil"/>
              <w:bottom w:val="single" w:sz="8" w:space="0" w:color="auto"/>
              <w:right w:val="single" w:sz="4" w:space="0" w:color="auto"/>
            </w:tcBorders>
            <w:shd w:val="clear" w:color="auto" w:fill="auto"/>
            <w:noWrap/>
            <w:vAlign w:val="bottom"/>
            <w:hideMark/>
          </w:tcPr>
          <w:p w:rsidR="00471C6E" w:rsidRPr="00471C6E" w:rsidRDefault="00471C6E" w:rsidP="00471C6E">
            <w:pPr>
              <w:spacing w:after="0" w:line="240" w:lineRule="auto"/>
              <w:jc w:val="right"/>
              <w:rPr>
                <w:rFonts w:ascii="Arial" w:eastAsia="Times New Roman" w:hAnsi="Arial" w:cs="Arial"/>
                <w:color w:val="000000"/>
                <w:lang w:eastAsia="en-AU"/>
              </w:rPr>
            </w:pPr>
            <w:r w:rsidRPr="00471C6E">
              <w:rPr>
                <w:rFonts w:ascii="Arial" w:eastAsia="Times New Roman" w:hAnsi="Arial" w:cs="Arial"/>
                <w:color w:val="000000"/>
                <w:lang w:eastAsia="en-AU"/>
              </w:rPr>
              <w:t>62.6%</w:t>
            </w:r>
          </w:p>
        </w:tc>
        <w:tc>
          <w:tcPr>
            <w:tcW w:w="1140" w:type="dxa"/>
            <w:tcBorders>
              <w:top w:val="nil"/>
              <w:left w:val="nil"/>
              <w:bottom w:val="single" w:sz="8" w:space="0" w:color="auto"/>
              <w:right w:val="single" w:sz="4" w:space="0" w:color="auto"/>
            </w:tcBorders>
            <w:shd w:val="clear" w:color="auto" w:fill="auto"/>
            <w:noWrap/>
            <w:vAlign w:val="bottom"/>
            <w:hideMark/>
          </w:tcPr>
          <w:p w:rsidR="00471C6E" w:rsidRPr="00471C6E" w:rsidRDefault="00471C6E" w:rsidP="00471C6E">
            <w:pPr>
              <w:spacing w:after="0" w:line="240" w:lineRule="auto"/>
              <w:jc w:val="right"/>
              <w:rPr>
                <w:rFonts w:ascii="Arial" w:eastAsia="Times New Roman" w:hAnsi="Arial" w:cs="Arial"/>
                <w:color w:val="000000"/>
                <w:lang w:eastAsia="en-AU"/>
              </w:rPr>
            </w:pPr>
            <w:r w:rsidRPr="00471C6E">
              <w:rPr>
                <w:rFonts w:ascii="Arial" w:eastAsia="Times New Roman" w:hAnsi="Arial" w:cs="Arial"/>
                <w:color w:val="000000"/>
                <w:lang w:eastAsia="en-AU"/>
              </w:rPr>
              <w:t>65.6%</w:t>
            </w:r>
          </w:p>
        </w:tc>
        <w:tc>
          <w:tcPr>
            <w:tcW w:w="1140" w:type="dxa"/>
            <w:tcBorders>
              <w:top w:val="nil"/>
              <w:left w:val="nil"/>
              <w:bottom w:val="single" w:sz="8" w:space="0" w:color="auto"/>
              <w:right w:val="single" w:sz="4" w:space="0" w:color="auto"/>
            </w:tcBorders>
            <w:shd w:val="clear" w:color="auto" w:fill="auto"/>
            <w:noWrap/>
            <w:vAlign w:val="bottom"/>
            <w:hideMark/>
          </w:tcPr>
          <w:p w:rsidR="00471C6E" w:rsidRPr="00471C6E" w:rsidRDefault="00471C6E" w:rsidP="00471C6E">
            <w:pPr>
              <w:spacing w:after="0" w:line="240" w:lineRule="auto"/>
              <w:rPr>
                <w:rFonts w:ascii="Arial" w:eastAsia="Times New Roman" w:hAnsi="Arial" w:cs="Arial"/>
                <w:color w:val="000000"/>
                <w:lang w:eastAsia="en-AU"/>
              </w:rPr>
            </w:pPr>
            <w:r w:rsidRPr="00471C6E">
              <w:rPr>
                <w:rFonts w:ascii="Arial" w:eastAsia="Times New Roman" w:hAnsi="Arial" w:cs="Arial"/>
                <w:color w:val="000000"/>
                <w:lang w:eastAsia="en-AU"/>
              </w:rPr>
              <w:t> </w:t>
            </w:r>
          </w:p>
        </w:tc>
        <w:tc>
          <w:tcPr>
            <w:tcW w:w="1140" w:type="dxa"/>
            <w:tcBorders>
              <w:top w:val="nil"/>
              <w:left w:val="nil"/>
              <w:bottom w:val="single" w:sz="8" w:space="0" w:color="auto"/>
              <w:right w:val="single" w:sz="4" w:space="0" w:color="auto"/>
            </w:tcBorders>
            <w:shd w:val="clear" w:color="auto" w:fill="auto"/>
            <w:noWrap/>
            <w:vAlign w:val="bottom"/>
            <w:hideMark/>
          </w:tcPr>
          <w:p w:rsidR="00471C6E" w:rsidRPr="00471C6E" w:rsidRDefault="00471C6E" w:rsidP="00471C6E">
            <w:pPr>
              <w:spacing w:after="0" w:line="240" w:lineRule="auto"/>
              <w:rPr>
                <w:rFonts w:ascii="Arial" w:eastAsia="Times New Roman" w:hAnsi="Arial" w:cs="Arial"/>
                <w:color w:val="000000"/>
                <w:lang w:eastAsia="en-AU"/>
              </w:rPr>
            </w:pPr>
            <w:r w:rsidRPr="00471C6E">
              <w:rPr>
                <w:rFonts w:ascii="Arial" w:eastAsia="Times New Roman" w:hAnsi="Arial" w:cs="Arial"/>
                <w:color w:val="000000"/>
                <w:lang w:eastAsia="en-AU"/>
              </w:rPr>
              <w:t> </w:t>
            </w:r>
          </w:p>
        </w:tc>
        <w:tc>
          <w:tcPr>
            <w:tcW w:w="1140" w:type="dxa"/>
            <w:tcBorders>
              <w:top w:val="nil"/>
              <w:left w:val="nil"/>
              <w:bottom w:val="single" w:sz="8" w:space="0" w:color="auto"/>
              <w:right w:val="single" w:sz="4" w:space="0" w:color="auto"/>
            </w:tcBorders>
            <w:shd w:val="clear" w:color="auto" w:fill="auto"/>
            <w:noWrap/>
            <w:vAlign w:val="bottom"/>
            <w:hideMark/>
          </w:tcPr>
          <w:p w:rsidR="00471C6E" w:rsidRPr="00471C6E" w:rsidRDefault="00471C6E" w:rsidP="00471C6E">
            <w:pPr>
              <w:spacing w:after="0" w:line="240" w:lineRule="auto"/>
              <w:rPr>
                <w:rFonts w:ascii="Arial" w:eastAsia="Times New Roman" w:hAnsi="Arial" w:cs="Arial"/>
                <w:color w:val="000000"/>
                <w:lang w:eastAsia="en-AU"/>
              </w:rPr>
            </w:pPr>
            <w:r w:rsidRPr="00471C6E">
              <w:rPr>
                <w:rFonts w:ascii="Arial" w:eastAsia="Times New Roman" w:hAnsi="Arial" w:cs="Arial"/>
                <w:color w:val="000000"/>
                <w:lang w:eastAsia="en-AU"/>
              </w:rPr>
              <w:t> </w:t>
            </w:r>
          </w:p>
        </w:tc>
        <w:tc>
          <w:tcPr>
            <w:tcW w:w="1140" w:type="dxa"/>
            <w:tcBorders>
              <w:top w:val="nil"/>
              <w:left w:val="nil"/>
              <w:bottom w:val="single" w:sz="8" w:space="0" w:color="auto"/>
              <w:right w:val="single" w:sz="8" w:space="0" w:color="auto"/>
            </w:tcBorders>
            <w:shd w:val="clear" w:color="auto" w:fill="auto"/>
            <w:noWrap/>
            <w:vAlign w:val="bottom"/>
            <w:hideMark/>
          </w:tcPr>
          <w:p w:rsidR="00471C6E" w:rsidRPr="00471C6E" w:rsidRDefault="00471C6E" w:rsidP="00471C6E">
            <w:pPr>
              <w:spacing w:after="0" w:line="240" w:lineRule="auto"/>
              <w:rPr>
                <w:rFonts w:ascii="Arial" w:eastAsia="Times New Roman" w:hAnsi="Arial" w:cs="Arial"/>
                <w:color w:val="000000"/>
                <w:lang w:eastAsia="en-AU"/>
              </w:rPr>
            </w:pPr>
            <w:r w:rsidRPr="00471C6E">
              <w:rPr>
                <w:rFonts w:ascii="Arial" w:eastAsia="Times New Roman" w:hAnsi="Arial" w:cs="Arial"/>
                <w:color w:val="000000"/>
                <w:lang w:eastAsia="en-AU"/>
              </w:rPr>
              <w:t> </w:t>
            </w:r>
          </w:p>
        </w:tc>
      </w:tr>
    </w:tbl>
    <w:p w:rsidR="00471C6E" w:rsidRDefault="00471C6E" w:rsidP="005B2A83"/>
    <w:p w:rsidR="00F52219" w:rsidRDefault="0080201D" w:rsidP="005B2A83">
      <w:r>
        <w:t>Footnote 1</w:t>
      </w:r>
      <w:r w:rsidR="00F52219">
        <w:t xml:space="preserve">: </w:t>
      </w:r>
      <w:r w:rsidR="00F52219" w:rsidRPr="00F52219">
        <w:t>Results for cohort 5 (C5) are not shown due to insufficient numbers for this indicator.</w:t>
      </w:r>
    </w:p>
    <w:p w:rsidR="00D762FA" w:rsidRDefault="00D762FA" w:rsidP="00D762FA">
      <w:pPr>
        <w:pStyle w:val="Heading2"/>
      </w:pPr>
      <w:bookmarkStart w:id="38" w:name="_Toc121151415"/>
      <w:r>
        <w:t>Slide 33: Participants aged 0 to 14</w:t>
      </w:r>
      <w:bookmarkEnd w:id="38"/>
    </w:p>
    <w:p w:rsidR="00D762FA" w:rsidRDefault="00D762FA" w:rsidP="00D762FA">
      <w:pPr>
        <w:pStyle w:val="Heading5"/>
      </w:pPr>
      <w:r>
        <w:t>Social, community and civic participation</w:t>
      </w:r>
    </w:p>
    <w:p w:rsidR="00D762FA" w:rsidRDefault="009248F8" w:rsidP="009248F8">
      <w:pPr>
        <w:pStyle w:val="Heading5"/>
        <w:rPr>
          <w:i/>
        </w:rPr>
      </w:pPr>
      <w:r w:rsidRPr="009248F8">
        <w:rPr>
          <w:i/>
        </w:rPr>
        <w:t>After school and/or weekend activities (</w:t>
      </w:r>
      <w:r w:rsidR="0080201D">
        <w:rPr>
          <w:i/>
        </w:rPr>
        <w:t>Footnote 1</w:t>
      </w:r>
      <w:r w:rsidRPr="009248F8">
        <w:rPr>
          <w:i/>
        </w:rPr>
        <w:t>)</w:t>
      </w:r>
    </w:p>
    <w:p w:rsidR="009248F8" w:rsidRDefault="009248F8" w:rsidP="009248F8">
      <w:r w:rsidRPr="009248F8">
        <w:t xml:space="preserve">There has been a slight decreasing trend between baseline and latest review in the percentage of children who spend time after school or on weekends with friends and/or in mainstream programs. </w:t>
      </w:r>
      <w:r w:rsidRPr="009248F8">
        <w:lastRenderedPageBreak/>
        <w:t>For children who have been in the Scheme for five years, 31% participated in activities at their five year review, compared to 34% at baseline.</w:t>
      </w:r>
    </w:p>
    <w:p w:rsidR="00C376B0" w:rsidRDefault="00C376B0" w:rsidP="009248F8">
      <w:r>
        <w:t>By time since first in PSto14:</w:t>
      </w:r>
    </w:p>
    <w:tbl>
      <w:tblPr>
        <w:tblW w:w="8300" w:type="dxa"/>
        <w:tblLook w:val="04A0" w:firstRow="1" w:lastRow="0" w:firstColumn="1" w:lastColumn="0" w:noHBand="0" w:noVBand="1"/>
      </w:tblPr>
      <w:tblGrid>
        <w:gridCol w:w="1660"/>
        <w:gridCol w:w="1660"/>
        <w:gridCol w:w="1660"/>
        <w:gridCol w:w="1660"/>
        <w:gridCol w:w="1660"/>
      </w:tblGrid>
      <w:tr w:rsidR="009248F8" w:rsidRPr="009248F8" w:rsidTr="009248F8">
        <w:trPr>
          <w:trHeight w:val="278"/>
        </w:trPr>
        <w:tc>
          <w:tcPr>
            <w:tcW w:w="1660" w:type="dxa"/>
            <w:tcBorders>
              <w:top w:val="single" w:sz="8" w:space="0" w:color="auto"/>
              <w:left w:val="single" w:sz="8" w:space="0" w:color="auto"/>
              <w:bottom w:val="single" w:sz="8" w:space="0" w:color="auto"/>
              <w:right w:val="nil"/>
            </w:tcBorders>
            <w:shd w:val="clear" w:color="auto" w:fill="auto"/>
            <w:noWrap/>
            <w:vAlign w:val="bottom"/>
            <w:hideMark/>
          </w:tcPr>
          <w:p w:rsidR="009248F8" w:rsidRPr="009248F8" w:rsidRDefault="00DD6A32" w:rsidP="00DD6A32">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Cohort</w:t>
            </w:r>
          </w:p>
        </w:tc>
        <w:tc>
          <w:tcPr>
            <w:tcW w:w="16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248F8" w:rsidRPr="009248F8" w:rsidRDefault="00DD6A32" w:rsidP="009248F8">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Time point</w:t>
            </w:r>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All</w:t>
            </w:r>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0-S/S-14</w:t>
            </w:r>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S-14</w:t>
            </w:r>
          </w:p>
        </w:tc>
      </w:tr>
      <w:tr w:rsidR="00DD6A32" w:rsidRPr="009248F8" w:rsidTr="00DD6A32">
        <w:trPr>
          <w:trHeight w:val="270"/>
        </w:trPr>
        <w:tc>
          <w:tcPr>
            <w:tcW w:w="1660" w:type="dxa"/>
            <w:tcBorders>
              <w:top w:val="nil"/>
              <w:left w:val="single" w:sz="8" w:space="0" w:color="auto"/>
              <w:bottom w:val="single" w:sz="4" w:space="0" w:color="auto"/>
              <w:right w:val="single" w:sz="8" w:space="0" w:color="auto"/>
            </w:tcBorders>
            <w:shd w:val="clear" w:color="000000" w:fill="D3C5D7"/>
            <w:noWrap/>
            <w:vAlign w:val="center"/>
            <w:hideMark/>
          </w:tcPr>
          <w:p w:rsidR="00DD6A32" w:rsidRPr="009248F8" w:rsidRDefault="00DD6A32" w:rsidP="00DD6A32">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5 Years</w:t>
            </w:r>
          </w:p>
        </w:tc>
        <w:tc>
          <w:tcPr>
            <w:tcW w:w="1660" w:type="dxa"/>
            <w:tcBorders>
              <w:top w:val="nil"/>
              <w:left w:val="nil"/>
              <w:bottom w:val="single" w:sz="4" w:space="0" w:color="auto"/>
              <w:right w:val="single" w:sz="8" w:space="0" w:color="auto"/>
            </w:tcBorders>
            <w:shd w:val="clear" w:color="000000" w:fill="D3C5D7"/>
            <w:noWrap/>
            <w:vAlign w:val="bottom"/>
            <w:hideMark/>
          </w:tcPr>
          <w:p w:rsidR="00DD6A32" w:rsidRPr="009248F8" w:rsidRDefault="00DD6A32"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B</w:t>
            </w:r>
          </w:p>
        </w:tc>
        <w:tc>
          <w:tcPr>
            <w:tcW w:w="1660" w:type="dxa"/>
            <w:tcBorders>
              <w:top w:val="nil"/>
              <w:left w:val="nil"/>
              <w:bottom w:val="single" w:sz="4" w:space="0" w:color="auto"/>
              <w:right w:val="single" w:sz="4" w:space="0" w:color="auto"/>
            </w:tcBorders>
            <w:shd w:val="clear" w:color="000000" w:fill="D3C5D7"/>
            <w:noWrap/>
            <w:vAlign w:val="bottom"/>
            <w:hideMark/>
          </w:tcPr>
          <w:p w:rsidR="00DD6A32" w:rsidRPr="009248F8" w:rsidRDefault="00DD6A32"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33.5%</w:t>
            </w:r>
          </w:p>
        </w:tc>
        <w:tc>
          <w:tcPr>
            <w:tcW w:w="1660" w:type="dxa"/>
            <w:tcBorders>
              <w:top w:val="nil"/>
              <w:left w:val="nil"/>
              <w:bottom w:val="single" w:sz="4" w:space="0" w:color="auto"/>
              <w:right w:val="single" w:sz="4" w:space="0" w:color="auto"/>
            </w:tcBorders>
            <w:shd w:val="clear" w:color="000000" w:fill="D3C5D7"/>
            <w:noWrap/>
            <w:vAlign w:val="bottom"/>
            <w:hideMark/>
          </w:tcPr>
          <w:p w:rsidR="00DD6A32" w:rsidRPr="009248F8" w:rsidRDefault="00DD6A32"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 </w:t>
            </w:r>
          </w:p>
        </w:tc>
        <w:tc>
          <w:tcPr>
            <w:tcW w:w="1660" w:type="dxa"/>
            <w:tcBorders>
              <w:top w:val="nil"/>
              <w:left w:val="nil"/>
              <w:bottom w:val="single" w:sz="4" w:space="0" w:color="auto"/>
              <w:right w:val="single" w:sz="8" w:space="0" w:color="auto"/>
            </w:tcBorders>
            <w:shd w:val="clear" w:color="000000" w:fill="D3C5D7"/>
            <w:noWrap/>
            <w:vAlign w:val="bottom"/>
            <w:hideMark/>
          </w:tcPr>
          <w:p w:rsidR="00DD6A32" w:rsidRPr="009248F8" w:rsidRDefault="00DD6A32"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33.5%</w:t>
            </w:r>
          </w:p>
        </w:tc>
      </w:tr>
      <w:tr w:rsidR="00DD6A32" w:rsidRPr="009248F8" w:rsidTr="00DD6A32">
        <w:trPr>
          <w:trHeight w:val="270"/>
        </w:trPr>
        <w:tc>
          <w:tcPr>
            <w:tcW w:w="1660" w:type="dxa"/>
            <w:tcBorders>
              <w:top w:val="single" w:sz="4" w:space="0" w:color="auto"/>
              <w:left w:val="single" w:sz="4" w:space="0" w:color="auto"/>
              <w:bottom w:val="single" w:sz="4" w:space="0" w:color="auto"/>
              <w:right w:val="single" w:sz="4" w:space="0" w:color="auto"/>
            </w:tcBorders>
            <w:shd w:val="clear" w:color="000000" w:fill="D3C5D7"/>
            <w:vAlign w:val="center"/>
            <w:hideMark/>
          </w:tcPr>
          <w:p w:rsidR="00DD6A32" w:rsidRPr="009248F8" w:rsidRDefault="00DD6A32" w:rsidP="00DD6A32">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5 Years</w:t>
            </w:r>
          </w:p>
        </w:tc>
        <w:tc>
          <w:tcPr>
            <w:tcW w:w="1660" w:type="dxa"/>
            <w:tcBorders>
              <w:top w:val="nil"/>
              <w:left w:val="single" w:sz="4" w:space="0" w:color="auto"/>
              <w:bottom w:val="single" w:sz="4" w:space="0" w:color="auto"/>
              <w:right w:val="single" w:sz="8" w:space="0" w:color="auto"/>
            </w:tcBorders>
            <w:shd w:val="clear" w:color="000000" w:fill="D3C5D7"/>
            <w:noWrap/>
            <w:vAlign w:val="bottom"/>
            <w:hideMark/>
          </w:tcPr>
          <w:p w:rsidR="00DD6A32" w:rsidRPr="009248F8" w:rsidRDefault="00DD6A32"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R1</w:t>
            </w:r>
          </w:p>
        </w:tc>
        <w:tc>
          <w:tcPr>
            <w:tcW w:w="1660" w:type="dxa"/>
            <w:tcBorders>
              <w:top w:val="nil"/>
              <w:left w:val="nil"/>
              <w:bottom w:val="single" w:sz="4" w:space="0" w:color="auto"/>
              <w:right w:val="single" w:sz="4" w:space="0" w:color="auto"/>
            </w:tcBorders>
            <w:shd w:val="clear" w:color="000000" w:fill="D3C5D7"/>
            <w:noWrap/>
            <w:vAlign w:val="bottom"/>
            <w:hideMark/>
          </w:tcPr>
          <w:p w:rsidR="00DD6A32" w:rsidRPr="009248F8" w:rsidRDefault="00DD6A32"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34.7%</w:t>
            </w:r>
          </w:p>
        </w:tc>
        <w:tc>
          <w:tcPr>
            <w:tcW w:w="1660" w:type="dxa"/>
            <w:tcBorders>
              <w:top w:val="nil"/>
              <w:left w:val="nil"/>
              <w:bottom w:val="single" w:sz="4" w:space="0" w:color="auto"/>
              <w:right w:val="single" w:sz="4" w:space="0" w:color="auto"/>
            </w:tcBorders>
            <w:shd w:val="clear" w:color="000000" w:fill="D3C5D7"/>
            <w:noWrap/>
            <w:vAlign w:val="bottom"/>
            <w:hideMark/>
          </w:tcPr>
          <w:p w:rsidR="00DD6A32" w:rsidRPr="009248F8" w:rsidRDefault="00DD6A32"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 </w:t>
            </w:r>
          </w:p>
        </w:tc>
        <w:tc>
          <w:tcPr>
            <w:tcW w:w="1660" w:type="dxa"/>
            <w:tcBorders>
              <w:top w:val="nil"/>
              <w:left w:val="nil"/>
              <w:bottom w:val="single" w:sz="4" w:space="0" w:color="auto"/>
              <w:right w:val="single" w:sz="8" w:space="0" w:color="auto"/>
            </w:tcBorders>
            <w:shd w:val="clear" w:color="000000" w:fill="D3C5D7"/>
            <w:noWrap/>
            <w:vAlign w:val="bottom"/>
            <w:hideMark/>
          </w:tcPr>
          <w:p w:rsidR="00DD6A32" w:rsidRPr="009248F8" w:rsidRDefault="00DD6A32"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34.7%</w:t>
            </w:r>
          </w:p>
        </w:tc>
      </w:tr>
      <w:tr w:rsidR="00DD6A32" w:rsidRPr="009248F8" w:rsidTr="00DD6A32">
        <w:trPr>
          <w:trHeight w:val="270"/>
        </w:trPr>
        <w:tc>
          <w:tcPr>
            <w:tcW w:w="1660" w:type="dxa"/>
            <w:tcBorders>
              <w:top w:val="single" w:sz="4" w:space="0" w:color="auto"/>
              <w:left w:val="single" w:sz="4" w:space="0" w:color="auto"/>
              <w:bottom w:val="single" w:sz="4" w:space="0" w:color="auto"/>
              <w:right w:val="single" w:sz="4" w:space="0" w:color="auto"/>
            </w:tcBorders>
            <w:shd w:val="clear" w:color="000000" w:fill="D3C5D7"/>
            <w:vAlign w:val="center"/>
            <w:hideMark/>
          </w:tcPr>
          <w:p w:rsidR="00DD6A32" w:rsidRPr="009248F8" w:rsidRDefault="00DD6A32" w:rsidP="00DD6A32">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5 Years</w:t>
            </w:r>
          </w:p>
        </w:tc>
        <w:tc>
          <w:tcPr>
            <w:tcW w:w="1660" w:type="dxa"/>
            <w:tcBorders>
              <w:top w:val="nil"/>
              <w:left w:val="single" w:sz="4" w:space="0" w:color="auto"/>
              <w:bottom w:val="single" w:sz="4" w:space="0" w:color="auto"/>
              <w:right w:val="single" w:sz="8" w:space="0" w:color="auto"/>
            </w:tcBorders>
            <w:shd w:val="clear" w:color="000000" w:fill="D3C5D7"/>
            <w:noWrap/>
            <w:vAlign w:val="bottom"/>
            <w:hideMark/>
          </w:tcPr>
          <w:p w:rsidR="00DD6A32" w:rsidRPr="009248F8" w:rsidRDefault="00DD6A32"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R2</w:t>
            </w:r>
          </w:p>
        </w:tc>
        <w:tc>
          <w:tcPr>
            <w:tcW w:w="1660" w:type="dxa"/>
            <w:tcBorders>
              <w:top w:val="nil"/>
              <w:left w:val="nil"/>
              <w:bottom w:val="single" w:sz="4" w:space="0" w:color="auto"/>
              <w:right w:val="single" w:sz="4" w:space="0" w:color="auto"/>
            </w:tcBorders>
            <w:shd w:val="clear" w:color="000000" w:fill="D3C5D7"/>
            <w:noWrap/>
            <w:vAlign w:val="bottom"/>
            <w:hideMark/>
          </w:tcPr>
          <w:p w:rsidR="00DD6A32" w:rsidRPr="009248F8" w:rsidRDefault="00DD6A32"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35.1%</w:t>
            </w:r>
          </w:p>
        </w:tc>
        <w:tc>
          <w:tcPr>
            <w:tcW w:w="1660" w:type="dxa"/>
            <w:tcBorders>
              <w:top w:val="nil"/>
              <w:left w:val="nil"/>
              <w:bottom w:val="single" w:sz="4" w:space="0" w:color="auto"/>
              <w:right w:val="single" w:sz="4" w:space="0" w:color="auto"/>
            </w:tcBorders>
            <w:shd w:val="clear" w:color="000000" w:fill="D3C5D7"/>
            <w:noWrap/>
            <w:vAlign w:val="bottom"/>
            <w:hideMark/>
          </w:tcPr>
          <w:p w:rsidR="00DD6A32" w:rsidRPr="009248F8" w:rsidRDefault="00DD6A32"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 </w:t>
            </w:r>
          </w:p>
        </w:tc>
        <w:tc>
          <w:tcPr>
            <w:tcW w:w="1660" w:type="dxa"/>
            <w:tcBorders>
              <w:top w:val="nil"/>
              <w:left w:val="nil"/>
              <w:bottom w:val="single" w:sz="4" w:space="0" w:color="auto"/>
              <w:right w:val="single" w:sz="8" w:space="0" w:color="auto"/>
            </w:tcBorders>
            <w:shd w:val="clear" w:color="000000" w:fill="D3C5D7"/>
            <w:noWrap/>
            <w:vAlign w:val="bottom"/>
            <w:hideMark/>
          </w:tcPr>
          <w:p w:rsidR="00DD6A32" w:rsidRPr="009248F8" w:rsidRDefault="00DD6A32"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35.1%</w:t>
            </w:r>
          </w:p>
        </w:tc>
      </w:tr>
      <w:tr w:rsidR="00DD6A32" w:rsidRPr="009248F8" w:rsidTr="00DD6A32">
        <w:trPr>
          <w:trHeight w:val="270"/>
        </w:trPr>
        <w:tc>
          <w:tcPr>
            <w:tcW w:w="1660" w:type="dxa"/>
            <w:tcBorders>
              <w:top w:val="single" w:sz="4" w:space="0" w:color="auto"/>
              <w:left w:val="single" w:sz="4" w:space="0" w:color="auto"/>
              <w:bottom w:val="single" w:sz="4" w:space="0" w:color="auto"/>
              <w:right w:val="single" w:sz="4" w:space="0" w:color="auto"/>
            </w:tcBorders>
            <w:shd w:val="clear" w:color="000000" w:fill="D3C5D7"/>
            <w:vAlign w:val="center"/>
            <w:hideMark/>
          </w:tcPr>
          <w:p w:rsidR="00DD6A32" w:rsidRPr="009248F8" w:rsidRDefault="00DD6A32" w:rsidP="00DD6A32">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5 Years</w:t>
            </w:r>
          </w:p>
        </w:tc>
        <w:tc>
          <w:tcPr>
            <w:tcW w:w="1660" w:type="dxa"/>
            <w:tcBorders>
              <w:top w:val="nil"/>
              <w:left w:val="single" w:sz="4" w:space="0" w:color="auto"/>
              <w:bottom w:val="single" w:sz="4" w:space="0" w:color="auto"/>
              <w:right w:val="single" w:sz="8" w:space="0" w:color="auto"/>
            </w:tcBorders>
            <w:shd w:val="clear" w:color="000000" w:fill="D3C5D7"/>
            <w:noWrap/>
            <w:vAlign w:val="bottom"/>
            <w:hideMark/>
          </w:tcPr>
          <w:p w:rsidR="00DD6A32" w:rsidRPr="009248F8" w:rsidRDefault="00DD6A32"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R3</w:t>
            </w:r>
          </w:p>
        </w:tc>
        <w:tc>
          <w:tcPr>
            <w:tcW w:w="1660" w:type="dxa"/>
            <w:tcBorders>
              <w:top w:val="nil"/>
              <w:left w:val="nil"/>
              <w:bottom w:val="single" w:sz="4" w:space="0" w:color="auto"/>
              <w:right w:val="single" w:sz="4" w:space="0" w:color="auto"/>
            </w:tcBorders>
            <w:shd w:val="clear" w:color="000000" w:fill="D3C5D7"/>
            <w:noWrap/>
            <w:vAlign w:val="bottom"/>
            <w:hideMark/>
          </w:tcPr>
          <w:p w:rsidR="00DD6A32" w:rsidRPr="009248F8" w:rsidRDefault="00DD6A32"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33.0%</w:t>
            </w:r>
          </w:p>
        </w:tc>
        <w:tc>
          <w:tcPr>
            <w:tcW w:w="1660" w:type="dxa"/>
            <w:tcBorders>
              <w:top w:val="nil"/>
              <w:left w:val="nil"/>
              <w:bottom w:val="single" w:sz="4" w:space="0" w:color="auto"/>
              <w:right w:val="single" w:sz="4" w:space="0" w:color="auto"/>
            </w:tcBorders>
            <w:shd w:val="clear" w:color="000000" w:fill="D3C5D7"/>
            <w:noWrap/>
            <w:vAlign w:val="bottom"/>
            <w:hideMark/>
          </w:tcPr>
          <w:p w:rsidR="00DD6A32" w:rsidRPr="009248F8" w:rsidRDefault="00DD6A32"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 </w:t>
            </w:r>
          </w:p>
        </w:tc>
        <w:tc>
          <w:tcPr>
            <w:tcW w:w="1660" w:type="dxa"/>
            <w:tcBorders>
              <w:top w:val="nil"/>
              <w:left w:val="nil"/>
              <w:bottom w:val="single" w:sz="4" w:space="0" w:color="auto"/>
              <w:right w:val="single" w:sz="8" w:space="0" w:color="auto"/>
            </w:tcBorders>
            <w:shd w:val="clear" w:color="000000" w:fill="D3C5D7"/>
            <w:noWrap/>
            <w:vAlign w:val="bottom"/>
            <w:hideMark/>
          </w:tcPr>
          <w:p w:rsidR="00DD6A32" w:rsidRPr="009248F8" w:rsidRDefault="00DD6A32"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33.0%</w:t>
            </w:r>
          </w:p>
        </w:tc>
      </w:tr>
      <w:tr w:rsidR="00DD6A32" w:rsidRPr="009248F8" w:rsidTr="00DD6A32">
        <w:trPr>
          <w:trHeight w:val="270"/>
        </w:trPr>
        <w:tc>
          <w:tcPr>
            <w:tcW w:w="1660" w:type="dxa"/>
            <w:tcBorders>
              <w:top w:val="single" w:sz="4" w:space="0" w:color="auto"/>
              <w:left w:val="single" w:sz="4" w:space="0" w:color="auto"/>
              <w:bottom w:val="single" w:sz="4" w:space="0" w:color="auto"/>
              <w:right w:val="single" w:sz="4" w:space="0" w:color="auto"/>
            </w:tcBorders>
            <w:shd w:val="clear" w:color="000000" w:fill="D3C5D7"/>
            <w:vAlign w:val="center"/>
            <w:hideMark/>
          </w:tcPr>
          <w:p w:rsidR="00DD6A32" w:rsidRPr="009248F8" w:rsidRDefault="00DD6A32" w:rsidP="00DD6A32">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5 Years</w:t>
            </w:r>
          </w:p>
        </w:tc>
        <w:tc>
          <w:tcPr>
            <w:tcW w:w="1660" w:type="dxa"/>
            <w:tcBorders>
              <w:top w:val="nil"/>
              <w:left w:val="single" w:sz="4" w:space="0" w:color="auto"/>
              <w:bottom w:val="single" w:sz="4" w:space="0" w:color="auto"/>
              <w:right w:val="single" w:sz="8" w:space="0" w:color="auto"/>
            </w:tcBorders>
            <w:shd w:val="clear" w:color="000000" w:fill="D3C5D7"/>
            <w:noWrap/>
            <w:vAlign w:val="bottom"/>
            <w:hideMark/>
          </w:tcPr>
          <w:p w:rsidR="00DD6A32" w:rsidRPr="009248F8" w:rsidRDefault="00DD6A32"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R4</w:t>
            </w:r>
          </w:p>
        </w:tc>
        <w:tc>
          <w:tcPr>
            <w:tcW w:w="1660" w:type="dxa"/>
            <w:tcBorders>
              <w:top w:val="nil"/>
              <w:left w:val="nil"/>
              <w:bottom w:val="single" w:sz="4" w:space="0" w:color="auto"/>
              <w:right w:val="single" w:sz="4" w:space="0" w:color="auto"/>
            </w:tcBorders>
            <w:shd w:val="clear" w:color="000000" w:fill="D3C5D7"/>
            <w:noWrap/>
            <w:vAlign w:val="bottom"/>
            <w:hideMark/>
          </w:tcPr>
          <w:p w:rsidR="00DD6A32" w:rsidRPr="009248F8" w:rsidRDefault="00DD6A32"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32.6%</w:t>
            </w:r>
          </w:p>
        </w:tc>
        <w:tc>
          <w:tcPr>
            <w:tcW w:w="1660" w:type="dxa"/>
            <w:tcBorders>
              <w:top w:val="nil"/>
              <w:left w:val="nil"/>
              <w:bottom w:val="single" w:sz="4" w:space="0" w:color="auto"/>
              <w:right w:val="single" w:sz="4" w:space="0" w:color="auto"/>
            </w:tcBorders>
            <w:shd w:val="clear" w:color="000000" w:fill="D3C5D7"/>
            <w:noWrap/>
            <w:vAlign w:val="bottom"/>
            <w:hideMark/>
          </w:tcPr>
          <w:p w:rsidR="00DD6A32" w:rsidRPr="009248F8" w:rsidRDefault="00DD6A32"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 </w:t>
            </w:r>
          </w:p>
        </w:tc>
        <w:tc>
          <w:tcPr>
            <w:tcW w:w="1660" w:type="dxa"/>
            <w:tcBorders>
              <w:top w:val="nil"/>
              <w:left w:val="nil"/>
              <w:bottom w:val="single" w:sz="4" w:space="0" w:color="auto"/>
              <w:right w:val="single" w:sz="8" w:space="0" w:color="auto"/>
            </w:tcBorders>
            <w:shd w:val="clear" w:color="000000" w:fill="D3C5D7"/>
            <w:noWrap/>
            <w:vAlign w:val="bottom"/>
            <w:hideMark/>
          </w:tcPr>
          <w:p w:rsidR="00DD6A32" w:rsidRPr="009248F8" w:rsidRDefault="00DD6A32"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32.6%</w:t>
            </w:r>
          </w:p>
        </w:tc>
      </w:tr>
      <w:tr w:rsidR="00DD6A32" w:rsidRPr="009248F8" w:rsidTr="00DD6A32">
        <w:trPr>
          <w:trHeight w:val="278"/>
        </w:trPr>
        <w:tc>
          <w:tcPr>
            <w:tcW w:w="1660" w:type="dxa"/>
            <w:tcBorders>
              <w:top w:val="single" w:sz="4" w:space="0" w:color="auto"/>
              <w:left w:val="single" w:sz="8" w:space="0" w:color="auto"/>
              <w:bottom w:val="single" w:sz="8" w:space="0" w:color="000000"/>
              <w:right w:val="single" w:sz="8" w:space="0" w:color="auto"/>
            </w:tcBorders>
            <w:shd w:val="clear" w:color="000000" w:fill="D3C5D7"/>
            <w:vAlign w:val="center"/>
            <w:hideMark/>
          </w:tcPr>
          <w:p w:rsidR="00DD6A32" w:rsidRPr="009248F8" w:rsidRDefault="00DD6A32" w:rsidP="00DD6A32">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5 Years</w:t>
            </w:r>
          </w:p>
        </w:tc>
        <w:tc>
          <w:tcPr>
            <w:tcW w:w="1660" w:type="dxa"/>
            <w:tcBorders>
              <w:top w:val="nil"/>
              <w:left w:val="nil"/>
              <w:bottom w:val="single" w:sz="8" w:space="0" w:color="auto"/>
              <w:right w:val="single" w:sz="8" w:space="0" w:color="auto"/>
            </w:tcBorders>
            <w:shd w:val="clear" w:color="000000" w:fill="D3C5D7"/>
            <w:noWrap/>
            <w:vAlign w:val="bottom"/>
            <w:hideMark/>
          </w:tcPr>
          <w:p w:rsidR="00DD6A32" w:rsidRPr="009248F8" w:rsidRDefault="00DD6A32"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R5</w:t>
            </w:r>
          </w:p>
        </w:tc>
        <w:tc>
          <w:tcPr>
            <w:tcW w:w="1660" w:type="dxa"/>
            <w:tcBorders>
              <w:top w:val="nil"/>
              <w:left w:val="nil"/>
              <w:bottom w:val="single" w:sz="8" w:space="0" w:color="auto"/>
              <w:right w:val="single" w:sz="4" w:space="0" w:color="auto"/>
            </w:tcBorders>
            <w:shd w:val="clear" w:color="000000" w:fill="D3C5D7"/>
            <w:noWrap/>
            <w:vAlign w:val="bottom"/>
            <w:hideMark/>
          </w:tcPr>
          <w:p w:rsidR="00DD6A32" w:rsidRPr="009248F8" w:rsidRDefault="00DD6A32"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30.8%</w:t>
            </w:r>
          </w:p>
        </w:tc>
        <w:tc>
          <w:tcPr>
            <w:tcW w:w="1660" w:type="dxa"/>
            <w:tcBorders>
              <w:top w:val="nil"/>
              <w:left w:val="nil"/>
              <w:bottom w:val="single" w:sz="8" w:space="0" w:color="auto"/>
              <w:right w:val="single" w:sz="4" w:space="0" w:color="auto"/>
            </w:tcBorders>
            <w:shd w:val="clear" w:color="000000" w:fill="D3C5D7"/>
            <w:noWrap/>
            <w:vAlign w:val="bottom"/>
            <w:hideMark/>
          </w:tcPr>
          <w:p w:rsidR="00DD6A32" w:rsidRPr="009248F8" w:rsidRDefault="00DD6A32"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 </w:t>
            </w:r>
          </w:p>
        </w:tc>
        <w:tc>
          <w:tcPr>
            <w:tcW w:w="1660" w:type="dxa"/>
            <w:tcBorders>
              <w:top w:val="nil"/>
              <w:left w:val="nil"/>
              <w:bottom w:val="single" w:sz="8" w:space="0" w:color="auto"/>
              <w:right w:val="single" w:sz="8" w:space="0" w:color="auto"/>
            </w:tcBorders>
            <w:shd w:val="clear" w:color="000000" w:fill="D3C5D7"/>
            <w:noWrap/>
            <w:vAlign w:val="bottom"/>
            <w:hideMark/>
          </w:tcPr>
          <w:p w:rsidR="00DD6A32" w:rsidRPr="009248F8" w:rsidRDefault="00DD6A32"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30.8%</w:t>
            </w:r>
          </w:p>
        </w:tc>
      </w:tr>
      <w:tr w:rsidR="009248F8" w:rsidRPr="009248F8" w:rsidTr="009248F8">
        <w:trPr>
          <w:trHeight w:val="270"/>
        </w:trPr>
        <w:tc>
          <w:tcPr>
            <w:tcW w:w="1660" w:type="dxa"/>
            <w:tcBorders>
              <w:top w:val="nil"/>
              <w:left w:val="single" w:sz="8" w:space="0" w:color="auto"/>
              <w:bottom w:val="single" w:sz="8" w:space="0" w:color="000000"/>
              <w:right w:val="single" w:sz="8" w:space="0" w:color="auto"/>
            </w:tcBorders>
            <w:shd w:val="clear" w:color="000000" w:fill="E3EED3"/>
            <w:noWrap/>
            <w:vAlign w:val="center"/>
            <w:hideMark/>
          </w:tcPr>
          <w:p w:rsidR="009248F8" w:rsidRPr="009248F8" w:rsidRDefault="009248F8" w:rsidP="00DD6A32">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4 Years</w:t>
            </w:r>
          </w:p>
        </w:tc>
        <w:tc>
          <w:tcPr>
            <w:tcW w:w="1660" w:type="dxa"/>
            <w:tcBorders>
              <w:top w:val="nil"/>
              <w:left w:val="nil"/>
              <w:bottom w:val="single" w:sz="4" w:space="0" w:color="auto"/>
              <w:right w:val="single" w:sz="8" w:space="0" w:color="auto"/>
            </w:tcBorders>
            <w:shd w:val="clear" w:color="000000" w:fill="E3EED3"/>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B</w:t>
            </w:r>
          </w:p>
        </w:tc>
        <w:tc>
          <w:tcPr>
            <w:tcW w:w="1660" w:type="dxa"/>
            <w:tcBorders>
              <w:top w:val="nil"/>
              <w:left w:val="nil"/>
              <w:bottom w:val="single" w:sz="4" w:space="0" w:color="auto"/>
              <w:right w:val="single" w:sz="4" w:space="0" w:color="auto"/>
            </w:tcBorders>
            <w:shd w:val="clear" w:color="000000" w:fill="E3EED3"/>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36.8%</w:t>
            </w:r>
          </w:p>
        </w:tc>
        <w:tc>
          <w:tcPr>
            <w:tcW w:w="1660" w:type="dxa"/>
            <w:tcBorders>
              <w:top w:val="nil"/>
              <w:left w:val="nil"/>
              <w:bottom w:val="single" w:sz="4" w:space="0" w:color="auto"/>
              <w:right w:val="single" w:sz="4" w:space="0" w:color="auto"/>
            </w:tcBorders>
            <w:shd w:val="clear" w:color="000000" w:fill="E3EED3"/>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36.3%</w:t>
            </w:r>
          </w:p>
        </w:tc>
        <w:tc>
          <w:tcPr>
            <w:tcW w:w="1660" w:type="dxa"/>
            <w:tcBorders>
              <w:top w:val="nil"/>
              <w:left w:val="nil"/>
              <w:bottom w:val="single" w:sz="4" w:space="0" w:color="auto"/>
              <w:right w:val="single" w:sz="8" w:space="0" w:color="auto"/>
            </w:tcBorders>
            <w:shd w:val="clear" w:color="000000" w:fill="E3EED3"/>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36.9%</w:t>
            </w:r>
          </w:p>
        </w:tc>
      </w:tr>
      <w:tr w:rsidR="009248F8" w:rsidRPr="009248F8" w:rsidTr="00DD6A32">
        <w:trPr>
          <w:trHeight w:val="270"/>
        </w:trPr>
        <w:tc>
          <w:tcPr>
            <w:tcW w:w="1660" w:type="dxa"/>
            <w:tcBorders>
              <w:top w:val="nil"/>
              <w:left w:val="single" w:sz="8" w:space="0" w:color="auto"/>
              <w:bottom w:val="single" w:sz="8" w:space="0" w:color="000000"/>
              <w:right w:val="single" w:sz="8" w:space="0" w:color="auto"/>
            </w:tcBorders>
            <w:shd w:val="clear" w:color="000000" w:fill="E3EED3"/>
            <w:vAlign w:val="center"/>
            <w:hideMark/>
          </w:tcPr>
          <w:p w:rsidR="009248F8" w:rsidRPr="009248F8" w:rsidRDefault="00DD6A32" w:rsidP="00DD6A32">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4 Years</w:t>
            </w:r>
          </w:p>
        </w:tc>
        <w:tc>
          <w:tcPr>
            <w:tcW w:w="1660" w:type="dxa"/>
            <w:tcBorders>
              <w:top w:val="nil"/>
              <w:left w:val="nil"/>
              <w:bottom w:val="single" w:sz="4" w:space="0" w:color="auto"/>
              <w:right w:val="single" w:sz="8" w:space="0" w:color="auto"/>
            </w:tcBorders>
            <w:shd w:val="clear" w:color="000000" w:fill="E3EED3"/>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R1</w:t>
            </w:r>
          </w:p>
        </w:tc>
        <w:tc>
          <w:tcPr>
            <w:tcW w:w="1660" w:type="dxa"/>
            <w:tcBorders>
              <w:top w:val="nil"/>
              <w:left w:val="nil"/>
              <w:bottom w:val="single" w:sz="4" w:space="0" w:color="auto"/>
              <w:right w:val="single" w:sz="4" w:space="0" w:color="auto"/>
            </w:tcBorders>
            <w:shd w:val="clear" w:color="000000" w:fill="E3EED3"/>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37.6%</w:t>
            </w:r>
          </w:p>
        </w:tc>
        <w:tc>
          <w:tcPr>
            <w:tcW w:w="1660" w:type="dxa"/>
            <w:tcBorders>
              <w:top w:val="nil"/>
              <w:left w:val="nil"/>
              <w:bottom w:val="single" w:sz="4" w:space="0" w:color="auto"/>
              <w:right w:val="single" w:sz="4" w:space="0" w:color="auto"/>
            </w:tcBorders>
            <w:shd w:val="clear" w:color="000000" w:fill="E3EED3"/>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36.2%</w:t>
            </w:r>
          </w:p>
        </w:tc>
        <w:tc>
          <w:tcPr>
            <w:tcW w:w="1660" w:type="dxa"/>
            <w:tcBorders>
              <w:top w:val="nil"/>
              <w:left w:val="nil"/>
              <w:bottom w:val="single" w:sz="4" w:space="0" w:color="auto"/>
              <w:right w:val="single" w:sz="8" w:space="0" w:color="auto"/>
            </w:tcBorders>
            <w:shd w:val="clear" w:color="000000" w:fill="E3EED3"/>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37.8%</w:t>
            </w:r>
          </w:p>
        </w:tc>
      </w:tr>
      <w:tr w:rsidR="009248F8" w:rsidRPr="009248F8" w:rsidTr="00DD6A32">
        <w:trPr>
          <w:trHeight w:val="270"/>
        </w:trPr>
        <w:tc>
          <w:tcPr>
            <w:tcW w:w="1660" w:type="dxa"/>
            <w:tcBorders>
              <w:top w:val="nil"/>
              <w:left w:val="single" w:sz="8" w:space="0" w:color="auto"/>
              <w:bottom w:val="single" w:sz="8" w:space="0" w:color="000000"/>
              <w:right w:val="single" w:sz="8" w:space="0" w:color="auto"/>
            </w:tcBorders>
            <w:shd w:val="clear" w:color="000000" w:fill="E3EED3"/>
            <w:vAlign w:val="center"/>
            <w:hideMark/>
          </w:tcPr>
          <w:p w:rsidR="009248F8" w:rsidRPr="009248F8" w:rsidRDefault="00DD6A32" w:rsidP="00DD6A32">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4 Years</w:t>
            </w:r>
          </w:p>
        </w:tc>
        <w:tc>
          <w:tcPr>
            <w:tcW w:w="1660" w:type="dxa"/>
            <w:tcBorders>
              <w:top w:val="nil"/>
              <w:left w:val="nil"/>
              <w:bottom w:val="single" w:sz="4" w:space="0" w:color="auto"/>
              <w:right w:val="single" w:sz="8" w:space="0" w:color="auto"/>
            </w:tcBorders>
            <w:shd w:val="clear" w:color="000000" w:fill="E3EED3"/>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R2</w:t>
            </w:r>
          </w:p>
        </w:tc>
        <w:tc>
          <w:tcPr>
            <w:tcW w:w="1660" w:type="dxa"/>
            <w:tcBorders>
              <w:top w:val="nil"/>
              <w:left w:val="nil"/>
              <w:bottom w:val="single" w:sz="4" w:space="0" w:color="auto"/>
              <w:right w:val="single" w:sz="4" w:space="0" w:color="auto"/>
            </w:tcBorders>
            <w:shd w:val="clear" w:color="000000" w:fill="E3EED3"/>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36.4%</w:t>
            </w:r>
          </w:p>
        </w:tc>
        <w:tc>
          <w:tcPr>
            <w:tcW w:w="1660" w:type="dxa"/>
            <w:tcBorders>
              <w:top w:val="nil"/>
              <w:left w:val="nil"/>
              <w:bottom w:val="single" w:sz="4" w:space="0" w:color="auto"/>
              <w:right w:val="single" w:sz="4" w:space="0" w:color="auto"/>
            </w:tcBorders>
            <w:shd w:val="clear" w:color="000000" w:fill="E3EED3"/>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34.1%</w:t>
            </w:r>
          </w:p>
        </w:tc>
        <w:tc>
          <w:tcPr>
            <w:tcW w:w="1660" w:type="dxa"/>
            <w:tcBorders>
              <w:top w:val="nil"/>
              <w:left w:val="nil"/>
              <w:bottom w:val="single" w:sz="4" w:space="0" w:color="auto"/>
              <w:right w:val="single" w:sz="8" w:space="0" w:color="auto"/>
            </w:tcBorders>
            <w:shd w:val="clear" w:color="000000" w:fill="E3EED3"/>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36.7%</w:t>
            </w:r>
          </w:p>
        </w:tc>
      </w:tr>
      <w:tr w:rsidR="009248F8" w:rsidRPr="009248F8" w:rsidTr="00DD6A32">
        <w:trPr>
          <w:trHeight w:val="270"/>
        </w:trPr>
        <w:tc>
          <w:tcPr>
            <w:tcW w:w="1660" w:type="dxa"/>
            <w:tcBorders>
              <w:top w:val="nil"/>
              <w:left w:val="single" w:sz="8" w:space="0" w:color="auto"/>
              <w:bottom w:val="single" w:sz="8" w:space="0" w:color="000000"/>
              <w:right w:val="single" w:sz="8" w:space="0" w:color="auto"/>
            </w:tcBorders>
            <w:shd w:val="clear" w:color="000000" w:fill="E3EED3"/>
            <w:vAlign w:val="center"/>
            <w:hideMark/>
          </w:tcPr>
          <w:p w:rsidR="009248F8" w:rsidRPr="009248F8" w:rsidRDefault="00DD6A32" w:rsidP="00DD6A32">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4 Years</w:t>
            </w:r>
          </w:p>
        </w:tc>
        <w:tc>
          <w:tcPr>
            <w:tcW w:w="1660" w:type="dxa"/>
            <w:tcBorders>
              <w:top w:val="nil"/>
              <w:left w:val="nil"/>
              <w:bottom w:val="single" w:sz="4" w:space="0" w:color="auto"/>
              <w:right w:val="single" w:sz="8" w:space="0" w:color="auto"/>
            </w:tcBorders>
            <w:shd w:val="clear" w:color="000000" w:fill="E3EED3"/>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R3</w:t>
            </w:r>
          </w:p>
        </w:tc>
        <w:tc>
          <w:tcPr>
            <w:tcW w:w="1660" w:type="dxa"/>
            <w:tcBorders>
              <w:top w:val="nil"/>
              <w:left w:val="nil"/>
              <w:bottom w:val="single" w:sz="4" w:space="0" w:color="auto"/>
              <w:right w:val="single" w:sz="4" w:space="0" w:color="auto"/>
            </w:tcBorders>
            <w:shd w:val="clear" w:color="000000" w:fill="E3EED3"/>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35.1%</w:t>
            </w:r>
          </w:p>
        </w:tc>
        <w:tc>
          <w:tcPr>
            <w:tcW w:w="1660" w:type="dxa"/>
            <w:tcBorders>
              <w:top w:val="nil"/>
              <w:left w:val="nil"/>
              <w:bottom w:val="single" w:sz="4" w:space="0" w:color="auto"/>
              <w:right w:val="single" w:sz="4" w:space="0" w:color="auto"/>
            </w:tcBorders>
            <w:shd w:val="clear" w:color="000000" w:fill="E3EED3"/>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34.5%</w:t>
            </w:r>
          </w:p>
        </w:tc>
        <w:tc>
          <w:tcPr>
            <w:tcW w:w="1660" w:type="dxa"/>
            <w:tcBorders>
              <w:top w:val="nil"/>
              <w:left w:val="nil"/>
              <w:bottom w:val="single" w:sz="4" w:space="0" w:color="auto"/>
              <w:right w:val="single" w:sz="8" w:space="0" w:color="auto"/>
            </w:tcBorders>
            <w:shd w:val="clear" w:color="000000" w:fill="E3EED3"/>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35.1%</w:t>
            </w:r>
          </w:p>
        </w:tc>
      </w:tr>
      <w:tr w:rsidR="009248F8" w:rsidRPr="009248F8" w:rsidTr="00DD6A32">
        <w:trPr>
          <w:trHeight w:val="278"/>
        </w:trPr>
        <w:tc>
          <w:tcPr>
            <w:tcW w:w="1660" w:type="dxa"/>
            <w:tcBorders>
              <w:top w:val="nil"/>
              <w:left w:val="single" w:sz="8" w:space="0" w:color="auto"/>
              <w:bottom w:val="single" w:sz="8" w:space="0" w:color="000000"/>
              <w:right w:val="single" w:sz="8" w:space="0" w:color="auto"/>
            </w:tcBorders>
            <w:shd w:val="clear" w:color="000000" w:fill="E3EED3"/>
            <w:vAlign w:val="center"/>
            <w:hideMark/>
          </w:tcPr>
          <w:p w:rsidR="009248F8" w:rsidRPr="009248F8" w:rsidRDefault="00DD6A32" w:rsidP="00DD6A32">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4 Years</w:t>
            </w:r>
          </w:p>
        </w:tc>
        <w:tc>
          <w:tcPr>
            <w:tcW w:w="1660" w:type="dxa"/>
            <w:tcBorders>
              <w:top w:val="nil"/>
              <w:left w:val="nil"/>
              <w:bottom w:val="single" w:sz="8" w:space="0" w:color="auto"/>
              <w:right w:val="single" w:sz="8" w:space="0" w:color="auto"/>
            </w:tcBorders>
            <w:shd w:val="clear" w:color="000000" w:fill="E3EED3"/>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R4</w:t>
            </w:r>
          </w:p>
        </w:tc>
        <w:tc>
          <w:tcPr>
            <w:tcW w:w="1660" w:type="dxa"/>
            <w:tcBorders>
              <w:top w:val="nil"/>
              <w:left w:val="nil"/>
              <w:bottom w:val="single" w:sz="8" w:space="0" w:color="auto"/>
              <w:right w:val="single" w:sz="4" w:space="0" w:color="auto"/>
            </w:tcBorders>
            <w:shd w:val="clear" w:color="000000" w:fill="E3EED3"/>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33.3%</w:t>
            </w:r>
          </w:p>
        </w:tc>
        <w:tc>
          <w:tcPr>
            <w:tcW w:w="1660" w:type="dxa"/>
            <w:tcBorders>
              <w:top w:val="nil"/>
              <w:left w:val="nil"/>
              <w:bottom w:val="single" w:sz="8" w:space="0" w:color="auto"/>
              <w:right w:val="single" w:sz="4" w:space="0" w:color="auto"/>
            </w:tcBorders>
            <w:shd w:val="clear" w:color="000000" w:fill="E3EED3"/>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33.4%</w:t>
            </w:r>
          </w:p>
        </w:tc>
        <w:tc>
          <w:tcPr>
            <w:tcW w:w="1660" w:type="dxa"/>
            <w:tcBorders>
              <w:top w:val="nil"/>
              <w:left w:val="nil"/>
              <w:bottom w:val="single" w:sz="8" w:space="0" w:color="auto"/>
              <w:right w:val="single" w:sz="8" w:space="0" w:color="auto"/>
            </w:tcBorders>
            <w:shd w:val="clear" w:color="000000" w:fill="E3EED3"/>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33.3%</w:t>
            </w:r>
          </w:p>
        </w:tc>
      </w:tr>
      <w:tr w:rsidR="009248F8" w:rsidRPr="009248F8" w:rsidTr="009248F8">
        <w:trPr>
          <w:trHeight w:val="270"/>
        </w:trPr>
        <w:tc>
          <w:tcPr>
            <w:tcW w:w="1660" w:type="dxa"/>
            <w:tcBorders>
              <w:top w:val="nil"/>
              <w:left w:val="single" w:sz="8" w:space="0" w:color="auto"/>
              <w:bottom w:val="single" w:sz="8" w:space="0" w:color="000000"/>
              <w:right w:val="single" w:sz="8" w:space="0" w:color="auto"/>
            </w:tcBorders>
            <w:shd w:val="clear" w:color="000000" w:fill="FFE9CC"/>
            <w:noWrap/>
            <w:vAlign w:val="center"/>
            <w:hideMark/>
          </w:tcPr>
          <w:p w:rsidR="009248F8" w:rsidRPr="009248F8" w:rsidRDefault="009248F8" w:rsidP="00DD6A32">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 Years</w:t>
            </w:r>
          </w:p>
        </w:tc>
        <w:tc>
          <w:tcPr>
            <w:tcW w:w="1660" w:type="dxa"/>
            <w:tcBorders>
              <w:top w:val="nil"/>
              <w:left w:val="nil"/>
              <w:bottom w:val="single" w:sz="4" w:space="0" w:color="auto"/>
              <w:right w:val="single" w:sz="8" w:space="0" w:color="auto"/>
            </w:tcBorders>
            <w:shd w:val="clear" w:color="000000" w:fill="FFE9CC"/>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B</w:t>
            </w:r>
          </w:p>
        </w:tc>
        <w:tc>
          <w:tcPr>
            <w:tcW w:w="1660" w:type="dxa"/>
            <w:tcBorders>
              <w:top w:val="nil"/>
              <w:left w:val="nil"/>
              <w:bottom w:val="single" w:sz="4" w:space="0" w:color="auto"/>
              <w:right w:val="single" w:sz="4" w:space="0" w:color="auto"/>
            </w:tcBorders>
            <w:shd w:val="clear" w:color="000000" w:fill="FFE9CC"/>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37.1%</w:t>
            </w:r>
          </w:p>
        </w:tc>
        <w:tc>
          <w:tcPr>
            <w:tcW w:w="1660" w:type="dxa"/>
            <w:tcBorders>
              <w:top w:val="nil"/>
              <w:left w:val="nil"/>
              <w:bottom w:val="single" w:sz="4" w:space="0" w:color="auto"/>
              <w:right w:val="single" w:sz="4" w:space="0" w:color="auto"/>
            </w:tcBorders>
            <w:shd w:val="clear" w:color="000000" w:fill="FFE9CC"/>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34.8%</w:t>
            </w:r>
          </w:p>
        </w:tc>
        <w:tc>
          <w:tcPr>
            <w:tcW w:w="1660" w:type="dxa"/>
            <w:tcBorders>
              <w:top w:val="nil"/>
              <w:left w:val="nil"/>
              <w:bottom w:val="single" w:sz="4" w:space="0" w:color="auto"/>
              <w:right w:val="single" w:sz="8" w:space="0" w:color="auto"/>
            </w:tcBorders>
            <w:shd w:val="clear" w:color="000000" w:fill="FFE9CC"/>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37.6%</w:t>
            </w:r>
          </w:p>
        </w:tc>
      </w:tr>
      <w:tr w:rsidR="009248F8" w:rsidRPr="009248F8" w:rsidTr="00DD6A32">
        <w:trPr>
          <w:trHeight w:val="270"/>
        </w:trPr>
        <w:tc>
          <w:tcPr>
            <w:tcW w:w="1660" w:type="dxa"/>
            <w:tcBorders>
              <w:top w:val="nil"/>
              <w:left w:val="single" w:sz="8" w:space="0" w:color="auto"/>
              <w:bottom w:val="single" w:sz="8" w:space="0" w:color="000000"/>
              <w:right w:val="single" w:sz="8" w:space="0" w:color="auto"/>
            </w:tcBorders>
            <w:shd w:val="clear" w:color="000000" w:fill="FFE9CC"/>
            <w:vAlign w:val="center"/>
            <w:hideMark/>
          </w:tcPr>
          <w:p w:rsidR="009248F8" w:rsidRPr="009248F8" w:rsidRDefault="00DD6A32" w:rsidP="00DD6A32">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 Years</w:t>
            </w:r>
          </w:p>
        </w:tc>
        <w:tc>
          <w:tcPr>
            <w:tcW w:w="1660" w:type="dxa"/>
            <w:tcBorders>
              <w:top w:val="nil"/>
              <w:left w:val="nil"/>
              <w:bottom w:val="single" w:sz="4" w:space="0" w:color="auto"/>
              <w:right w:val="single" w:sz="8" w:space="0" w:color="auto"/>
            </w:tcBorders>
            <w:shd w:val="clear" w:color="000000" w:fill="FFE9CC"/>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R1</w:t>
            </w:r>
          </w:p>
        </w:tc>
        <w:tc>
          <w:tcPr>
            <w:tcW w:w="1660" w:type="dxa"/>
            <w:tcBorders>
              <w:top w:val="nil"/>
              <w:left w:val="nil"/>
              <w:bottom w:val="single" w:sz="4" w:space="0" w:color="auto"/>
              <w:right w:val="single" w:sz="4" w:space="0" w:color="auto"/>
            </w:tcBorders>
            <w:shd w:val="clear" w:color="000000" w:fill="FFE9CC"/>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36.8%</w:t>
            </w:r>
          </w:p>
        </w:tc>
        <w:tc>
          <w:tcPr>
            <w:tcW w:w="1660" w:type="dxa"/>
            <w:tcBorders>
              <w:top w:val="nil"/>
              <w:left w:val="nil"/>
              <w:bottom w:val="single" w:sz="4" w:space="0" w:color="auto"/>
              <w:right w:val="single" w:sz="4" w:space="0" w:color="auto"/>
            </w:tcBorders>
            <w:shd w:val="clear" w:color="000000" w:fill="FFE9CC"/>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35.4%</w:t>
            </w:r>
          </w:p>
        </w:tc>
        <w:tc>
          <w:tcPr>
            <w:tcW w:w="1660" w:type="dxa"/>
            <w:tcBorders>
              <w:top w:val="nil"/>
              <w:left w:val="nil"/>
              <w:bottom w:val="single" w:sz="4" w:space="0" w:color="auto"/>
              <w:right w:val="single" w:sz="8" w:space="0" w:color="auto"/>
            </w:tcBorders>
            <w:shd w:val="clear" w:color="000000" w:fill="FFE9CC"/>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37.1%</w:t>
            </w:r>
          </w:p>
        </w:tc>
      </w:tr>
      <w:tr w:rsidR="009248F8" w:rsidRPr="009248F8" w:rsidTr="00DD6A32">
        <w:trPr>
          <w:trHeight w:val="270"/>
        </w:trPr>
        <w:tc>
          <w:tcPr>
            <w:tcW w:w="1660" w:type="dxa"/>
            <w:tcBorders>
              <w:top w:val="nil"/>
              <w:left w:val="single" w:sz="8" w:space="0" w:color="auto"/>
              <w:bottom w:val="single" w:sz="8" w:space="0" w:color="000000"/>
              <w:right w:val="single" w:sz="8" w:space="0" w:color="auto"/>
            </w:tcBorders>
            <w:shd w:val="clear" w:color="000000" w:fill="FFE9CC"/>
            <w:vAlign w:val="center"/>
            <w:hideMark/>
          </w:tcPr>
          <w:p w:rsidR="009248F8" w:rsidRPr="009248F8" w:rsidRDefault="00DD6A32" w:rsidP="00DD6A32">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 Years</w:t>
            </w:r>
          </w:p>
        </w:tc>
        <w:tc>
          <w:tcPr>
            <w:tcW w:w="1660" w:type="dxa"/>
            <w:tcBorders>
              <w:top w:val="nil"/>
              <w:left w:val="nil"/>
              <w:bottom w:val="single" w:sz="4" w:space="0" w:color="auto"/>
              <w:right w:val="single" w:sz="8" w:space="0" w:color="auto"/>
            </w:tcBorders>
            <w:shd w:val="clear" w:color="000000" w:fill="FFE9CC"/>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R2</w:t>
            </w:r>
          </w:p>
        </w:tc>
        <w:tc>
          <w:tcPr>
            <w:tcW w:w="1660" w:type="dxa"/>
            <w:tcBorders>
              <w:top w:val="nil"/>
              <w:left w:val="nil"/>
              <w:bottom w:val="single" w:sz="4" w:space="0" w:color="auto"/>
              <w:right w:val="single" w:sz="4" w:space="0" w:color="auto"/>
            </w:tcBorders>
            <w:shd w:val="clear" w:color="000000" w:fill="FFE9CC"/>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35.6%</w:t>
            </w:r>
          </w:p>
        </w:tc>
        <w:tc>
          <w:tcPr>
            <w:tcW w:w="1660" w:type="dxa"/>
            <w:tcBorders>
              <w:top w:val="nil"/>
              <w:left w:val="nil"/>
              <w:bottom w:val="single" w:sz="4" w:space="0" w:color="auto"/>
              <w:right w:val="single" w:sz="4" w:space="0" w:color="auto"/>
            </w:tcBorders>
            <w:shd w:val="clear" w:color="000000" w:fill="FFE9CC"/>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34.4%</w:t>
            </w:r>
          </w:p>
        </w:tc>
        <w:tc>
          <w:tcPr>
            <w:tcW w:w="1660" w:type="dxa"/>
            <w:tcBorders>
              <w:top w:val="nil"/>
              <w:left w:val="nil"/>
              <w:bottom w:val="single" w:sz="4" w:space="0" w:color="auto"/>
              <w:right w:val="single" w:sz="8" w:space="0" w:color="auto"/>
            </w:tcBorders>
            <w:shd w:val="clear" w:color="000000" w:fill="FFE9CC"/>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35.9%</w:t>
            </w:r>
          </w:p>
        </w:tc>
      </w:tr>
      <w:tr w:rsidR="009248F8" w:rsidRPr="009248F8" w:rsidTr="00DD6A32">
        <w:trPr>
          <w:trHeight w:val="278"/>
        </w:trPr>
        <w:tc>
          <w:tcPr>
            <w:tcW w:w="1660" w:type="dxa"/>
            <w:tcBorders>
              <w:top w:val="nil"/>
              <w:left w:val="single" w:sz="8" w:space="0" w:color="auto"/>
              <w:bottom w:val="single" w:sz="8" w:space="0" w:color="000000"/>
              <w:right w:val="single" w:sz="8" w:space="0" w:color="auto"/>
            </w:tcBorders>
            <w:shd w:val="clear" w:color="000000" w:fill="FFE9CC"/>
            <w:vAlign w:val="center"/>
            <w:hideMark/>
          </w:tcPr>
          <w:p w:rsidR="009248F8" w:rsidRPr="009248F8" w:rsidRDefault="00DD6A32" w:rsidP="00DD6A32">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 Years</w:t>
            </w:r>
          </w:p>
        </w:tc>
        <w:tc>
          <w:tcPr>
            <w:tcW w:w="1660" w:type="dxa"/>
            <w:tcBorders>
              <w:top w:val="nil"/>
              <w:left w:val="nil"/>
              <w:bottom w:val="single" w:sz="8" w:space="0" w:color="auto"/>
              <w:right w:val="single" w:sz="8" w:space="0" w:color="auto"/>
            </w:tcBorders>
            <w:shd w:val="clear" w:color="000000" w:fill="FFE9CC"/>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R3</w:t>
            </w:r>
          </w:p>
        </w:tc>
        <w:tc>
          <w:tcPr>
            <w:tcW w:w="1660" w:type="dxa"/>
            <w:tcBorders>
              <w:top w:val="nil"/>
              <w:left w:val="nil"/>
              <w:bottom w:val="single" w:sz="8" w:space="0" w:color="auto"/>
              <w:right w:val="single" w:sz="4" w:space="0" w:color="auto"/>
            </w:tcBorders>
            <w:shd w:val="clear" w:color="000000" w:fill="FFE9CC"/>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34.0%</w:t>
            </w:r>
          </w:p>
        </w:tc>
        <w:tc>
          <w:tcPr>
            <w:tcW w:w="1660" w:type="dxa"/>
            <w:tcBorders>
              <w:top w:val="nil"/>
              <w:left w:val="nil"/>
              <w:bottom w:val="single" w:sz="8" w:space="0" w:color="auto"/>
              <w:right w:val="single" w:sz="4" w:space="0" w:color="auto"/>
            </w:tcBorders>
            <w:shd w:val="clear" w:color="000000" w:fill="FFE9CC"/>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33.6%</w:t>
            </w:r>
          </w:p>
        </w:tc>
        <w:tc>
          <w:tcPr>
            <w:tcW w:w="1660" w:type="dxa"/>
            <w:tcBorders>
              <w:top w:val="nil"/>
              <w:left w:val="nil"/>
              <w:bottom w:val="single" w:sz="8" w:space="0" w:color="auto"/>
              <w:right w:val="single" w:sz="8" w:space="0" w:color="auto"/>
            </w:tcBorders>
            <w:shd w:val="clear" w:color="000000" w:fill="FFE9CC"/>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34.1%</w:t>
            </w:r>
          </w:p>
        </w:tc>
      </w:tr>
      <w:tr w:rsidR="009248F8" w:rsidRPr="009248F8" w:rsidTr="009248F8">
        <w:trPr>
          <w:trHeight w:val="270"/>
        </w:trPr>
        <w:tc>
          <w:tcPr>
            <w:tcW w:w="1660" w:type="dxa"/>
            <w:tcBorders>
              <w:top w:val="nil"/>
              <w:left w:val="single" w:sz="8" w:space="0" w:color="auto"/>
              <w:bottom w:val="single" w:sz="8" w:space="0" w:color="000000"/>
              <w:right w:val="single" w:sz="8" w:space="0" w:color="auto"/>
            </w:tcBorders>
            <w:shd w:val="clear" w:color="000000" w:fill="D1D3D4"/>
            <w:noWrap/>
            <w:vAlign w:val="center"/>
            <w:hideMark/>
          </w:tcPr>
          <w:p w:rsidR="009248F8" w:rsidRPr="009248F8" w:rsidRDefault="009248F8" w:rsidP="00DD6A32">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2 Years</w:t>
            </w:r>
          </w:p>
        </w:tc>
        <w:tc>
          <w:tcPr>
            <w:tcW w:w="1660" w:type="dxa"/>
            <w:tcBorders>
              <w:top w:val="nil"/>
              <w:left w:val="nil"/>
              <w:bottom w:val="single" w:sz="4" w:space="0" w:color="auto"/>
              <w:right w:val="single" w:sz="8" w:space="0" w:color="auto"/>
            </w:tcBorders>
            <w:shd w:val="clear" w:color="000000" w:fill="D1D3D4"/>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B</w:t>
            </w:r>
          </w:p>
        </w:tc>
        <w:tc>
          <w:tcPr>
            <w:tcW w:w="1660" w:type="dxa"/>
            <w:tcBorders>
              <w:top w:val="nil"/>
              <w:left w:val="nil"/>
              <w:bottom w:val="single" w:sz="4" w:space="0" w:color="auto"/>
              <w:right w:val="single" w:sz="4" w:space="0" w:color="auto"/>
            </w:tcBorders>
            <w:shd w:val="clear" w:color="000000" w:fill="D1D3D4"/>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37.2%</w:t>
            </w:r>
          </w:p>
        </w:tc>
        <w:tc>
          <w:tcPr>
            <w:tcW w:w="1660" w:type="dxa"/>
            <w:tcBorders>
              <w:top w:val="nil"/>
              <w:left w:val="nil"/>
              <w:bottom w:val="single" w:sz="4" w:space="0" w:color="auto"/>
              <w:right w:val="single" w:sz="4" w:space="0" w:color="auto"/>
            </w:tcBorders>
            <w:shd w:val="clear" w:color="000000" w:fill="D1D3D4"/>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34.6%</w:t>
            </w:r>
          </w:p>
        </w:tc>
        <w:tc>
          <w:tcPr>
            <w:tcW w:w="1660" w:type="dxa"/>
            <w:tcBorders>
              <w:top w:val="nil"/>
              <w:left w:val="nil"/>
              <w:bottom w:val="single" w:sz="4" w:space="0" w:color="auto"/>
              <w:right w:val="single" w:sz="8" w:space="0" w:color="auto"/>
            </w:tcBorders>
            <w:shd w:val="clear" w:color="000000" w:fill="D1D3D4"/>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37.9%</w:t>
            </w:r>
          </w:p>
        </w:tc>
      </w:tr>
      <w:tr w:rsidR="009248F8" w:rsidRPr="009248F8" w:rsidTr="00DD6A32">
        <w:trPr>
          <w:trHeight w:val="270"/>
        </w:trPr>
        <w:tc>
          <w:tcPr>
            <w:tcW w:w="1660" w:type="dxa"/>
            <w:tcBorders>
              <w:top w:val="nil"/>
              <w:left w:val="single" w:sz="8" w:space="0" w:color="auto"/>
              <w:bottom w:val="single" w:sz="8" w:space="0" w:color="000000"/>
              <w:right w:val="single" w:sz="8" w:space="0" w:color="auto"/>
            </w:tcBorders>
            <w:shd w:val="clear" w:color="000000" w:fill="D1D3D4"/>
            <w:vAlign w:val="center"/>
            <w:hideMark/>
          </w:tcPr>
          <w:p w:rsidR="009248F8" w:rsidRPr="009248F8" w:rsidRDefault="00DD6A32" w:rsidP="00DD6A32">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2 Years</w:t>
            </w:r>
          </w:p>
        </w:tc>
        <w:tc>
          <w:tcPr>
            <w:tcW w:w="1660" w:type="dxa"/>
            <w:tcBorders>
              <w:top w:val="nil"/>
              <w:left w:val="nil"/>
              <w:bottom w:val="single" w:sz="4" w:space="0" w:color="auto"/>
              <w:right w:val="single" w:sz="8" w:space="0" w:color="auto"/>
            </w:tcBorders>
            <w:shd w:val="clear" w:color="000000" w:fill="D1D3D4"/>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R1</w:t>
            </w:r>
          </w:p>
        </w:tc>
        <w:tc>
          <w:tcPr>
            <w:tcW w:w="1660" w:type="dxa"/>
            <w:tcBorders>
              <w:top w:val="nil"/>
              <w:left w:val="nil"/>
              <w:bottom w:val="single" w:sz="4" w:space="0" w:color="auto"/>
              <w:right w:val="single" w:sz="4" w:space="0" w:color="auto"/>
            </w:tcBorders>
            <w:shd w:val="clear" w:color="000000" w:fill="D1D3D4"/>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36.6%</w:t>
            </w:r>
          </w:p>
        </w:tc>
        <w:tc>
          <w:tcPr>
            <w:tcW w:w="1660" w:type="dxa"/>
            <w:tcBorders>
              <w:top w:val="nil"/>
              <w:left w:val="nil"/>
              <w:bottom w:val="single" w:sz="4" w:space="0" w:color="auto"/>
              <w:right w:val="single" w:sz="4" w:space="0" w:color="auto"/>
            </w:tcBorders>
            <w:shd w:val="clear" w:color="000000" w:fill="D1D3D4"/>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35.9%</w:t>
            </w:r>
          </w:p>
        </w:tc>
        <w:tc>
          <w:tcPr>
            <w:tcW w:w="1660" w:type="dxa"/>
            <w:tcBorders>
              <w:top w:val="nil"/>
              <w:left w:val="nil"/>
              <w:bottom w:val="single" w:sz="4" w:space="0" w:color="auto"/>
              <w:right w:val="single" w:sz="8" w:space="0" w:color="auto"/>
            </w:tcBorders>
            <w:shd w:val="clear" w:color="000000" w:fill="D1D3D4"/>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36.8%</w:t>
            </w:r>
          </w:p>
        </w:tc>
      </w:tr>
      <w:tr w:rsidR="009248F8" w:rsidRPr="009248F8" w:rsidTr="00DD6A32">
        <w:trPr>
          <w:trHeight w:val="278"/>
        </w:trPr>
        <w:tc>
          <w:tcPr>
            <w:tcW w:w="1660" w:type="dxa"/>
            <w:tcBorders>
              <w:top w:val="nil"/>
              <w:left w:val="single" w:sz="8" w:space="0" w:color="auto"/>
              <w:bottom w:val="single" w:sz="8" w:space="0" w:color="000000"/>
              <w:right w:val="single" w:sz="8" w:space="0" w:color="auto"/>
            </w:tcBorders>
            <w:shd w:val="clear" w:color="000000" w:fill="D1D3D4"/>
            <w:vAlign w:val="center"/>
            <w:hideMark/>
          </w:tcPr>
          <w:p w:rsidR="009248F8" w:rsidRPr="009248F8" w:rsidRDefault="00DD6A32" w:rsidP="00DD6A32">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2 Years</w:t>
            </w:r>
          </w:p>
        </w:tc>
        <w:tc>
          <w:tcPr>
            <w:tcW w:w="1660" w:type="dxa"/>
            <w:tcBorders>
              <w:top w:val="nil"/>
              <w:left w:val="nil"/>
              <w:bottom w:val="single" w:sz="8" w:space="0" w:color="auto"/>
              <w:right w:val="single" w:sz="8" w:space="0" w:color="auto"/>
            </w:tcBorders>
            <w:shd w:val="clear" w:color="000000" w:fill="D1D3D4"/>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R2</w:t>
            </w:r>
          </w:p>
        </w:tc>
        <w:tc>
          <w:tcPr>
            <w:tcW w:w="1660" w:type="dxa"/>
            <w:tcBorders>
              <w:top w:val="nil"/>
              <w:left w:val="nil"/>
              <w:bottom w:val="single" w:sz="8" w:space="0" w:color="auto"/>
              <w:right w:val="single" w:sz="4" w:space="0" w:color="auto"/>
            </w:tcBorders>
            <w:shd w:val="clear" w:color="000000" w:fill="D1D3D4"/>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35.4%</w:t>
            </w:r>
          </w:p>
        </w:tc>
        <w:tc>
          <w:tcPr>
            <w:tcW w:w="1660" w:type="dxa"/>
            <w:tcBorders>
              <w:top w:val="nil"/>
              <w:left w:val="nil"/>
              <w:bottom w:val="single" w:sz="8" w:space="0" w:color="auto"/>
              <w:right w:val="single" w:sz="4" w:space="0" w:color="auto"/>
            </w:tcBorders>
            <w:shd w:val="clear" w:color="000000" w:fill="D1D3D4"/>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34.3%</w:t>
            </w:r>
          </w:p>
        </w:tc>
        <w:tc>
          <w:tcPr>
            <w:tcW w:w="1660" w:type="dxa"/>
            <w:tcBorders>
              <w:top w:val="nil"/>
              <w:left w:val="nil"/>
              <w:bottom w:val="single" w:sz="8" w:space="0" w:color="auto"/>
              <w:right w:val="single" w:sz="8" w:space="0" w:color="auto"/>
            </w:tcBorders>
            <w:shd w:val="clear" w:color="000000" w:fill="D1D3D4"/>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35.7%</w:t>
            </w:r>
          </w:p>
        </w:tc>
      </w:tr>
      <w:tr w:rsidR="009248F8" w:rsidRPr="009248F8" w:rsidTr="009248F8">
        <w:trPr>
          <w:trHeight w:val="270"/>
        </w:trPr>
        <w:tc>
          <w:tcPr>
            <w:tcW w:w="1660" w:type="dxa"/>
            <w:tcBorders>
              <w:top w:val="nil"/>
              <w:left w:val="single" w:sz="8" w:space="0" w:color="auto"/>
              <w:bottom w:val="single" w:sz="8" w:space="0" w:color="000000"/>
              <w:right w:val="single" w:sz="8" w:space="0" w:color="auto"/>
            </w:tcBorders>
            <w:shd w:val="clear" w:color="000000" w:fill="F7EEF7"/>
            <w:noWrap/>
            <w:vAlign w:val="center"/>
            <w:hideMark/>
          </w:tcPr>
          <w:p w:rsidR="009248F8" w:rsidRPr="009248F8" w:rsidRDefault="009248F8" w:rsidP="00DD6A32">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1 Year</w:t>
            </w:r>
          </w:p>
        </w:tc>
        <w:tc>
          <w:tcPr>
            <w:tcW w:w="1660" w:type="dxa"/>
            <w:tcBorders>
              <w:top w:val="nil"/>
              <w:left w:val="nil"/>
              <w:bottom w:val="single" w:sz="4" w:space="0" w:color="auto"/>
              <w:right w:val="single" w:sz="8" w:space="0" w:color="auto"/>
            </w:tcBorders>
            <w:shd w:val="clear" w:color="000000" w:fill="F7EEF7"/>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B</w:t>
            </w:r>
          </w:p>
        </w:tc>
        <w:tc>
          <w:tcPr>
            <w:tcW w:w="1660" w:type="dxa"/>
            <w:tcBorders>
              <w:top w:val="nil"/>
              <w:left w:val="nil"/>
              <w:bottom w:val="single" w:sz="4" w:space="0" w:color="auto"/>
              <w:right w:val="single" w:sz="4" w:space="0" w:color="auto"/>
            </w:tcBorders>
            <w:shd w:val="clear" w:color="000000" w:fill="F7EEF7"/>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35.7%</w:t>
            </w:r>
          </w:p>
        </w:tc>
        <w:tc>
          <w:tcPr>
            <w:tcW w:w="1660" w:type="dxa"/>
            <w:tcBorders>
              <w:top w:val="nil"/>
              <w:left w:val="nil"/>
              <w:bottom w:val="single" w:sz="4" w:space="0" w:color="auto"/>
              <w:right w:val="single" w:sz="4" w:space="0" w:color="auto"/>
            </w:tcBorders>
            <w:shd w:val="clear" w:color="000000" w:fill="F7EEF7"/>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29.8%</w:t>
            </w:r>
          </w:p>
        </w:tc>
        <w:tc>
          <w:tcPr>
            <w:tcW w:w="1660" w:type="dxa"/>
            <w:tcBorders>
              <w:top w:val="nil"/>
              <w:left w:val="nil"/>
              <w:bottom w:val="single" w:sz="4" w:space="0" w:color="auto"/>
              <w:right w:val="single" w:sz="8" w:space="0" w:color="auto"/>
            </w:tcBorders>
            <w:shd w:val="clear" w:color="000000" w:fill="F7EEF7"/>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37.2%</w:t>
            </w:r>
          </w:p>
        </w:tc>
      </w:tr>
      <w:tr w:rsidR="009248F8" w:rsidRPr="009248F8" w:rsidTr="00DD6A32">
        <w:trPr>
          <w:trHeight w:val="278"/>
        </w:trPr>
        <w:tc>
          <w:tcPr>
            <w:tcW w:w="1660" w:type="dxa"/>
            <w:tcBorders>
              <w:top w:val="nil"/>
              <w:left w:val="single" w:sz="8" w:space="0" w:color="auto"/>
              <w:bottom w:val="single" w:sz="8" w:space="0" w:color="000000"/>
              <w:right w:val="single" w:sz="8" w:space="0" w:color="auto"/>
            </w:tcBorders>
            <w:shd w:val="clear" w:color="000000" w:fill="F7EEF7"/>
            <w:vAlign w:val="center"/>
            <w:hideMark/>
          </w:tcPr>
          <w:p w:rsidR="009248F8" w:rsidRPr="009248F8" w:rsidRDefault="00DD6A32" w:rsidP="00DD6A32">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1 Year</w:t>
            </w:r>
          </w:p>
        </w:tc>
        <w:tc>
          <w:tcPr>
            <w:tcW w:w="1660" w:type="dxa"/>
            <w:tcBorders>
              <w:top w:val="nil"/>
              <w:left w:val="nil"/>
              <w:bottom w:val="single" w:sz="8" w:space="0" w:color="auto"/>
              <w:right w:val="single" w:sz="8" w:space="0" w:color="auto"/>
            </w:tcBorders>
            <w:shd w:val="clear" w:color="000000" w:fill="F7EEF7"/>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R1</w:t>
            </w:r>
          </w:p>
        </w:tc>
        <w:tc>
          <w:tcPr>
            <w:tcW w:w="1660" w:type="dxa"/>
            <w:tcBorders>
              <w:top w:val="nil"/>
              <w:left w:val="nil"/>
              <w:bottom w:val="single" w:sz="8" w:space="0" w:color="auto"/>
              <w:right w:val="single" w:sz="4" w:space="0" w:color="auto"/>
            </w:tcBorders>
            <w:shd w:val="clear" w:color="000000" w:fill="F7EEF7"/>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35.3%</w:t>
            </w:r>
          </w:p>
        </w:tc>
        <w:tc>
          <w:tcPr>
            <w:tcW w:w="1660" w:type="dxa"/>
            <w:tcBorders>
              <w:top w:val="nil"/>
              <w:left w:val="nil"/>
              <w:bottom w:val="single" w:sz="8" w:space="0" w:color="auto"/>
              <w:right w:val="single" w:sz="4" w:space="0" w:color="auto"/>
            </w:tcBorders>
            <w:shd w:val="clear" w:color="000000" w:fill="F7EEF7"/>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31.3%</w:t>
            </w:r>
          </w:p>
        </w:tc>
        <w:tc>
          <w:tcPr>
            <w:tcW w:w="1660" w:type="dxa"/>
            <w:tcBorders>
              <w:top w:val="nil"/>
              <w:left w:val="nil"/>
              <w:bottom w:val="single" w:sz="8" w:space="0" w:color="auto"/>
              <w:right w:val="single" w:sz="8" w:space="0" w:color="auto"/>
            </w:tcBorders>
            <w:shd w:val="clear" w:color="000000" w:fill="F7EEF7"/>
            <w:noWrap/>
            <w:vAlign w:val="bottom"/>
            <w:hideMark/>
          </w:tcPr>
          <w:p w:rsidR="009248F8" w:rsidRPr="009248F8" w:rsidRDefault="009248F8" w:rsidP="009248F8">
            <w:pPr>
              <w:spacing w:after="0" w:line="240" w:lineRule="auto"/>
              <w:jc w:val="center"/>
              <w:rPr>
                <w:rFonts w:ascii="Arial" w:eastAsia="Times New Roman" w:hAnsi="Arial" w:cs="Arial"/>
                <w:color w:val="000000"/>
                <w:lang w:eastAsia="en-AU"/>
              </w:rPr>
            </w:pPr>
            <w:r w:rsidRPr="009248F8">
              <w:rPr>
                <w:rFonts w:ascii="Arial" w:eastAsia="Times New Roman" w:hAnsi="Arial" w:cs="Arial"/>
                <w:color w:val="000000"/>
                <w:lang w:eastAsia="en-AU"/>
              </w:rPr>
              <w:t>36.4%</w:t>
            </w:r>
          </w:p>
        </w:tc>
      </w:tr>
    </w:tbl>
    <w:p w:rsidR="009248F8" w:rsidRDefault="009248F8" w:rsidP="009248F8"/>
    <w:p w:rsidR="003C217F" w:rsidRDefault="0080201D" w:rsidP="009248F8">
      <w:r>
        <w:t>Footnote 1</w:t>
      </w:r>
      <w:r w:rsidR="003C217F">
        <w:t xml:space="preserve">: </w:t>
      </w:r>
      <w:r w:rsidR="003C217F" w:rsidRPr="003C217F">
        <w:t>Percentage of children who spend time after school and on weekends with friends and/ or in mainstream programs.</w:t>
      </w:r>
    </w:p>
    <w:p w:rsidR="003C217F" w:rsidRDefault="003C217F" w:rsidP="003C217F">
      <w:pPr>
        <w:pStyle w:val="Heading2"/>
      </w:pPr>
      <w:bookmarkStart w:id="39" w:name="_Toc121151416"/>
      <w:r>
        <w:t>Slide 34: Participants aged 0 to 14</w:t>
      </w:r>
      <w:bookmarkEnd w:id="39"/>
    </w:p>
    <w:p w:rsidR="003C217F" w:rsidRDefault="003C217F" w:rsidP="003C217F">
      <w:pPr>
        <w:pStyle w:val="Heading5"/>
      </w:pPr>
      <w:r>
        <w:t>Social, community and civic participation</w:t>
      </w:r>
    </w:p>
    <w:p w:rsidR="003C217F" w:rsidRPr="003C217F" w:rsidRDefault="003C217F" w:rsidP="003C217F">
      <w:pPr>
        <w:pStyle w:val="Heading5"/>
        <w:rPr>
          <w:i/>
        </w:rPr>
      </w:pPr>
      <w:r w:rsidRPr="003C217F">
        <w:rPr>
          <w:i/>
        </w:rPr>
        <w:t>Those who are welcomed or actively include (at activities) (</w:t>
      </w:r>
      <w:r w:rsidR="0080201D">
        <w:rPr>
          <w:i/>
        </w:rPr>
        <w:t>Footnote 1</w:t>
      </w:r>
      <w:r w:rsidRPr="003C217F">
        <w:rPr>
          <w:i/>
        </w:rPr>
        <w:t>)</w:t>
      </w:r>
    </w:p>
    <w:p w:rsidR="003C217F" w:rsidRDefault="003C217F" w:rsidP="003C217F">
      <w:r>
        <w:t>Of those children who spend time after school and on weekends with friends and/or in mainstream programs, the percentage feeling welcomed or actively included is declining over time – by 6.8 percentage points for cohort C5 between baseline (79%) and fifth review (72%). Those who transitioned up from the 0 to School age group (0-S/S-14) had higher percentages feeling welcomed or actively included for cohorts C1 to C3. For cohort C4, there was an overall deterioration of 4.8 percentage points; however, this was more pronounced (8.2 percentage point drop) in those who transitioned up from the 0 to School age group (0-S/S-14).</w:t>
      </w:r>
    </w:p>
    <w:p w:rsidR="00C376B0" w:rsidRDefault="00C376B0" w:rsidP="00C376B0">
      <w:r>
        <w:t>By time since first in PSto14:</w:t>
      </w:r>
    </w:p>
    <w:tbl>
      <w:tblPr>
        <w:tblW w:w="6963" w:type="dxa"/>
        <w:tblLook w:val="04A0" w:firstRow="1" w:lastRow="0" w:firstColumn="1" w:lastColumn="0" w:noHBand="0" w:noVBand="1"/>
      </w:tblPr>
      <w:tblGrid>
        <w:gridCol w:w="1812"/>
        <w:gridCol w:w="1812"/>
        <w:gridCol w:w="1113"/>
        <w:gridCol w:w="1113"/>
        <w:gridCol w:w="1113"/>
      </w:tblGrid>
      <w:tr w:rsidR="003C217F" w:rsidRPr="003C217F" w:rsidTr="00DD6A32">
        <w:trPr>
          <w:trHeight w:val="280"/>
        </w:trPr>
        <w:tc>
          <w:tcPr>
            <w:tcW w:w="1812" w:type="dxa"/>
            <w:tcBorders>
              <w:top w:val="single" w:sz="8" w:space="0" w:color="auto"/>
              <w:left w:val="single" w:sz="8" w:space="0" w:color="auto"/>
              <w:bottom w:val="single" w:sz="8" w:space="0" w:color="auto"/>
              <w:right w:val="nil"/>
            </w:tcBorders>
            <w:shd w:val="clear" w:color="auto" w:fill="auto"/>
            <w:noWrap/>
            <w:vAlign w:val="bottom"/>
            <w:hideMark/>
          </w:tcPr>
          <w:p w:rsidR="003C217F" w:rsidRPr="003C217F" w:rsidRDefault="00DD6A32" w:rsidP="00DD6A32">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Cohort</w:t>
            </w:r>
          </w:p>
        </w:tc>
        <w:tc>
          <w:tcPr>
            <w:tcW w:w="181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C217F" w:rsidRPr="003C217F" w:rsidRDefault="00DD6A32" w:rsidP="003C217F">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Time point</w:t>
            </w:r>
          </w:p>
        </w:tc>
        <w:tc>
          <w:tcPr>
            <w:tcW w:w="1113" w:type="dxa"/>
            <w:tcBorders>
              <w:top w:val="single" w:sz="8" w:space="0" w:color="auto"/>
              <w:left w:val="nil"/>
              <w:bottom w:val="single" w:sz="8" w:space="0" w:color="auto"/>
              <w:right w:val="nil"/>
            </w:tcBorders>
            <w:shd w:val="clear" w:color="auto" w:fill="auto"/>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All</w:t>
            </w:r>
          </w:p>
        </w:tc>
        <w:tc>
          <w:tcPr>
            <w:tcW w:w="11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0-S/S-14</w:t>
            </w:r>
          </w:p>
        </w:tc>
        <w:tc>
          <w:tcPr>
            <w:tcW w:w="1113" w:type="dxa"/>
            <w:tcBorders>
              <w:top w:val="single" w:sz="8" w:space="0" w:color="auto"/>
              <w:left w:val="nil"/>
              <w:bottom w:val="single" w:sz="8" w:space="0" w:color="auto"/>
              <w:right w:val="single" w:sz="8" w:space="0" w:color="auto"/>
            </w:tcBorders>
            <w:shd w:val="clear" w:color="auto" w:fill="auto"/>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S-14</w:t>
            </w:r>
          </w:p>
        </w:tc>
      </w:tr>
      <w:tr w:rsidR="003C217F" w:rsidRPr="003C217F" w:rsidTr="00DD6A32">
        <w:trPr>
          <w:trHeight w:val="272"/>
        </w:trPr>
        <w:tc>
          <w:tcPr>
            <w:tcW w:w="1812" w:type="dxa"/>
            <w:tcBorders>
              <w:top w:val="nil"/>
              <w:left w:val="single" w:sz="8" w:space="0" w:color="auto"/>
              <w:bottom w:val="single" w:sz="8" w:space="0" w:color="000000"/>
              <w:right w:val="single" w:sz="8" w:space="0" w:color="auto"/>
            </w:tcBorders>
            <w:shd w:val="clear" w:color="000000" w:fill="D3C5D7"/>
            <w:noWrap/>
            <w:vAlign w:val="center"/>
            <w:hideMark/>
          </w:tcPr>
          <w:p w:rsidR="003C217F" w:rsidRPr="003C217F" w:rsidRDefault="003C217F" w:rsidP="00DD6A32">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5 Years</w:t>
            </w:r>
          </w:p>
        </w:tc>
        <w:tc>
          <w:tcPr>
            <w:tcW w:w="1812" w:type="dxa"/>
            <w:tcBorders>
              <w:top w:val="nil"/>
              <w:left w:val="nil"/>
              <w:bottom w:val="single" w:sz="4" w:space="0" w:color="auto"/>
              <w:right w:val="single" w:sz="8" w:space="0" w:color="auto"/>
            </w:tcBorders>
            <w:shd w:val="clear" w:color="000000" w:fill="D3C5D7"/>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B</w:t>
            </w:r>
          </w:p>
        </w:tc>
        <w:tc>
          <w:tcPr>
            <w:tcW w:w="1113" w:type="dxa"/>
            <w:tcBorders>
              <w:top w:val="nil"/>
              <w:left w:val="nil"/>
              <w:bottom w:val="single" w:sz="4" w:space="0" w:color="auto"/>
              <w:right w:val="single" w:sz="4" w:space="0" w:color="auto"/>
            </w:tcBorders>
            <w:shd w:val="clear" w:color="000000" w:fill="D3C5D7"/>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78.6%</w:t>
            </w:r>
          </w:p>
        </w:tc>
        <w:tc>
          <w:tcPr>
            <w:tcW w:w="1113" w:type="dxa"/>
            <w:tcBorders>
              <w:top w:val="nil"/>
              <w:left w:val="nil"/>
              <w:bottom w:val="single" w:sz="4" w:space="0" w:color="auto"/>
              <w:right w:val="single" w:sz="4" w:space="0" w:color="auto"/>
            </w:tcBorders>
            <w:shd w:val="clear" w:color="000000" w:fill="D3C5D7"/>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 </w:t>
            </w:r>
          </w:p>
        </w:tc>
        <w:tc>
          <w:tcPr>
            <w:tcW w:w="1113" w:type="dxa"/>
            <w:tcBorders>
              <w:top w:val="nil"/>
              <w:left w:val="nil"/>
              <w:bottom w:val="single" w:sz="4" w:space="0" w:color="auto"/>
              <w:right w:val="single" w:sz="8" w:space="0" w:color="auto"/>
            </w:tcBorders>
            <w:shd w:val="clear" w:color="000000" w:fill="D3C5D7"/>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78.5%</w:t>
            </w:r>
          </w:p>
        </w:tc>
      </w:tr>
      <w:tr w:rsidR="003C217F" w:rsidRPr="003C217F" w:rsidTr="00DD6A32">
        <w:trPr>
          <w:trHeight w:val="272"/>
        </w:trPr>
        <w:tc>
          <w:tcPr>
            <w:tcW w:w="1812" w:type="dxa"/>
            <w:tcBorders>
              <w:top w:val="nil"/>
              <w:left w:val="single" w:sz="8" w:space="0" w:color="auto"/>
              <w:bottom w:val="single" w:sz="8" w:space="0" w:color="000000"/>
              <w:right w:val="single" w:sz="8" w:space="0" w:color="auto"/>
            </w:tcBorders>
            <w:shd w:val="clear" w:color="000000" w:fill="D3C5D7"/>
            <w:vAlign w:val="center"/>
            <w:hideMark/>
          </w:tcPr>
          <w:p w:rsidR="003C217F" w:rsidRPr="003C217F" w:rsidRDefault="00DD6A32" w:rsidP="00DD6A32">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5 Years</w:t>
            </w:r>
          </w:p>
        </w:tc>
        <w:tc>
          <w:tcPr>
            <w:tcW w:w="1812" w:type="dxa"/>
            <w:tcBorders>
              <w:top w:val="nil"/>
              <w:left w:val="nil"/>
              <w:bottom w:val="single" w:sz="4" w:space="0" w:color="auto"/>
              <w:right w:val="single" w:sz="8" w:space="0" w:color="auto"/>
            </w:tcBorders>
            <w:shd w:val="clear" w:color="000000" w:fill="D3C5D7"/>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R1</w:t>
            </w:r>
          </w:p>
        </w:tc>
        <w:tc>
          <w:tcPr>
            <w:tcW w:w="1113" w:type="dxa"/>
            <w:tcBorders>
              <w:top w:val="nil"/>
              <w:left w:val="nil"/>
              <w:bottom w:val="single" w:sz="4" w:space="0" w:color="auto"/>
              <w:right w:val="single" w:sz="4" w:space="0" w:color="auto"/>
            </w:tcBorders>
            <w:shd w:val="clear" w:color="000000" w:fill="D3C5D7"/>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79.4%</w:t>
            </w:r>
          </w:p>
        </w:tc>
        <w:tc>
          <w:tcPr>
            <w:tcW w:w="1113" w:type="dxa"/>
            <w:tcBorders>
              <w:top w:val="nil"/>
              <w:left w:val="nil"/>
              <w:bottom w:val="single" w:sz="4" w:space="0" w:color="auto"/>
              <w:right w:val="single" w:sz="4" w:space="0" w:color="auto"/>
            </w:tcBorders>
            <w:shd w:val="clear" w:color="000000" w:fill="D3C5D7"/>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 </w:t>
            </w:r>
          </w:p>
        </w:tc>
        <w:tc>
          <w:tcPr>
            <w:tcW w:w="1113" w:type="dxa"/>
            <w:tcBorders>
              <w:top w:val="nil"/>
              <w:left w:val="nil"/>
              <w:bottom w:val="single" w:sz="4" w:space="0" w:color="auto"/>
              <w:right w:val="single" w:sz="8" w:space="0" w:color="auto"/>
            </w:tcBorders>
            <w:shd w:val="clear" w:color="000000" w:fill="D3C5D7"/>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79.4%</w:t>
            </w:r>
          </w:p>
        </w:tc>
      </w:tr>
      <w:tr w:rsidR="003C217F" w:rsidRPr="003C217F" w:rsidTr="00DD6A32">
        <w:trPr>
          <w:trHeight w:val="272"/>
        </w:trPr>
        <w:tc>
          <w:tcPr>
            <w:tcW w:w="1812" w:type="dxa"/>
            <w:tcBorders>
              <w:top w:val="nil"/>
              <w:left w:val="single" w:sz="8" w:space="0" w:color="auto"/>
              <w:bottom w:val="single" w:sz="8" w:space="0" w:color="000000"/>
              <w:right w:val="single" w:sz="8" w:space="0" w:color="auto"/>
            </w:tcBorders>
            <w:shd w:val="clear" w:color="000000" w:fill="D3C5D7"/>
            <w:vAlign w:val="center"/>
            <w:hideMark/>
          </w:tcPr>
          <w:p w:rsidR="003C217F" w:rsidRPr="003C217F" w:rsidRDefault="00DD6A32" w:rsidP="00DD6A32">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5 Years</w:t>
            </w:r>
          </w:p>
        </w:tc>
        <w:tc>
          <w:tcPr>
            <w:tcW w:w="1812" w:type="dxa"/>
            <w:tcBorders>
              <w:top w:val="nil"/>
              <w:left w:val="nil"/>
              <w:bottom w:val="single" w:sz="4" w:space="0" w:color="auto"/>
              <w:right w:val="single" w:sz="8" w:space="0" w:color="auto"/>
            </w:tcBorders>
            <w:shd w:val="clear" w:color="000000" w:fill="D3C5D7"/>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R2</w:t>
            </w:r>
          </w:p>
        </w:tc>
        <w:tc>
          <w:tcPr>
            <w:tcW w:w="1113" w:type="dxa"/>
            <w:tcBorders>
              <w:top w:val="nil"/>
              <w:left w:val="nil"/>
              <w:bottom w:val="single" w:sz="4" w:space="0" w:color="auto"/>
              <w:right w:val="single" w:sz="4" w:space="0" w:color="auto"/>
            </w:tcBorders>
            <w:shd w:val="clear" w:color="000000" w:fill="D3C5D7"/>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77.0%</w:t>
            </w:r>
          </w:p>
        </w:tc>
        <w:tc>
          <w:tcPr>
            <w:tcW w:w="1113" w:type="dxa"/>
            <w:tcBorders>
              <w:top w:val="nil"/>
              <w:left w:val="nil"/>
              <w:bottom w:val="single" w:sz="4" w:space="0" w:color="auto"/>
              <w:right w:val="single" w:sz="4" w:space="0" w:color="auto"/>
            </w:tcBorders>
            <w:shd w:val="clear" w:color="000000" w:fill="D3C5D7"/>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 </w:t>
            </w:r>
          </w:p>
        </w:tc>
        <w:tc>
          <w:tcPr>
            <w:tcW w:w="1113" w:type="dxa"/>
            <w:tcBorders>
              <w:top w:val="nil"/>
              <w:left w:val="nil"/>
              <w:bottom w:val="single" w:sz="4" w:space="0" w:color="auto"/>
              <w:right w:val="single" w:sz="8" w:space="0" w:color="auto"/>
            </w:tcBorders>
            <w:shd w:val="clear" w:color="000000" w:fill="D3C5D7"/>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77.0%</w:t>
            </w:r>
          </w:p>
        </w:tc>
      </w:tr>
      <w:tr w:rsidR="003C217F" w:rsidRPr="003C217F" w:rsidTr="00DD6A32">
        <w:trPr>
          <w:trHeight w:val="272"/>
        </w:trPr>
        <w:tc>
          <w:tcPr>
            <w:tcW w:w="1812" w:type="dxa"/>
            <w:tcBorders>
              <w:top w:val="nil"/>
              <w:left w:val="single" w:sz="8" w:space="0" w:color="auto"/>
              <w:bottom w:val="single" w:sz="8" w:space="0" w:color="000000"/>
              <w:right w:val="single" w:sz="8" w:space="0" w:color="auto"/>
            </w:tcBorders>
            <w:shd w:val="clear" w:color="000000" w:fill="D3C5D7"/>
            <w:vAlign w:val="center"/>
            <w:hideMark/>
          </w:tcPr>
          <w:p w:rsidR="003C217F" w:rsidRPr="003C217F" w:rsidRDefault="00DD6A32" w:rsidP="00DD6A32">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5 Years</w:t>
            </w:r>
          </w:p>
        </w:tc>
        <w:tc>
          <w:tcPr>
            <w:tcW w:w="1812" w:type="dxa"/>
            <w:tcBorders>
              <w:top w:val="nil"/>
              <w:left w:val="nil"/>
              <w:bottom w:val="single" w:sz="4" w:space="0" w:color="auto"/>
              <w:right w:val="single" w:sz="8" w:space="0" w:color="auto"/>
            </w:tcBorders>
            <w:shd w:val="clear" w:color="000000" w:fill="D3C5D7"/>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R3</w:t>
            </w:r>
          </w:p>
        </w:tc>
        <w:tc>
          <w:tcPr>
            <w:tcW w:w="1113" w:type="dxa"/>
            <w:tcBorders>
              <w:top w:val="nil"/>
              <w:left w:val="nil"/>
              <w:bottom w:val="single" w:sz="4" w:space="0" w:color="auto"/>
              <w:right w:val="single" w:sz="4" w:space="0" w:color="auto"/>
            </w:tcBorders>
            <w:shd w:val="clear" w:color="000000" w:fill="D3C5D7"/>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74.5%</w:t>
            </w:r>
          </w:p>
        </w:tc>
        <w:tc>
          <w:tcPr>
            <w:tcW w:w="1113" w:type="dxa"/>
            <w:tcBorders>
              <w:top w:val="nil"/>
              <w:left w:val="nil"/>
              <w:bottom w:val="single" w:sz="4" w:space="0" w:color="auto"/>
              <w:right w:val="single" w:sz="4" w:space="0" w:color="auto"/>
            </w:tcBorders>
            <w:shd w:val="clear" w:color="000000" w:fill="D3C5D7"/>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 </w:t>
            </w:r>
          </w:p>
        </w:tc>
        <w:tc>
          <w:tcPr>
            <w:tcW w:w="1113" w:type="dxa"/>
            <w:tcBorders>
              <w:top w:val="nil"/>
              <w:left w:val="nil"/>
              <w:bottom w:val="single" w:sz="4" w:space="0" w:color="auto"/>
              <w:right w:val="single" w:sz="8" w:space="0" w:color="auto"/>
            </w:tcBorders>
            <w:shd w:val="clear" w:color="000000" w:fill="D3C5D7"/>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74.5%</w:t>
            </w:r>
          </w:p>
        </w:tc>
      </w:tr>
      <w:tr w:rsidR="003C217F" w:rsidRPr="003C217F" w:rsidTr="00DD6A32">
        <w:trPr>
          <w:trHeight w:val="272"/>
        </w:trPr>
        <w:tc>
          <w:tcPr>
            <w:tcW w:w="1812" w:type="dxa"/>
            <w:tcBorders>
              <w:top w:val="nil"/>
              <w:left w:val="single" w:sz="8" w:space="0" w:color="auto"/>
              <w:bottom w:val="single" w:sz="8" w:space="0" w:color="000000"/>
              <w:right w:val="single" w:sz="8" w:space="0" w:color="auto"/>
            </w:tcBorders>
            <w:shd w:val="clear" w:color="000000" w:fill="D3C5D7"/>
            <w:vAlign w:val="center"/>
            <w:hideMark/>
          </w:tcPr>
          <w:p w:rsidR="003C217F" w:rsidRPr="003C217F" w:rsidRDefault="00DD6A32" w:rsidP="00DD6A32">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5 Years</w:t>
            </w:r>
          </w:p>
        </w:tc>
        <w:tc>
          <w:tcPr>
            <w:tcW w:w="1812" w:type="dxa"/>
            <w:tcBorders>
              <w:top w:val="nil"/>
              <w:left w:val="nil"/>
              <w:bottom w:val="single" w:sz="4" w:space="0" w:color="auto"/>
              <w:right w:val="single" w:sz="8" w:space="0" w:color="auto"/>
            </w:tcBorders>
            <w:shd w:val="clear" w:color="000000" w:fill="D3C5D7"/>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R4</w:t>
            </w:r>
          </w:p>
        </w:tc>
        <w:tc>
          <w:tcPr>
            <w:tcW w:w="1113" w:type="dxa"/>
            <w:tcBorders>
              <w:top w:val="nil"/>
              <w:left w:val="nil"/>
              <w:bottom w:val="single" w:sz="4" w:space="0" w:color="auto"/>
              <w:right w:val="single" w:sz="4" w:space="0" w:color="auto"/>
            </w:tcBorders>
            <w:shd w:val="clear" w:color="000000" w:fill="D3C5D7"/>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72.9%</w:t>
            </w:r>
          </w:p>
        </w:tc>
        <w:tc>
          <w:tcPr>
            <w:tcW w:w="1113" w:type="dxa"/>
            <w:tcBorders>
              <w:top w:val="nil"/>
              <w:left w:val="nil"/>
              <w:bottom w:val="single" w:sz="4" w:space="0" w:color="auto"/>
              <w:right w:val="single" w:sz="4" w:space="0" w:color="auto"/>
            </w:tcBorders>
            <w:shd w:val="clear" w:color="000000" w:fill="D3C5D7"/>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 </w:t>
            </w:r>
          </w:p>
        </w:tc>
        <w:tc>
          <w:tcPr>
            <w:tcW w:w="1113" w:type="dxa"/>
            <w:tcBorders>
              <w:top w:val="nil"/>
              <w:left w:val="nil"/>
              <w:bottom w:val="single" w:sz="4" w:space="0" w:color="auto"/>
              <w:right w:val="single" w:sz="8" w:space="0" w:color="auto"/>
            </w:tcBorders>
            <w:shd w:val="clear" w:color="000000" w:fill="D3C5D7"/>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72.9%</w:t>
            </w:r>
          </w:p>
        </w:tc>
      </w:tr>
      <w:tr w:rsidR="003C217F" w:rsidRPr="003C217F" w:rsidTr="00DD6A32">
        <w:trPr>
          <w:trHeight w:val="280"/>
        </w:trPr>
        <w:tc>
          <w:tcPr>
            <w:tcW w:w="1812" w:type="dxa"/>
            <w:tcBorders>
              <w:top w:val="nil"/>
              <w:left w:val="single" w:sz="8" w:space="0" w:color="auto"/>
              <w:bottom w:val="single" w:sz="8" w:space="0" w:color="000000"/>
              <w:right w:val="single" w:sz="8" w:space="0" w:color="auto"/>
            </w:tcBorders>
            <w:shd w:val="clear" w:color="000000" w:fill="D3C5D7"/>
            <w:vAlign w:val="center"/>
            <w:hideMark/>
          </w:tcPr>
          <w:p w:rsidR="003C217F" w:rsidRPr="003C217F" w:rsidRDefault="00DD6A32" w:rsidP="00DD6A32">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lastRenderedPageBreak/>
              <w:t>5 Years</w:t>
            </w:r>
          </w:p>
        </w:tc>
        <w:tc>
          <w:tcPr>
            <w:tcW w:w="1812" w:type="dxa"/>
            <w:tcBorders>
              <w:top w:val="nil"/>
              <w:left w:val="nil"/>
              <w:bottom w:val="single" w:sz="8" w:space="0" w:color="auto"/>
              <w:right w:val="single" w:sz="8" w:space="0" w:color="auto"/>
            </w:tcBorders>
            <w:shd w:val="clear" w:color="000000" w:fill="D3C5D7"/>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R5</w:t>
            </w:r>
          </w:p>
        </w:tc>
        <w:tc>
          <w:tcPr>
            <w:tcW w:w="1113" w:type="dxa"/>
            <w:tcBorders>
              <w:top w:val="nil"/>
              <w:left w:val="nil"/>
              <w:bottom w:val="single" w:sz="8" w:space="0" w:color="auto"/>
              <w:right w:val="single" w:sz="4" w:space="0" w:color="auto"/>
            </w:tcBorders>
            <w:shd w:val="clear" w:color="000000" w:fill="D3C5D7"/>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71.8%</w:t>
            </w:r>
          </w:p>
        </w:tc>
        <w:tc>
          <w:tcPr>
            <w:tcW w:w="1113" w:type="dxa"/>
            <w:tcBorders>
              <w:top w:val="nil"/>
              <w:left w:val="nil"/>
              <w:bottom w:val="single" w:sz="8" w:space="0" w:color="auto"/>
              <w:right w:val="single" w:sz="4" w:space="0" w:color="auto"/>
            </w:tcBorders>
            <w:shd w:val="clear" w:color="000000" w:fill="D3C5D7"/>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 </w:t>
            </w:r>
          </w:p>
        </w:tc>
        <w:tc>
          <w:tcPr>
            <w:tcW w:w="1113" w:type="dxa"/>
            <w:tcBorders>
              <w:top w:val="nil"/>
              <w:left w:val="nil"/>
              <w:bottom w:val="single" w:sz="8" w:space="0" w:color="auto"/>
              <w:right w:val="single" w:sz="8" w:space="0" w:color="auto"/>
            </w:tcBorders>
            <w:shd w:val="clear" w:color="000000" w:fill="D3C5D7"/>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71.8%</w:t>
            </w:r>
          </w:p>
        </w:tc>
      </w:tr>
      <w:tr w:rsidR="003C217F" w:rsidRPr="003C217F" w:rsidTr="00DD6A32">
        <w:trPr>
          <w:trHeight w:val="272"/>
        </w:trPr>
        <w:tc>
          <w:tcPr>
            <w:tcW w:w="1812" w:type="dxa"/>
            <w:tcBorders>
              <w:top w:val="nil"/>
              <w:left w:val="single" w:sz="8" w:space="0" w:color="auto"/>
              <w:bottom w:val="single" w:sz="8" w:space="0" w:color="000000"/>
              <w:right w:val="single" w:sz="8" w:space="0" w:color="auto"/>
            </w:tcBorders>
            <w:shd w:val="clear" w:color="000000" w:fill="E3EED3"/>
            <w:noWrap/>
            <w:vAlign w:val="center"/>
            <w:hideMark/>
          </w:tcPr>
          <w:p w:rsidR="003C217F" w:rsidRPr="003C217F" w:rsidRDefault="003C217F" w:rsidP="00DD6A32">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4 Years</w:t>
            </w:r>
          </w:p>
        </w:tc>
        <w:tc>
          <w:tcPr>
            <w:tcW w:w="1812" w:type="dxa"/>
            <w:tcBorders>
              <w:top w:val="nil"/>
              <w:left w:val="nil"/>
              <w:bottom w:val="single" w:sz="4" w:space="0" w:color="auto"/>
              <w:right w:val="single" w:sz="8" w:space="0" w:color="auto"/>
            </w:tcBorders>
            <w:shd w:val="clear" w:color="000000" w:fill="E3EED3"/>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B</w:t>
            </w:r>
          </w:p>
        </w:tc>
        <w:tc>
          <w:tcPr>
            <w:tcW w:w="1113" w:type="dxa"/>
            <w:tcBorders>
              <w:top w:val="nil"/>
              <w:left w:val="nil"/>
              <w:bottom w:val="single" w:sz="4" w:space="0" w:color="auto"/>
              <w:right w:val="single" w:sz="4" w:space="0" w:color="auto"/>
            </w:tcBorders>
            <w:shd w:val="clear" w:color="000000" w:fill="E3EED3"/>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77.2%</w:t>
            </w:r>
          </w:p>
        </w:tc>
        <w:tc>
          <w:tcPr>
            <w:tcW w:w="1113" w:type="dxa"/>
            <w:tcBorders>
              <w:top w:val="nil"/>
              <w:left w:val="nil"/>
              <w:bottom w:val="single" w:sz="4" w:space="0" w:color="auto"/>
              <w:right w:val="single" w:sz="4" w:space="0" w:color="auto"/>
            </w:tcBorders>
            <w:shd w:val="clear" w:color="000000" w:fill="E3EED3"/>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79.1%</w:t>
            </w:r>
          </w:p>
        </w:tc>
        <w:tc>
          <w:tcPr>
            <w:tcW w:w="1113" w:type="dxa"/>
            <w:tcBorders>
              <w:top w:val="nil"/>
              <w:left w:val="nil"/>
              <w:bottom w:val="single" w:sz="4" w:space="0" w:color="auto"/>
              <w:right w:val="single" w:sz="8" w:space="0" w:color="auto"/>
            </w:tcBorders>
            <w:shd w:val="clear" w:color="000000" w:fill="E3EED3"/>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76.9%</w:t>
            </w:r>
          </w:p>
        </w:tc>
      </w:tr>
      <w:tr w:rsidR="003C217F" w:rsidRPr="003C217F" w:rsidTr="00DD6A32">
        <w:trPr>
          <w:trHeight w:val="272"/>
        </w:trPr>
        <w:tc>
          <w:tcPr>
            <w:tcW w:w="1812" w:type="dxa"/>
            <w:tcBorders>
              <w:top w:val="nil"/>
              <w:left w:val="single" w:sz="8" w:space="0" w:color="auto"/>
              <w:bottom w:val="single" w:sz="8" w:space="0" w:color="000000"/>
              <w:right w:val="single" w:sz="8" w:space="0" w:color="auto"/>
            </w:tcBorders>
            <w:shd w:val="clear" w:color="000000" w:fill="E3EED3"/>
            <w:vAlign w:val="center"/>
            <w:hideMark/>
          </w:tcPr>
          <w:p w:rsidR="003C217F" w:rsidRPr="003C217F" w:rsidRDefault="00DD6A32" w:rsidP="00DD6A32">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4 Years</w:t>
            </w:r>
          </w:p>
        </w:tc>
        <w:tc>
          <w:tcPr>
            <w:tcW w:w="1812" w:type="dxa"/>
            <w:tcBorders>
              <w:top w:val="nil"/>
              <w:left w:val="nil"/>
              <w:bottom w:val="single" w:sz="4" w:space="0" w:color="auto"/>
              <w:right w:val="single" w:sz="8" w:space="0" w:color="auto"/>
            </w:tcBorders>
            <w:shd w:val="clear" w:color="000000" w:fill="E3EED3"/>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R1</w:t>
            </w:r>
          </w:p>
        </w:tc>
        <w:tc>
          <w:tcPr>
            <w:tcW w:w="1113" w:type="dxa"/>
            <w:tcBorders>
              <w:top w:val="nil"/>
              <w:left w:val="nil"/>
              <w:bottom w:val="single" w:sz="4" w:space="0" w:color="auto"/>
              <w:right w:val="single" w:sz="4" w:space="0" w:color="auto"/>
            </w:tcBorders>
            <w:shd w:val="clear" w:color="000000" w:fill="E3EED3"/>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73.5%</w:t>
            </w:r>
          </w:p>
        </w:tc>
        <w:tc>
          <w:tcPr>
            <w:tcW w:w="1113" w:type="dxa"/>
            <w:tcBorders>
              <w:top w:val="nil"/>
              <w:left w:val="nil"/>
              <w:bottom w:val="single" w:sz="4" w:space="0" w:color="auto"/>
              <w:right w:val="single" w:sz="4" w:space="0" w:color="auto"/>
            </w:tcBorders>
            <w:shd w:val="clear" w:color="000000" w:fill="E3EED3"/>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73.0%</w:t>
            </w:r>
          </w:p>
        </w:tc>
        <w:tc>
          <w:tcPr>
            <w:tcW w:w="1113" w:type="dxa"/>
            <w:tcBorders>
              <w:top w:val="nil"/>
              <w:left w:val="nil"/>
              <w:bottom w:val="single" w:sz="4" w:space="0" w:color="auto"/>
              <w:right w:val="single" w:sz="8" w:space="0" w:color="auto"/>
            </w:tcBorders>
            <w:shd w:val="clear" w:color="000000" w:fill="E3EED3"/>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73.5%</w:t>
            </w:r>
          </w:p>
        </w:tc>
      </w:tr>
      <w:tr w:rsidR="003C217F" w:rsidRPr="003C217F" w:rsidTr="00DD6A32">
        <w:trPr>
          <w:trHeight w:val="272"/>
        </w:trPr>
        <w:tc>
          <w:tcPr>
            <w:tcW w:w="1812" w:type="dxa"/>
            <w:tcBorders>
              <w:top w:val="nil"/>
              <w:left w:val="single" w:sz="8" w:space="0" w:color="auto"/>
              <w:bottom w:val="single" w:sz="8" w:space="0" w:color="000000"/>
              <w:right w:val="single" w:sz="8" w:space="0" w:color="auto"/>
            </w:tcBorders>
            <w:shd w:val="clear" w:color="000000" w:fill="E3EED3"/>
            <w:vAlign w:val="center"/>
            <w:hideMark/>
          </w:tcPr>
          <w:p w:rsidR="003C217F" w:rsidRPr="003C217F" w:rsidRDefault="00DD6A32" w:rsidP="00DD6A32">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4 Years</w:t>
            </w:r>
          </w:p>
        </w:tc>
        <w:tc>
          <w:tcPr>
            <w:tcW w:w="1812" w:type="dxa"/>
            <w:tcBorders>
              <w:top w:val="nil"/>
              <w:left w:val="nil"/>
              <w:bottom w:val="single" w:sz="4" w:space="0" w:color="auto"/>
              <w:right w:val="single" w:sz="8" w:space="0" w:color="auto"/>
            </w:tcBorders>
            <w:shd w:val="clear" w:color="000000" w:fill="E3EED3"/>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R2</w:t>
            </w:r>
          </w:p>
        </w:tc>
        <w:tc>
          <w:tcPr>
            <w:tcW w:w="1113" w:type="dxa"/>
            <w:tcBorders>
              <w:top w:val="nil"/>
              <w:left w:val="nil"/>
              <w:bottom w:val="single" w:sz="4" w:space="0" w:color="auto"/>
              <w:right w:val="single" w:sz="4" w:space="0" w:color="auto"/>
            </w:tcBorders>
            <w:shd w:val="clear" w:color="000000" w:fill="E3EED3"/>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73.0%</w:t>
            </w:r>
          </w:p>
        </w:tc>
        <w:tc>
          <w:tcPr>
            <w:tcW w:w="1113" w:type="dxa"/>
            <w:tcBorders>
              <w:top w:val="nil"/>
              <w:left w:val="nil"/>
              <w:bottom w:val="single" w:sz="4" w:space="0" w:color="auto"/>
              <w:right w:val="single" w:sz="4" w:space="0" w:color="auto"/>
            </w:tcBorders>
            <w:shd w:val="clear" w:color="000000" w:fill="E3EED3"/>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72.6%</w:t>
            </w:r>
          </w:p>
        </w:tc>
        <w:tc>
          <w:tcPr>
            <w:tcW w:w="1113" w:type="dxa"/>
            <w:tcBorders>
              <w:top w:val="nil"/>
              <w:left w:val="nil"/>
              <w:bottom w:val="single" w:sz="4" w:space="0" w:color="auto"/>
              <w:right w:val="single" w:sz="8" w:space="0" w:color="auto"/>
            </w:tcBorders>
            <w:shd w:val="clear" w:color="000000" w:fill="E3EED3"/>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72.7%</w:t>
            </w:r>
          </w:p>
        </w:tc>
      </w:tr>
      <w:tr w:rsidR="003C217F" w:rsidRPr="003C217F" w:rsidTr="00DD6A32">
        <w:trPr>
          <w:trHeight w:val="272"/>
        </w:trPr>
        <w:tc>
          <w:tcPr>
            <w:tcW w:w="1812" w:type="dxa"/>
            <w:tcBorders>
              <w:top w:val="nil"/>
              <w:left w:val="single" w:sz="8" w:space="0" w:color="auto"/>
              <w:bottom w:val="single" w:sz="8" w:space="0" w:color="000000"/>
              <w:right w:val="single" w:sz="8" w:space="0" w:color="auto"/>
            </w:tcBorders>
            <w:shd w:val="clear" w:color="000000" w:fill="E3EED3"/>
            <w:vAlign w:val="center"/>
            <w:hideMark/>
          </w:tcPr>
          <w:p w:rsidR="003C217F" w:rsidRPr="003C217F" w:rsidRDefault="00DD6A32" w:rsidP="00DD6A32">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4 Years</w:t>
            </w:r>
          </w:p>
        </w:tc>
        <w:tc>
          <w:tcPr>
            <w:tcW w:w="1812" w:type="dxa"/>
            <w:tcBorders>
              <w:top w:val="nil"/>
              <w:left w:val="nil"/>
              <w:bottom w:val="single" w:sz="4" w:space="0" w:color="auto"/>
              <w:right w:val="single" w:sz="8" w:space="0" w:color="auto"/>
            </w:tcBorders>
            <w:shd w:val="clear" w:color="000000" w:fill="E3EED3"/>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R3</w:t>
            </w:r>
          </w:p>
        </w:tc>
        <w:tc>
          <w:tcPr>
            <w:tcW w:w="1113" w:type="dxa"/>
            <w:tcBorders>
              <w:top w:val="nil"/>
              <w:left w:val="nil"/>
              <w:bottom w:val="single" w:sz="4" w:space="0" w:color="auto"/>
              <w:right w:val="single" w:sz="4" w:space="0" w:color="auto"/>
            </w:tcBorders>
            <w:shd w:val="clear" w:color="000000" w:fill="E3EED3"/>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73.9%</w:t>
            </w:r>
          </w:p>
        </w:tc>
        <w:tc>
          <w:tcPr>
            <w:tcW w:w="1113" w:type="dxa"/>
            <w:tcBorders>
              <w:top w:val="nil"/>
              <w:left w:val="nil"/>
              <w:bottom w:val="single" w:sz="4" w:space="0" w:color="auto"/>
              <w:right w:val="single" w:sz="4" w:space="0" w:color="auto"/>
            </w:tcBorders>
            <w:shd w:val="clear" w:color="000000" w:fill="E3EED3"/>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71.9%</w:t>
            </w:r>
          </w:p>
        </w:tc>
        <w:tc>
          <w:tcPr>
            <w:tcW w:w="1113" w:type="dxa"/>
            <w:tcBorders>
              <w:top w:val="nil"/>
              <w:left w:val="nil"/>
              <w:bottom w:val="single" w:sz="4" w:space="0" w:color="auto"/>
              <w:right w:val="single" w:sz="8" w:space="0" w:color="auto"/>
            </w:tcBorders>
            <w:shd w:val="clear" w:color="000000" w:fill="E3EED3"/>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73.7%</w:t>
            </w:r>
          </w:p>
        </w:tc>
      </w:tr>
      <w:tr w:rsidR="003C217F" w:rsidRPr="003C217F" w:rsidTr="00DD6A32">
        <w:trPr>
          <w:trHeight w:val="280"/>
        </w:trPr>
        <w:tc>
          <w:tcPr>
            <w:tcW w:w="1812" w:type="dxa"/>
            <w:tcBorders>
              <w:top w:val="nil"/>
              <w:left w:val="single" w:sz="8" w:space="0" w:color="auto"/>
              <w:bottom w:val="single" w:sz="8" w:space="0" w:color="000000"/>
              <w:right w:val="single" w:sz="8" w:space="0" w:color="auto"/>
            </w:tcBorders>
            <w:shd w:val="clear" w:color="000000" w:fill="E3EED3"/>
            <w:vAlign w:val="center"/>
            <w:hideMark/>
          </w:tcPr>
          <w:p w:rsidR="003C217F" w:rsidRPr="003C217F" w:rsidRDefault="00DD6A32" w:rsidP="00DD6A32">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4 Years</w:t>
            </w:r>
          </w:p>
        </w:tc>
        <w:tc>
          <w:tcPr>
            <w:tcW w:w="1812" w:type="dxa"/>
            <w:tcBorders>
              <w:top w:val="nil"/>
              <w:left w:val="nil"/>
              <w:bottom w:val="single" w:sz="8" w:space="0" w:color="auto"/>
              <w:right w:val="single" w:sz="8" w:space="0" w:color="auto"/>
            </w:tcBorders>
            <w:shd w:val="clear" w:color="000000" w:fill="E3EED3"/>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R4</w:t>
            </w:r>
          </w:p>
        </w:tc>
        <w:tc>
          <w:tcPr>
            <w:tcW w:w="1113" w:type="dxa"/>
            <w:tcBorders>
              <w:top w:val="nil"/>
              <w:left w:val="nil"/>
              <w:bottom w:val="single" w:sz="8" w:space="0" w:color="auto"/>
              <w:right w:val="single" w:sz="4" w:space="0" w:color="auto"/>
            </w:tcBorders>
            <w:shd w:val="clear" w:color="000000" w:fill="E3EED3"/>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72.4%</w:t>
            </w:r>
          </w:p>
        </w:tc>
        <w:tc>
          <w:tcPr>
            <w:tcW w:w="1113" w:type="dxa"/>
            <w:tcBorders>
              <w:top w:val="nil"/>
              <w:left w:val="nil"/>
              <w:bottom w:val="single" w:sz="8" w:space="0" w:color="auto"/>
              <w:right w:val="single" w:sz="4" w:space="0" w:color="auto"/>
            </w:tcBorders>
            <w:shd w:val="clear" w:color="000000" w:fill="E3EED3"/>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70.9%</w:t>
            </w:r>
          </w:p>
        </w:tc>
        <w:tc>
          <w:tcPr>
            <w:tcW w:w="1113" w:type="dxa"/>
            <w:tcBorders>
              <w:top w:val="nil"/>
              <w:left w:val="nil"/>
              <w:bottom w:val="single" w:sz="8" w:space="0" w:color="auto"/>
              <w:right w:val="single" w:sz="8" w:space="0" w:color="auto"/>
            </w:tcBorders>
            <w:shd w:val="clear" w:color="000000" w:fill="E3EED3"/>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72.1%</w:t>
            </w:r>
          </w:p>
        </w:tc>
      </w:tr>
      <w:tr w:rsidR="003C217F" w:rsidRPr="003C217F" w:rsidTr="00DD6A32">
        <w:trPr>
          <w:trHeight w:val="272"/>
        </w:trPr>
        <w:tc>
          <w:tcPr>
            <w:tcW w:w="1812" w:type="dxa"/>
            <w:tcBorders>
              <w:top w:val="nil"/>
              <w:left w:val="single" w:sz="8" w:space="0" w:color="auto"/>
              <w:bottom w:val="single" w:sz="8" w:space="0" w:color="000000"/>
              <w:right w:val="single" w:sz="8" w:space="0" w:color="auto"/>
            </w:tcBorders>
            <w:shd w:val="clear" w:color="000000" w:fill="FFE9CC"/>
            <w:noWrap/>
            <w:vAlign w:val="center"/>
            <w:hideMark/>
          </w:tcPr>
          <w:p w:rsidR="003C217F" w:rsidRPr="003C217F" w:rsidRDefault="003C217F" w:rsidP="00DD6A32">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3 Years</w:t>
            </w:r>
          </w:p>
        </w:tc>
        <w:tc>
          <w:tcPr>
            <w:tcW w:w="1812" w:type="dxa"/>
            <w:tcBorders>
              <w:top w:val="nil"/>
              <w:left w:val="nil"/>
              <w:bottom w:val="single" w:sz="4" w:space="0" w:color="auto"/>
              <w:right w:val="single" w:sz="8" w:space="0" w:color="auto"/>
            </w:tcBorders>
            <w:shd w:val="clear" w:color="000000" w:fill="FFE9CC"/>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B</w:t>
            </w:r>
          </w:p>
        </w:tc>
        <w:tc>
          <w:tcPr>
            <w:tcW w:w="1113" w:type="dxa"/>
            <w:tcBorders>
              <w:top w:val="nil"/>
              <w:left w:val="nil"/>
              <w:bottom w:val="single" w:sz="4" w:space="0" w:color="auto"/>
              <w:right w:val="single" w:sz="4" w:space="0" w:color="auto"/>
            </w:tcBorders>
            <w:shd w:val="clear" w:color="000000" w:fill="FFE9CC"/>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74.5%</w:t>
            </w:r>
          </w:p>
        </w:tc>
        <w:tc>
          <w:tcPr>
            <w:tcW w:w="1113" w:type="dxa"/>
            <w:tcBorders>
              <w:top w:val="nil"/>
              <w:left w:val="nil"/>
              <w:bottom w:val="single" w:sz="4" w:space="0" w:color="auto"/>
              <w:right w:val="single" w:sz="4" w:space="0" w:color="auto"/>
            </w:tcBorders>
            <w:shd w:val="clear" w:color="000000" w:fill="FFE9CC"/>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79.1%</w:t>
            </w:r>
          </w:p>
        </w:tc>
        <w:tc>
          <w:tcPr>
            <w:tcW w:w="1113" w:type="dxa"/>
            <w:tcBorders>
              <w:top w:val="nil"/>
              <w:left w:val="nil"/>
              <w:bottom w:val="single" w:sz="4" w:space="0" w:color="auto"/>
              <w:right w:val="single" w:sz="8" w:space="0" w:color="auto"/>
            </w:tcBorders>
            <w:shd w:val="clear" w:color="000000" w:fill="FFE9CC"/>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73.0%</w:t>
            </w:r>
          </w:p>
        </w:tc>
      </w:tr>
      <w:tr w:rsidR="003C217F" w:rsidRPr="003C217F" w:rsidTr="00DD6A32">
        <w:trPr>
          <w:trHeight w:val="272"/>
        </w:trPr>
        <w:tc>
          <w:tcPr>
            <w:tcW w:w="1812" w:type="dxa"/>
            <w:tcBorders>
              <w:top w:val="nil"/>
              <w:left w:val="single" w:sz="8" w:space="0" w:color="auto"/>
              <w:bottom w:val="single" w:sz="8" w:space="0" w:color="000000"/>
              <w:right w:val="single" w:sz="8" w:space="0" w:color="auto"/>
            </w:tcBorders>
            <w:shd w:val="clear" w:color="000000" w:fill="FFE9CC"/>
            <w:vAlign w:val="center"/>
            <w:hideMark/>
          </w:tcPr>
          <w:p w:rsidR="003C217F" w:rsidRPr="003C217F" w:rsidRDefault="00DD6A32" w:rsidP="00DD6A32">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3 Years</w:t>
            </w:r>
          </w:p>
        </w:tc>
        <w:tc>
          <w:tcPr>
            <w:tcW w:w="1812" w:type="dxa"/>
            <w:tcBorders>
              <w:top w:val="nil"/>
              <w:left w:val="nil"/>
              <w:bottom w:val="single" w:sz="4" w:space="0" w:color="auto"/>
              <w:right w:val="single" w:sz="8" w:space="0" w:color="auto"/>
            </w:tcBorders>
            <w:shd w:val="clear" w:color="000000" w:fill="FFE9CC"/>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R1</w:t>
            </w:r>
          </w:p>
        </w:tc>
        <w:tc>
          <w:tcPr>
            <w:tcW w:w="1113" w:type="dxa"/>
            <w:tcBorders>
              <w:top w:val="nil"/>
              <w:left w:val="nil"/>
              <w:bottom w:val="single" w:sz="4" w:space="0" w:color="auto"/>
              <w:right w:val="single" w:sz="4" w:space="0" w:color="auto"/>
            </w:tcBorders>
            <w:shd w:val="clear" w:color="000000" w:fill="FFE9CC"/>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72.7%</w:t>
            </w:r>
          </w:p>
        </w:tc>
        <w:tc>
          <w:tcPr>
            <w:tcW w:w="1113" w:type="dxa"/>
            <w:tcBorders>
              <w:top w:val="nil"/>
              <w:left w:val="nil"/>
              <w:bottom w:val="single" w:sz="4" w:space="0" w:color="auto"/>
              <w:right w:val="single" w:sz="4" w:space="0" w:color="auto"/>
            </w:tcBorders>
            <w:shd w:val="clear" w:color="000000" w:fill="FFE9CC"/>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76.9%</w:t>
            </w:r>
          </w:p>
        </w:tc>
        <w:tc>
          <w:tcPr>
            <w:tcW w:w="1113" w:type="dxa"/>
            <w:tcBorders>
              <w:top w:val="nil"/>
              <w:left w:val="nil"/>
              <w:bottom w:val="single" w:sz="4" w:space="0" w:color="auto"/>
              <w:right w:val="single" w:sz="8" w:space="0" w:color="auto"/>
            </w:tcBorders>
            <w:shd w:val="clear" w:color="000000" w:fill="FFE9CC"/>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71.2%</w:t>
            </w:r>
          </w:p>
        </w:tc>
      </w:tr>
      <w:tr w:rsidR="003C217F" w:rsidRPr="003C217F" w:rsidTr="00DD6A32">
        <w:trPr>
          <w:trHeight w:val="272"/>
        </w:trPr>
        <w:tc>
          <w:tcPr>
            <w:tcW w:w="1812" w:type="dxa"/>
            <w:tcBorders>
              <w:top w:val="nil"/>
              <w:left w:val="single" w:sz="8" w:space="0" w:color="auto"/>
              <w:bottom w:val="single" w:sz="8" w:space="0" w:color="000000"/>
              <w:right w:val="single" w:sz="8" w:space="0" w:color="auto"/>
            </w:tcBorders>
            <w:shd w:val="clear" w:color="000000" w:fill="FFE9CC"/>
            <w:vAlign w:val="center"/>
            <w:hideMark/>
          </w:tcPr>
          <w:p w:rsidR="003C217F" w:rsidRPr="003C217F" w:rsidRDefault="00DD6A32" w:rsidP="00DD6A32">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3 Years</w:t>
            </w:r>
          </w:p>
        </w:tc>
        <w:tc>
          <w:tcPr>
            <w:tcW w:w="1812" w:type="dxa"/>
            <w:tcBorders>
              <w:top w:val="nil"/>
              <w:left w:val="nil"/>
              <w:bottom w:val="single" w:sz="4" w:space="0" w:color="auto"/>
              <w:right w:val="single" w:sz="8" w:space="0" w:color="auto"/>
            </w:tcBorders>
            <w:shd w:val="clear" w:color="000000" w:fill="FFE9CC"/>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R2</w:t>
            </w:r>
          </w:p>
        </w:tc>
        <w:tc>
          <w:tcPr>
            <w:tcW w:w="1113" w:type="dxa"/>
            <w:tcBorders>
              <w:top w:val="nil"/>
              <w:left w:val="nil"/>
              <w:bottom w:val="single" w:sz="4" w:space="0" w:color="auto"/>
              <w:right w:val="single" w:sz="4" w:space="0" w:color="auto"/>
            </w:tcBorders>
            <w:shd w:val="clear" w:color="000000" w:fill="FFE9CC"/>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71.3%</w:t>
            </w:r>
          </w:p>
        </w:tc>
        <w:tc>
          <w:tcPr>
            <w:tcW w:w="1113" w:type="dxa"/>
            <w:tcBorders>
              <w:top w:val="nil"/>
              <w:left w:val="nil"/>
              <w:bottom w:val="single" w:sz="4" w:space="0" w:color="auto"/>
              <w:right w:val="single" w:sz="4" w:space="0" w:color="auto"/>
            </w:tcBorders>
            <w:shd w:val="clear" w:color="000000" w:fill="FFE9CC"/>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76.0%</w:t>
            </w:r>
          </w:p>
        </w:tc>
        <w:tc>
          <w:tcPr>
            <w:tcW w:w="1113" w:type="dxa"/>
            <w:tcBorders>
              <w:top w:val="nil"/>
              <w:left w:val="nil"/>
              <w:bottom w:val="single" w:sz="4" w:space="0" w:color="auto"/>
              <w:right w:val="single" w:sz="8" w:space="0" w:color="auto"/>
            </w:tcBorders>
            <w:shd w:val="clear" w:color="000000" w:fill="FFE9CC"/>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69.9%</w:t>
            </w:r>
          </w:p>
        </w:tc>
      </w:tr>
      <w:tr w:rsidR="003C217F" w:rsidRPr="003C217F" w:rsidTr="00DD6A32">
        <w:trPr>
          <w:trHeight w:val="280"/>
        </w:trPr>
        <w:tc>
          <w:tcPr>
            <w:tcW w:w="1812" w:type="dxa"/>
            <w:tcBorders>
              <w:top w:val="nil"/>
              <w:left w:val="single" w:sz="8" w:space="0" w:color="auto"/>
              <w:bottom w:val="single" w:sz="8" w:space="0" w:color="000000"/>
              <w:right w:val="single" w:sz="8" w:space="0" w:color="auto"/>
            </w:tcBorders>
            <w:shd w:val="clear" w:color="000000" w:fill="FFE9CC"/>
            <w:vAlign w:val="center"/>
            <w:hideMark/>
          </w:tcPr>
          <w:p w:rsidR="003C217F" w:rsidRPr="003C217F" w:rsidRDefault="00DD6A32" w:rsidP="00DD6A32">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3 Years</w:t>
            </w:r>
          </w:p>
        </w:tc>
        <w:tc>
          <w:tcPr>
            <w:tcW w:w="1812" w:type="dxa"/>
            <w:tcBorders>
              <w:top w:val="nil"/>
              <w:left w:val="nil"/>
              <w:bottom w:val="single" w:sz="8" w:space="0" w:color="auto"/>
              <w:right w:val="single" w:sz="8" w:space="0" w:color="auto"/>
            </w:tcBorders>
            <w:shd w:val="clear" w:color="000000" w:fill="FFE9CC"/>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R3</w:t>
            </w:r>
          </w:p>
        </w:tc>
        <w:tc>
          <w:tcPr>
            <w:tcW w:w="1113" w:type="dxa"/>
            <w:tcBorders>
              <w:top w:val="nil"/>
              <w:left w:val="nil"/>
              <w:bottom w:val="single" w:sz="8" w:space="0" w:color="auto"/>
              <w:right w:val="single" w:sz="4" w:space="0" w:color="auto"/>
            </w:tcBorders>
            <w:shd w:val="clear" w:color="000000" w:fill="FFE9CC"/>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70.5%</w:t>
            </w:r>
          </w:p>
        </w:tc>
        <w:tc>
          <w:tcPr>
            <w:tcW w:w="1113" w:type="dxa"/>
            <w:tcBorders>
              <w:top w:val="nil"/>
              <w:left w:val="nil"/>
              <w:bottom w:val="single" w:sz="8" w:space="0" w:color="auto"/>
              <w:right w:val="single" w:sz="4" w:space="0" w:color="auto"/>
            </w:tcBorders>
            <w:shd w:val="clear" w:color="000000" w:fill="FFE9CC"/>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75.2%</w:t>
            </w:r>
          </w:p>
        </w:tc>
        <w:tc>
          <w:tcPr>
            <w:tcW w:w="1113" w:type="dxa"/>
            <w:tcBorders>
              <w:top w:val="nil"/>
              <w:left w:val="nil"/>
              <w:bottom w:val="single" w:sz="8" w:space="0" w:color="auto"/>
              <w:right w:val="single" w:sz="8" w:space="0" w:color="auto"/>
            </w:tcBorders>
            <w:shd w:val="clear" w:color="000000" w:fill="FFE9CC"/>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69.0%</w:t>
            </w:r>
          </w:p>
        </w:tc>
      </w:tr>
      <w:tr w:rsidR="003C217F" w:rsidRPr="003C217F" w:rsidTr="00DD6A32">
        <w:trPr>
          <w:trHeight w:val="272"/>
        </w:trPr>
        <w:tc>
          <w:tcPr>
            <w:tcW w:w="1812" w:type="dxa"/>
            <w:tcBorders>
              <w:top w:val="nil"/>
              <w:left w:val="single" w:sz="8" w:space="0" w:color="auto"/>
              <w:bottom w:val="single" w:sz="8" w:space="0" w:color="000000"/>
              <w:right w:val="single" w:sz="8" w:space="0" w:color="auto"/>
            </w:tcBorders>
            <w:shd w:val="clear" w:color="000000" w:fill="D1D3D4"/>
            <w:noWrap/>
            <w:vAlign w:val="center"/>
            <w:hideMark/>
          </w:tcPr>
          <w:p w:rsidR="003C217F" w:rsidRPr="003C217F" w:rsidRDefault="003C217F" w:rsidP="00DD6A32">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2 Years</w:t>
            </w:r>
          </w:p>
        </w:tc>
        <w:tc>
          <w:tcPr>
            <w:tcW w:w="1812" w:type="dxa"/>
            <w:tcBorders>
              <w:top w:val="nil"/>
              <w:left w:val="nil"/>
              <w:bottom w:val="single" w:sz="4" w:space="0" w:color="auto"/>
              <w:right w:val="single" w:sz="8" w:space="0" w:color="auto"/>
            </w:tcBorders>
            <w:shd w:val="clear" w:color="000000" w:fill="D1D3D4"/>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B</w:t>
            </w:r>
          </w:p>
        </w:tc>
        <w:tc>
          <w:tcPr>
            <w:tcW w:w="1113" w:type="dxa"/>
            <w:tcBorders>
              <w:top w:val="nil"/>
              <w:left w:val="nil"/>
              <w:bottom w:val="single" w:sz="4" w:space="0" w:color="auto"/>
              <w:right w:val="single" w:sz="4" w:space="0" w:color="auto"/>
            </w:tcBorders>
            <w:shd w:val="clear" w:color="000000" w:fill="D1D3D4"/>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74.8%</w:t>
            </w:r>
          </w:p>
        </w:tc>
        <w:tc>
          <w:tcPr>
            <w:tcW w:w="1113" w:type="dxa"/>
            <w:tcBorders>
              <w:top w:val="nil"/>
              <w:left w:val="nil"/>
              <w:bottom w:val="single" w:sz="4" w:space="0" w:color="auto"/>
              <w:right w:val="single" w:sz="4" w:space="0" w:color="auto"/>
            </w:tcBorders>
            <w:shd w:val="clear" w:color="000000" w:fill="D1D3D4"/>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79.8%</w:t>
            </w:r>
          </w:p>
        </w:tc>
        <w:tc>
          <w:tcPr>
            <w:tcW w:w="1113" w:type="dxa"/>
            <w:tcBorders>
              <w:top w:val="nil"/>
              <w:left w:val="nil"/>
              <w:bottom w:val="single" w:sz="4" w:space="0" w:color="auto"/>
              <w:right w:val="single" w:sz="8" w:space="0" w:color="auto"/>
            </w:tcBorders>
            <w:shd w:val="clear" w:color="000000" w:fill="D1D3D4"/>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73.5%</w:t>
            </w:r>
          </w:p>
        </w:tc>
      </w:tr>
      <w:tr w:rsidR="003C217F" w:rsidRPr="003C217F" w:rsidTr="00DD6A32">
        <w:trPr>
          <w:trHeight w:val="272"/>
        </w:trPr>
        <w:tc>
          <w:tcPr>
            <w:tcW w:w="1812" w:type="dxa"/>
            <w:tcBorders>
              <w:top w:val="nil"/>
              <w:left w:val="single" w:sz="8" w:space="0" w:color="auto"/>
              <w:bottom w:val="single" w:sz="8" w:space="0" w:color="000000"/>
              <w:right w:val="single" w:sz="8" w:space="0" w:color="auto"/>
            </w:tcBorders>
            <w:shd w:val="clear" w:color="000000" w:fill="D1D3D4"/>
            <w:vAlign w:val="center"/>
            <w:hideMark/>
          </w:tcPr>
          <w:p w:rsidR="003C217F" w:rsidRPr="003C217F" w:rsidRDefault="00DD6A32" w:rsidP="00DD6A32">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2 Years</w:t>
            </w:r>
          </w:p>
        </w:tc>
        <w:tc>
          <w:tcPr>
            <w:tcW w:w="1812" w:type="dxa"/>
            <w:tcBorders>
              <w:top w:val="nil"/>
              <w:left w:val="nil"/>
              <w:bottom w:val="single" w:sz="4" w:space="0" w:color="auto"/>
              <w:right w:val="single" w:sz="8" w:space="0" w:color="auto"/>
            </w:tcBorders>
            <w:shd w:val="clear" w:color="000000" w:fill="D1D3D4"/>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R1</w:t>
            </w:r>
          </w:p>
        </w:tc>
        <w:tc>
          <w:tcPr>
            <w:tcW w:w="1113" w:type="dxa"/>
            <w:tcBorders>
              <w:top w:val="nil"/>
              <w:left w:val="nil"/>
              <w:bottom w:val="single" w:sz="4" w:space="0" w:color="auto"/>
              <w:right w:val="single" w:sz="4" w:space="0" w:color="auto"/>
            </w:tcBorders>
            <w:shd w:val="clear" w:color="000000" w:fill="D1D3D4"/>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73.4%</w:t>
            </w:r>
          </w:p>
        </w:tc>
        <w:tc>
          <w:tcPr>
            <w:tcW w:w="1113" w:type="dxa"/>
            <w:tcBorders>
              <w:top w:val="nil"/>
              <w:left w:val="nil"/>
              <w:bottom w:val="single" w:sz="4" w:space="0" w:color="auto"/>
              <w:right w:val="single" w:sz="4" w:space="0" w:color="auto"/>
            </w:tcBorders>
            <w:shd w:val="clear" w:color="000000" w:fill="D1D3D4"/>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77.8%</w:t>
            </w:r>
          </w:p>
        </w:tc>
        <w:tc>
          <w:tcPr>
            <w:tcW w:w="1113" w:type="dxa"/>
            <w:tcBorders>
              <w:top w:val="nil"/>
              <w:left w:val="nil"/>
              <w:bottom w:val="single" w:sz="4" w:space="0" w:color="auto"/>
              <w:right w:val="single" w:sz="8" w:space="0" w:color="auto"/>
            </w:tcBorders>
            <w:shd w:val="clear" w:color="000000" w:fill="D1D3D4"/>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72.1%</w:t>
            </w:r>
          </w:p>
        </w:tc>
      </w:tr>
      <w:tr w:rsidR="003C217F" w:rsidRPr="003C217F" w:rsidTr="00DD6A32">
        <w:trPr>
          <w:trHeight w:val="280"/>
        </w:trPr>
        <w:tc>
          <w:tcPr>
            <w:tcW w:w="1812" w:type="dxa"/>
            <w:tcBorders>
              <w:top w:val="nil"/>
              <w:left w:val="single" w:sz="8" w:space="0" w:color="auto"/>
              <w:bottom w:val="single" w:sz="8" w:space="0" w:color="000000"/>
              <w:right w:val="single" w:sz="8" w:space="0" w:color="auto"/>
            </w:tcBorders>
            <w:shd w:val="clear" w:color="000000" w:fill="D1D3D4"/>
            <w:vAlign w:val="center"/>
            <w:hideMark/>
          </w:tcPr>
          <w:p w:rsidR="003C217F" w:rsidRPr="003C217F" w:rsidRDefault="00DD6A32" w:rsidP="00DD6A32">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2 Years</w:t>
            </w:r>
          </w:p>
        </w:tc>
        <w:tc>
          <w:tcPr>
            <w:tcW w:w="1812" w:type="dxa"/>
            <w:tcBorders>
              <w:top w:val="nil"/>
              <w:left w:val="nil"/>
              <w:bottom w:val="single" w:sz="8" w:space="0" w:color="auto"/>
              <w:right w:val="single" w:sz="8" w:space="0" w:color="auto"/>
            </w:tcBorders>
            <w:shd w:val="clear" w:color="000000" w:fill="D1D3D4"/>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R2</w:t>
            </w:r>
          </w:p>
        </w:tc>
        <w:tc>
          <w:tcPr>
            <w:tcW w:w="1113" w:type="dxa"/>
            <w:tcBorders>
              <w:top w:val="nil"/>
              <w:left w:val="nil"/>
              <w:bottom w:val="single" w:sz="8" w:space="0" w:color="auto"/>
              <w:right w:val="single" w:sz="4" w:space="0" w:color="auto"/>
            </w:tcBorders>
            <w:shd w:val="clear" w:color="000000" w:fill="D1D3D4"/>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71.7%</w:t>
            </w:r>
          </w:p>
        </w:tc>
        <w:tc>
          <w:tcPr>
            <w:tcW w:w="1113" w:type="dxa"/>
            <w:tcBorders>
              <w:top w:val="nil"/>
              <w:left w:val="nil"/>
              <w:bottom w:val="single" w:sz="8" w:space="0" w:color="auto"/>
              <w:right w:val="single" w:sz="4" w:space="0" w:color="auto"/>
            </w:tcBorders>
            <w:shd w:val="clear" w:color="000000" w:fill="D1D3D4"/>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75.4%</w:t>
            </w:r>
          </w:p>
        </w:tc>
        <w:tc>
          <w:tcPr>
            <w:tcW w:w="1113" w:type="dxa"/>
            <w:tcBorders>
              <w:top w:val="nil"/>
              <w:left w:val="nil"/>
              <w:bottom w:val="single" w:sz="8" w:space="0" w:color="auto"/>
              <w:right w:val="single" w:sz="8" w:space="0" w:color="auto"/>
            </w:tcBorders>
            <w:shd w:val="clear" w:color="000000" w:fill="D1D3D4"/>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70.3%</w:t>
            </w:r>
          </w:p>
        </w:tc>
      </w:tr>
      <w:tr w:rsidR="003C217F" w:rsidRPr="003C217F" w:rsidTr="00DD6A32">
        <w:trPr>
          <w:trHeight w:val="272"/>
        </w:trPr>
        <w:tc>
          <w:tcPr>
            <w:tcW w:w="1812" w:type="dxa"/>
            <w:tcBorders>
              <w:top w:val="nil"/>
              <w:left w:val="single" w:sz="8" w:space="0" w:color="auto"/>
              <w:bottom w:val="single" w:sz="8" w:space="0" w:color="000000"/>
              <w:right w:val="single" w:sz="8" w:space="0" w:color="auto"/>
            </w:tcBorders>
            <w:shd w:val="clear" w:color="000000" w:fill="F7EEF7"/>
            <w:noWrap/>
            <w:vAlign w:val="center"/>
            <w:hideMark/>
          </w:tcPr>
          <w:p w:rsidR="003C217F" w:rsidRPr="003C217F" w:rsidRDefault="003C217F" w:rsidP="00DD6A32">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1 Year</w:t>
            </w:r>
          </w:p>
        </w:tc>
        <w:tc>
          <w:tcPr>
            <w:tcW w:w="1812" w:type="dxa"/>
            <w:tcBorders>
              <w:top w:val="nil"/>
              <w:left w:val="nil"/>
              <w:bottom w:val="single" w:sz="4" w:space="0" w:color="auto"/>
              <w:right w:val="single" w:sz="8" w:space="0" w:color="auto"/>
            </w:tcBorders>
            <w:shd w:val="clear" w:color="000000" w:fill="F7EEF7"/>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B</w:t>
            </w:r>
          </w:p>
        </w:tc>
        <w:tc>
          <w:tcPr>
            <w:tcW w:w="1113" w:type="dxa"/>
            <w:tcBorders>
              <w:top w:val="nil"/>
              <w:left w:val="nil"/>
              <w:bottom w:val="single" w:sz="4" w:space="0" w:color="auto"/>
              <w:right w:val="single" w:sz="4" w:space="0" w:color="auto"/>
            </w:tcBorders>
            <w:shd w:val="clear" w:color="000000" w:fill="F7EEF7"/>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74.1%</w:t>
            </w:r>
          </w:p>
        </w:tc>
        <w:tc>
          <w:tcPr>
            <w:tcW w:w="1113" w:type="dxa"/>
            <w:tcBorders>
              <w:top w:val="nil"/>
              <w:left w:val="nil"/>
              <w:bottom w:val="single" w:sz="4" w:space="0" w:color="auto"/>
              <w:right w:val="single" w:sz="4" w:space="0" w:color="auto"/>
            </w:tcBorders>
            <w:shd w:val="clear" w:color="000000" w:fill="F7EEF7"/>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80.0%</w:t>
            </w:r>
          </w:p>
        </w:tc>
        <w:tc>
          <w:tcPr>
            <w:tcW w:w="1113" w:type="dxa"/>
            <w:tcBorders>
              <w:top w:val="nil"/>
              <w:left w:val="nil"/>
              <w:bottom w:val="single" w:sz="4" w:space="0" w:color="auto"/>
              <w:right w:val="single" w:sz="8" w:space="0" w:color="auto"/>
            </w:tcBorders>
            <w:shd w:val="clear" w:color="000000" w:fill="F7EEF7"/>
            <w:noWrap/>
            <w:vAlign w:val="bottom"/>
            <w:hideMark/>
          </w:tcPr>
          <w:p w:rsidR="003C217F" w:rsidRPr="003C217F" w:rsidRDefault="003C217F" w:rsidP="003C217F">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72.4%</w:t>
            </w:r>
          </w:p>
        </w:tc>
      </w:tr>
      <w:tr w:rsidR="00DD6A32" w:rsidRPr="003C217F" w:rsidTr="00DD6A32">
        <w:trPr>
          <w:trHeight w:val="280"/>
        </w:trPr>
        <w:tc>
          <w:tcPr>
            <w:tcW w:w="1812" w:type="dxa"/>
            <w:tcBorders>
              <w:top w:val="nil"/>
              <w:left w:val="single" w:sz="8" w:space="0" w:color="auto"/>
              <w:bottom w:val="single" w:sz="8" w:space="0" w:color="000000"/>
              <w:right w:val="single" w:sz="8" w:space="0" w:color="auto"/>
            </w:tcBorders>
            <w:shd w:val="clear" w:color="000000" w:fill="F7EEF7"/>
            <w:vAlign w:val="center"/>
            <w:hideMark/>
          </w:tcPr>
          <w:p w:rsidR="00DD6A32" w:rsidRPr="003C217F" w:rsidRDefault="00DD6A32" w:rsidP="00DD6A32">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1 Year</w:t>
            </w:r>
          </w:p>
        </w:tc>
        <w:tc>
          <w:tcPr>
            <w:tcW w:w="1812" w:type="dxa"/>
            <w:tcBorders>
              <w:top w:val="nil"/>
              <w:left w:val="nil"/>
              <w:bottom w:val="single" w:sz="8" w:space="0" w:color="auto"/>
              <w:right w:val="single" w:sz="8" w:space="0" w:color="auto"/>
            </w:tcBorders>
            <w:shd w:val="clear" w:color="000000" w:fill="F7EEF7"/>
            <w:noWrap/>
            <w:vAlign w:val="bottom"/>
            <w:hideMark/>
          </w:tcPr>
          <w:p w:rsidR="00DD6A32" w:rsidRPr="003C217F" w:rsidRDefault="00DD6A32" w:rsidP="00DD6A32">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R1</w:t>
            </w:r>
          </w:p>
        </w:tc>
        <w:tc>
          <w:tcPr>
            <w:tcW w:w="1113" w:type="dxa"/>
            <w:tcBorders>
              <w:top w:val="nil"/>
              <w:left w:val="nil"/>
              <w:bottom w:val="single" w:sz="8" w:space="0" w:color="auto"/>
              <w:right w:val="single" w:sz="4" w:space="0" w:color="auto"/>
            </w:tcBorders>
            <w:shd w:val="clear" w:color="000000" w:fill="F7EEF7"/>
            <w:noWrap/>
            <w:vAlign w:val="bottom"/>
            <w:hideMark/>
          </w:tcPr>
          <w:p w:rsidR="00DD6A32" w:rsidRPr="003C217F" w:rsidRDefault="00DD6A32" w:rsidP="00DD6A32">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72.7%</w:t>
            </w:r>
          </w:p>
        </w:tc>
        <w:tc>
          <w:tcPr>
            <w:tcW w:w="1113" w:type="dxa"/>
            <w:tcBorders>
              <w:top w:val="nil"/>
              <w:left w:val="nil"/>
              <w:bottom w:val="single" w:sz="8" w:space="0" w:color="auto"/>
              <w:right w:val="single" w:sz="4" w:space="0" w:color="auto"/>
            </w:tcBorders>
            <w:shd w:val="clear" w:color="000000" w:fill="F7EEF7"/>
            <w:noWrap/>
            <w:vAlign w:val="bottom"/>
            <w:hideMark/>
          </w:tcPr>
          <w:p w:rsidR="00DD6A32" w:rsidRPr="003C217F" w:rsidRDefault="00DD6A32" w:rsidP="00DD6A32">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77.3%</w:t>
            </w:r>
          </w:p>
        </w:tc>
        <w:tc>
          <w:tcPr>
            <w:tcW w:w="1113" w:type="dxa"/>
            <w:tcBorders>
              <w:top w:val="nil"/>
              <w:left w:val="nil"/>
              <w:bottom w:val="single" w:sz="8" w:space="0" w:color="auto"/>
              <w:right w:val="single" w:sz="8" w:space="0" w:color="auto"/>
            </w:tcBorders>
            <w:shd w:val="clear" w:color="000000" w:fill="F7EEF7"/>
            <w:noWrap/>
            <w:vAlign w:val="bottom"/>
            <w:hideMark/>
          </w:tcPr>
          <w:p w:rsidR="00DD6A32" w:rsidRPr="003C217F" w:rsidRDefault="00DD6A32" w:rsidP="00DD6A32">
            <w:pPr>
              <w:spacing w:after="0" w:line="240" w:lineRule="auto"/>
              <w:jc w:val="center"/>
              <w:rPr>
                <w:rFonts w:ascii="Arial" w:eastAsia="Times New Roman" w:hAnsi="Arial" w:cs="Arial"/>
                <w:color w:val="000000"/>
                <w:lang w:eastAsia="en-AU"/>
              </w:rPr>
            </w:pPr>
            <w:r w:rsidRPr="003C217F">
              <w:rPr>
                <w:rFonts w:ascii="Arial" w:eastAsia="Times New Roman" w:hAnsi="Arial" w:cs="Arial"/>
                <w:color w:val="000000"/>
                <w:lang w:eastAsia="en-AU"/>
              </w:rPr>
              <w:t>71.1%</w:t>
            </w:r>
          </w:p>
        </w:tc>
      </w:tr>
    </w:tbl>
    <w:p w:rsidR="003C217F" w:rsidRDefault="003C217F" w:rsidP="009248F8"/>
    <w:p w:rsidR="00733837" w:rsidRDefault="0080201D" w:rsidP="009248F8">
      <w:r>
        <w:t>Footnote 1</w:t>
      </w:r>
      <w:r w:rsidR="00733837">
        <w:t xml:space="preserve">: </w:t>
      </w:r>
      <w:r w:rsidR="00733837" w:rsidRPr="00733837">
        <w:t>Of those who spend time after school and on weekends with friends and/or in mainstream programs, % who are welcomed or actively included.</w:t>
      </w:r>
    </w:p>
    <w:p w:rsidR="001A5DA1" w:rsidRDefault="001A5DA1" w:rsidP="001A5DA1">
      <w:pPr>
        <w:pStyle w:val="Heading2"/>
      </w:pPr>
      <w:bookmarkStart w:id="40" w:name="_Toc121151417"/>
      <w:r>
        <w:t>Slide 35: Participants aged 0 to 14</w:t>
      </w:r>
      <w:bookmarkEnd w:id="40"/>
    </w:p>
    <w:p w:rsidR="001A5DA1" w:rsidRDefault="001A5DA1" w:rsidP="001A5DA1">
      <w:pPr>
        <w:pStyle w:val="Heading5"/>
      </w:pPr>
      <w:r>
        <w:t>Social, community and civic participation</w:t>
      </w:r>
    </w:p>
    <w:p w:rsidR="001A5DA1" w:rsidRDefault="001A5DA1" w:rsidP="001A5DA1">
      <w:pPr>
        <w:pStyle w:val="Heading5"/>
      </w:pPr>
      <w:r>
        <w:t>Involvement in community activities (</w:t>
      </w:r>
      <w:r w:rsidR="0080201D">
        <w:t>Footnote 1</w:t>
      </w:r>
      <w:r>
        <w:t>)</w:t>
      </w:r>
    </w:p>
    <w:p w:rsidR="001A5DA1" w:rsidRPr="00571266" w:rsidRDefault="001A5DA1" w:rsidP="00571266">
      <w:pPr>
        <w:pStyle w:val="Heading5"/>
        <w:rPr>
          <w:i/>
        </w:rPr>
      </w:pPr>
      <w:r w:rsidRPr="00571266">
        <w:rPr>
          <w:i/>
        </w:rPr>
        <w:t>% of parents/carers who would like their child to be more involved in community activities</w:t>
      </w:r>
    </w:p>
    <w:p w:rsidR="001A5DA1" w:rsidRDefault="001A5DA1" w:rsidP="001A5DA1">
      <w:r>
        <w:t>There is an increasing trend in the percentage of parents/ carers who would like their child to be more involved in community activities across all cohorts, with the extent of change increasing by years in the Scheme for the 0 to School age group (e.g. 6.6 percentage points for cohort 1 up to 22.2 percentage points for cohort 5).</w:t>
      </w:r>
      <w:r w:rsidR="00571266">
        <w:t xml:space="preserve"> </w:t>
      </w:r>
      <w:r>
        <w:t>(Footnote 2)</w:t>
      </w:r>
    </w:p>
    <w:p w:rsidR="00F42969" w:rsidRDefault="00F42969" w:rsidP="001A5DA1">
      <w:r>
        <w:t>Single group (P0toSS), by time in Scheme:</w:t>
      </w:r>
    </w:p>
    <w:tbl>
      <w:tblPr>
        <w:tblW w:w="6860" w:type="dxa"/>
        <w:tblLook w:val="04A0" w:firstRow="1" w:lastRow="0" w:firstColumn="1" w:lastColumn="0" w:noHBand="0" w:noVBand="1"/>
      </w:tblPr>
      <w:tblGrid>
        <w:gridCol w:w="980"/>
        <w:gridCol w:w="1121"/>
        <w:gridCol w:w="980"/>
        <w:gridCol w:w="980"/>
        <w:gridCol w:w="980"/>
        <w:gridCol w:w="980"/>
        <w:gridCol w:w="980"/>
      </w:tblGrid>
      <w:tr w:rsidR="00571266" w:rsidRPr="00571266" w:rsidTr="00571266">
        <w:trPr>
          <w:trHeight w:val="278"/>
        </w:trPr>
        <w:tc>
          <w:tcPr>
            <w:tcW w:w="9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rPr>
                <w:rFonts w:ascii="Arial" w:eastAsia="Times New Roman" w:hAnsi="Arial" w:cs="Arial"/>
                <w:b/>
                <w:bCs/>
                <w:color w:val="000000"/>
                <w:lang w:eastAsia="en-AU"/>
              </w:rPr>
            </w:pPr>
            <w:r w:rsidRPr="00571266">
              <w:rPr>
                <w:rFonts w:ascii="Arial" w:eastAsia="Times New Roman" w:hAnsi="Arial" w:cs="Arial"/>
                <w:b/>
                <w:bCs/>
                <w:color w:val="000000"/>
                <w:lang w:eastAsia="en-AU"/>
              </w:rPr>
              <w:t>Cohort</w:t>
            </w:r>
          </w:p>
        </w:tc>
        <w:tc>
          <w:tcPr>
            <w:tcW w:w="980" w:type="dxa"/>
            <w:tcBorders>
              <w:top w:val="single" w:sz="8" w:space="0" w:color="auto"/>
              <w:left w:val="nil"/>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rPr>
                <w:rFonts w:ascii="Arial" w:eastAsia="Times New Roman" w:hAnsi="Arial" w:cs="Arial"/>
                <w:b/>
                <w:bCs/>
                <w:color w:val="000000"/>
                <w:lang w:eastAsia="en-AU"/>
              </w:rPr>
            </w:pPr>
            <w:r w:rsidRPr="00571266">
              <w:rPr>
                <w:rFonts w:ascii="Arial" w:eastAsia="Times New Roman" w:hAnsi="Arial" w:cs="Arial"/>
                <w:b/>
                <w:bCs/>
                <w:color w:val="000000"/>
                <w:lang w:eastAsia="en-AU"/>
              </w:rPr>
              <w:t>B</w:t>
            </w:r>
            <w:r w:rsidR="00E86C1D">
              <w:rPr>
                <w:rFonts w:ascii="Arial" w:eastAsia="Times New Roman" w:hAnsi="Arial" w:cs="Arial"/>
                <w:b/>
                <w:bCs/>
                <w:color w:val="000000"/>
                <w:lang w:eastAsia="en-AU"/>
              </w:rPr>
              <w:t>aseline</w:t>
            </w:r>
          </w:p>
        </w:tc>
        <w:tc>
          <w:tcPr>
            <w:tcW w:w="980" w:type="dxa"/>
            <w:tcBorders>
              <w:top w:val="single" w:sz="8" w:space="0" w:color="auto"/>
              <w:left w:val="nil"/>
              <w:bottom w:val="single" w:sz="4" w:space="0" w:color="auto"/>
              <w:right w:val="single" w:sz="4" w:space="0" w:color="auto"/>
            </w:tcBorders>
            <w:shd w:val="clear" w:color="auto" w:fill="auto"/>
            <w:noWrap/>
            <w:vAlign w:val="bottom"/>
            <w:hideMark/>
          </w:tcPr>
          <w:p w:rsidR="00571266" w:rsidRPr="00571266" w:rsidRDefault="00E86C1D" w:rsidP="00571266">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1</w:t>
            </w:r>
          </w:p>
        </w:tc>
        <w:tc>
          <w:tcPr>
            <w:tcW w:w="980" w:type="dxa"/>
            <w:tcBorders>
              <w:top w:val="single" w:sz="8" w:space="0" w:color="auto"/>
              <w:left w:val="nil"/>
              <w:bottom w:val="single" w:sz="4" w:space="0" w:color="auto"/>
              <w:right w:val="single" w:sz="4" w:space="0" w:color="auto"/>
            </w:tcBorders>
            <w:shd w:val="clear" w:color="auto" w:fill="auto"/>
            <w:noWrap/>
            <w:vAlign w:val="bottom"/>
            <w:hideMark/>
          </w:tcPr>
          <w:p w:rsidR="00571266" w:rsidRPr="00571266" w:rsidRDefault="00E86C1D" w:rsidP="00571266">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2</w:t>
            </w:r>
          </w:p>
        </w:tc>
        <w:tc>
          <w:tcPr>
            <w:tcW w:w="980" w:type="dxa"/>
            <w:tcBorders>
              <w:top w:val="single" w:sz="8" w:space="0" w:color="auto"/>
              <w:left w:val="nil"/>
              <w:bottom w:val="single" w:sz="4" w:space="0" w:color="auto"/>
              <w:right w:val="single" w:sz="4" w:space="0" w:color="auto"/>
            </w:tcBorders>
            <w:shd w:val="clear" w:color="auto" w:fill="auto"/>
            <w:noWrap/>
            <w:vAlign w:val="bottom"/>
            <w:hideMark/>
          </w:tcPr>
          <w:p w:rsidR="00571266" w:rsidRPr="00571266" w:rsidRDefault="00E86C1D" w:rsidP="00571266">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3</w:t>
            </w:r>
          </w:p>
        </w:tc>
        <w:tc>
          <w:tcPr>
            <w:tcW w:w="980" w:type="dxa"/>
            <w:tcBorders>
              <w:top w:val="single" w:sz="8" w:space="0" w:color="auto"/>
              <w:left w:val="nil"/>
              <w:bottom w:val="single" w:sz="4" w:space="0" w:color="auto"/>
              <w:right w:val="single" w:sz="4" w:space="0" w:color="auto"/>
            </w:tcBorders>
            <w:shd w:val="clear" w:color="auto" w:fill="auto"/>
            <w:noWrap/>
            <w:vAlign w:val="bottom"/>
            <w:hideMark/>
          </w:tcPr>
          <w:p w:rsidR="00571266" w:rsidRPr="00571266" w:rsidRDefault="00E86C1D" w:rsidP="00571266">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4</w:t>
            </w:r>
          </w:p>
        </w:tc>
        <w:tc>
          <w:tcPr>
            <w:tcW w:w="980" w:type="dxa"/>
            <w:tcBorders>
              <w:top w:val="single" w:sz="8" w:space="0" w:color="auto"/>
              <w:left w:val="nil"/>
              <w:bottom w:val="single" w:sz="4" w:space="0" w:color="auto"/>
              <w:right w:val="single" w:sz="8" w:space="0" w:color="auto"/>
            </w:tcBorders>
            <w:shd w:val="clear" w:color="auto" w:fill="auto"/>
            <w:noWrap/>
            <w:vAlign w:val="bottom"/>
            <w:hideMark/>
          </w:tcPr>
          <w:p w:rsidR="00571266" w:rsidRPr="00571266" w:rsidRDefault="00E86C1D" w:rsidP="00571266">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5</w:t>
            </w:r>
          </w:p>
        </w:tc>
      </w:tr>
      <w:tr w:rsidR="00571266" w:rsidRPr="00571266" w:rsidTr="00571266">
        <w:trPr>
          <w:trHeight w:val="278"/>
        </w:trPr>
        <w:tc>
          <w:tcPr>
            <w:tcW w:w="980" w:type="dxa"/>
            <w:tcBorders>
              <w:top w:val="nil"/>
              <w:left w:val="single" w:sz="8" w:space="0" w:color="auto"/>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rPr>
                <w:rFonts w:ascii="Arial" w:eastAsia="Times New Roman" w:hAnsi="Arial" w:cs="Arial"/>
                <w:b/>
                <w:bCs/>
                <w:color w:val="000000"/>
                <w:lang w:eastAsia="en-AU"/>
              </w:rPr>
            </w:pPr>
            <w:r w:rsidRPr="00571266">
              <w:rPr>
                <w:rFonts w:ascii="Arial" w:eastAsia="Times New Roman" w:hAnsi="Arial" w:cs="Arial"/>
                <w:b/>
                <w:bCs/>
                <w:color w:val="000000"/>
                <w:lang w:eastAsia="en-AU"/>
              </w:rPr>
              <w:t>5 years</w:t>
            </w:r>
          </w:p>
        </w:tc>
        <w:tc>
          <w:tcPr>
            <w:tcW w:w="980" w:type="dxa"/>
            <w:tcBorders>
              <w:top w:val="nil"/>
              <w:left w:val="nil"/>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jc w:val="right"/>
              <w:rPr>
                <w:rFonts w:ascii="Arial" w:eastAsia="Times New Roman" w:hAnsi="Arial" w:cs="Arial"/>
                <w:color w:val="000000"/>
                <w:lang w:eastAsia="en-AU"/>
              </w:rPr>
            </w:pPr>
            <w:r w:rsidRPr="00571266">
              <w:rPr>
                <w:rFonts w:ascii="Arial" w:eastAsia="Times New Roman" w:hAnsi="Arial" w:cs="Arial"/>
                <w:color w:val="000000"/>
                <w:lang w:eastAsia="en-AU"/>
              </w:rPr>
              <w:t>59.3%</w:t>
            </w:r>
          </w:p>
        </w:tc>
        <w:tc>
          <w:tcPr>
            <w:tcW w:w="980" w:type="dxa"/>
            <w:tcBorders>
              <w:top w:val="nil"/>
              <w:left w:val="nil"/>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rPr>
                <w:rFonts w:ascii="Arial" w:eastAsia="Times New Roman" w:hAnsi="Arial" w:cs="Arial"/>
                <w:color w:val="000000"/>
                <w:lang w:eastAsia="en-AU"/>
              </w:rPr>
            </w:pPr>
            <w:r w:rsidRPr="00571266">
              <w:rPr>
                <w:rFonts w:ascii="Arial" w:eastAsia="Times New Roman" w:hAnsi="Arial" w:cs="Arial"/>
                <w:color w:val="000000"/>
                <w:lang w:eastAsia="en-AU"/>
              </w:rPr>
              <w:t> </w:t>
            </w:r>
          </w:p>
        </w:tc>
        <w:tc>
          <w:tcPr>
            <w:tcW w:w="980" w:type="dxa"/>
            <w:tcBorders>
              <w:top w:val="nil"/>
              <w:left w:val="nil"/>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rPr>
                <w:rFonts w:ascii="Arial" w:eastAsia="Times New Roman" w:hAnsi="Arial" w:cs="Arial"/>
                <w:color w:val="000000"/>
                <w:lang w:eastAsia="en-AU"/>
              </w:rPr>
            </w:pPr>
            <w:r w:rsidRPr="00571266">
              <w:rPr>
                <w:rFonts w:ascii="Arial" w:eastAsia="Times New Roman" w:hAnsi="Arial" w:cs="Arial"/>
                <w:color w:val="000000"/>
                <w:lang w:eastAsia="en-AU"/>
              </w:rPr>
              <w:t> </w:t>
            </w:r>
          </w:p>
        </w:tc>
        <w:tc>
          <w:tcPr>
            <w:tcW w:w="980" w:type="dxa"/>
            <w:tcBorders>
              <w:top w:val="nil"/>
              <w:left w:val="nil"/>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rPr>
                <w:rFonts w:ascii="Arial" w:eastAsia="Times New Roman" w:hAnsi="Arial" w:cs="Arial"/>
                <w:color w:val="000000"/>
                <w:lang w:eastAsia="en-AU"/>
              </w:rPr>
            </w:pPr>
            <w:r w:rsidRPr="00571266">
              <w:rPr>
                <w:rFonts w:ascii="Arial" w:eastAsia="Times New Roman" w:hAnsi="Arial" w:cs="Arial"/>
                <w:color w:val="000000"/>
                <w:lang w:eastAsia="en-AU"/>
              </w:rPr>
              <w:t> </w:t>
            </w:r>
          </w:p>
        </w:tc>
        <w:tc>
          <w:tcPr>
            <w:tcW w:w="980" w:type="dxa"/>
            <w:tcBorders>
              <w:top w:val="nil"/>
              <w:left w:val="nil"/>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rPr>
                <w:rFonts w:ascii="Arial" w:eastAsia="Times New Roman" w:hAnsi="Arial" w:cs="Arial"/>
                <w:color w:val="000000"/>
                <w:lang w:eastAsia="en-AU"/>
              </w:rPr>
            </w:pPr>
            <w:r w:rsidRPr="00571266">
              <w:rPr>
                <w:rFonts w:ascii="Arial" w:eastAsia="Times New Roman" w:hAnsi="Arial" w:cs="Arial"/>
                <w:color w:val="000000"/>
                <w:lang w:eastAsia="en-AU"/>
              </w:rPr>
              <w:t> </w:t>
            </w:r>
          </w:p>
        </w:tc>
        <w:tc>
          <w:tcPr>
            <w:tcW w:w="980" w:type="dxa"/>
            <w:tcBorders>
              <w:top w:val="nil"/>
              <w:left w:val="nil"/>
              <w:bottom w:val="single" w:sz="4" w:space="0" w:color="auto"/>
              <w:right w:val="single" w:sz="8" w:space="0" w:color="auto"/>
            </w:tcBorders>
            <w:shd w:val="clear" w:color="auto" w:fill="auto"/>
            <w:noWrap/>
            <w:vAlign w:val="bottom"/>
            <w:hideMark/>
          </w:tcPr>
          <w:p w:rsidR="00571266" w:rsidRPr="00571266" w:rsidRDefault="00571266" w:rsidP="00571266">
            <w:pPr>
              <w:spacing w:after="0" w:line="240" w:lineRule="auto"/>
              <w:jc w:val="right"/>
              <w:rPr>
                <w:rFonts w:ascii="Arial" w:eastAsia="Times New Roman" w:hAnsi="Arial" w:cs="Arial"/>
                <w:color w:val="000000"/>
                <w:lang w:eastAsia="en-AU"/>
              </w:rPr>
            </w:pPr>
            <w:r w:rsidRPr="00571266">
              <w:rPr>
                <w:rFonts w:ascii="Arial" w:eastAsia="Times New Roman" w:hAnsi="Arial" w:cs="Arial"/>
                <w:color w:val="000000"/>
                <w:lang w:eastAsia="en-AU"/>
              </w:rPr>
              <w:t>81.5%</w:t>
            </w:r>
          </w:p>
        </w:tc>
      </w:tr>
      <w:tr w:rsidR="00571266" w:rsidRPr="00571266" w:rsidTr="00571266">
        <w:trPr>
          <w:trHeight w:val="278"/>
        </w:trPr>
        <w:tc>
          <w:tcPr>
            <w:tcW w:w="980" w:type="dxa"/>
            <w:tcBorders>
              <w:top w:val="nil"/>
              <w:left w:val="single" w:sz="8" w:space="0" w:color="auto"/>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rPr>
                <w:rFonts w:ascii="Arial" w:eastAsia="Times New Roman" w:hAnsi="Arial" w:cs="Arial"/>
                <w:b/>
                <w:bCs/>
                <w:color w:val="000000"/>
                <w:lang w:eastAsia="en-AU"/>
              </w:rPr>
            </w:pPr>
            <w:r w:rsidRPr="00571266">
              <w:rPr>
                <w:rFonts w:ascii="Arial" w:eastAsia="Times New Roman" w:hAnsi="Arial" w:cs="Arial"/>
                <w:b/>
                <w:bCs/>
                <w:color w:val="000000"/>
                <w:lang w:eastAsia="en-AU"/>
              </w:rPr>
              <w:t>4 years</w:t>
            </w:r>
          </w:p>
        </w:tc>
        <w:tc>
          <w:tcPr>
            <w:tcW w:w="980" w:type="dxa"/>
            <w:tcBorders>
              <w:top w:val="nil"/>
              <w:left w:val="nil"/>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jc w:val="right"/>
              <w:rPr>
                <w:rFonts w:ascii="Arial" w:eastAsia="Times New Roman" w:hAnsi="Arial" w:cs="Arial"/>
                <w:color w:val="000000"/>
                <w:lang w:eastAsia="en-AU"/>
              </w:rPr>
            </w:pPr>
            <w:r w:rsidRPr="00571266">
              <w:rPr>
                <w:rFonts w:ascii="Arial" w:eastAsia="Times New Roman" w:hAnsi="Arial" w:cs="Arial"/>
                <w:color w:val="000000"/>
                <w:lang w:eastAsia="en-AU"/>
              </w:rPr>
              <w:t>67.4%</w:t>
            </w:r>
          </w:p>
        </w:tc>
        <w:tc>
          <w:tcPr>
            <w:tcW w:w="980" w:type="dxa"/>
            <w:tcBorders>
              <w:top w:val="nil"/>
              <w:left w:val="nil"/>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jc w:val="right"/>
              <w:rPr>
                <w:rFonts w:ascii="Arial" w:eastAsia="Times New Roman" w:hAnsi="Arial" w:cs="Arial"/>
                <w:color w:val="000000"/>
                <w:lang w:eastAsia="en-AU"/>
              </w:rPr>
            </w:pPr>
            <w:r w:rsidRPr="00571266">
              <w:rPr>
                <w:rFonts w:ascii="Arial" w:eastAsia="Times New Roman" w:hAnsi="Arial" w:cs="Arial"/>
                <w:color w:val="000000"/>
                <w:lang w:eastAsia="en-AU"/>
              </w:rPr>
              <w:t>72.8%</w:t>
            </w:r>
          </w:p>
        </w:tc>
        <w:tc>
          <w:tcPr>
            <w:tcW w:w="980" w:type="dxa"/>
            <w:tcBorders>
              <w:top w:val="nil"/>
              <w:left w:val="nil"/>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jc w:val="right"/>
              <w:rPr>
                <w:rFonts w:ascii="Arial" w:eastAsia="Times New Roman" w:hAnsi="Arial" w:cs="Arial"/>
                <w:color w:val="000000"/>
                <w:lang w:eastAsia="en-AU"/>
              </w:rPr>
            </w:pPr>
            <w:r w:rsidRPr="00571266">
              <w:rPr>
                <w:rFonts w:ascii="Arial" w:eastAsia="Times New Roman" w:hAnsi="Arial" w:cs="Arial"/>
                <w:color w:val="000000"/>
                <w:lang w:eastAsia="en-AU"/>
              </w:rPr>
              <w:t>78.2%</w:t>
            </w:r>
          </w:p>
        </w:tc>
        <w:tc>
          <w:tcPr>
            <w:tcW w:w="980" w:type="dxa"/>
            <w:tcBorders>
              <w:top w:val="nil"/>
              <w:left w:val="nil"/>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jc w:val="right"/>
              <w:rPr>
                <w:rFonts w:ascii="Arial" w:eastAsia="Times New Roman" w:hAnsi="Arial" w:cs="Arial"/>
                <w:color w:val="000000"/>
                <w:lang w:eastAsia="en-AU"/>
              </w:rPr>
            </w:pPr>
            <w:r w:rsidRPr="00571266">
              <w:rPr>
                <w:rFonts w:ascii="Arial" w:eastAsia="Times New Roman" w:hAnsi="Arial" w:cs="Arial"/>
                <w:color w:val="000000"/>
                <w:lang w:eastAsia="en-AU"/>
              </w:rPr>
              <w:t>82.3%</w:t>
            </w:r>
          </w:p>
        </w:tc>
        <w:tc>
          <w:tcPr>
            <w:tcW w:w="980" w:type="dxa"/>
            <w:tcBorders>
              <w:top w:val="nil"/>
              <w:left w:val="nil"/>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jc w:val="right"/>
              <w:rPr>
                <w:rFonts w:ascii="Arial" w:eastAsia="Times New Roman" w:hAnsi="Arial" w:cs="Arial"/>
                <w:color w:val="000000"/>
                <w:lang w:eastAsia="en-AU"/>
              </w:rPr>
            </w:pPr>
            <w:r w:rsidRPr="00571266">
              <w:rPr>
                <w:rFonts w:ascii="Arial" w:eastAsia="Times New Roman" w:hAnsi="Arial" w:cs="Arial"/>
                <w:color w:val="000000"/>
                <w:lang w:eastAsia="en-AU"/>
              </w:rPr>
              <w:t>85.0%</w:t>
            </w:r>
          </w:p>
        </w:tc>
        <w:tc>
          <w:tcPr>
            <w:tcW w:w="980" w:type="dxa"/>
            <w:tcBorders>
              <w:top w:val="nil"/>
              <w:left w:val="nil"/>
              <w:bottom w:val="single" w:sz="4" w:space="0" w:color="auto"/>
              <w:right w:val="single" w:sz="8" w:space="0" w:color="auto"/>
            </w:tcBorders>
            <w:shd w:val="clear" w:color="auto" w:fill="auto"/>
            <w:noWrap/>
            <w:vAlign w:val="bottom"/>
            <w:hideMark/>
          </w:tcPr>
          <w:p w:rsidR="00571266" w:rsidRPr="00571266" w:rsidRDefault="00571266" w:rsidP="00571266">
            <w:pPr>
              <w:spacing w:after="0" w:line="240" w:lineRule="auto"/>
              <w:rPr>
                <w:rFonts w:ascii="Arial" w:eastAsia="Times New Roman" w:hAnsi="Arial" w:cs="Arial"/>
                <w:color w:val="000000"/>
                <w:lang w:eastAsia="en-AU"/>
              </w:rPr>
            </w:pPr>
            <w:r w:rsidRPr="00571266">
              <w:rPr>
                <w:rFonts w:ascii="Arial" w:eastAsia="Times New Roman" w:hAnsi="Arial" w:cs="Arial"/>
                <w:color w:val="000000"/>
                <w:lang w:eastAsia="en-AU"/>
              </w:rPr>
              <w:t> </w:t>
            </w:r>
          </w:p>
        </w:tc>
      </w:tr>
      <w:tr w:rsidR="00571266" w:rsidRPr="00571266" w:rsidTr="00571266">
        <w:trPr>
          <w:trHeight w:val="278"/>
        </w:trPr>
        <w:tc>
          <w:tcPr>
            <w:tcW w:w="980" w:type="dxa"/>
            <w:tcBorders>
              <w:top w:val="nil"/>
              <w:left w:val="single" w:sz="8" w:space="0" w:color="auto"/>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rPr>
                <w:rFonts w:ascii="Arial" w:eastAsia="Times New Roman" w:hAnsi="Arial" w:cs="Arial"/>
                <w:b/>
                <w:bCs/>
                <w:color w:val="000000"/>
                <w:lang w:eastAsia="en-AU"/>
              </w:rPr>
            </w:pPr>
            <w:r w:rsidRPr="00571266">
              <w:rPr>
                <w:rFonts w:ascii="Arial" w:eastAsia="Times New Roman" w:hAnsi="Arial" w:cs="Arial"/>
                <w:b/>
                <w:bCs/>
                <w:color w:val="000000"/>
                <w:lang w:eastAsia="en-AU"/>
              </w:rPr>
              <w:t>3 years</w:t>
            </w:r>
          </w:p>
        </w:tc>
        <w:tc>
          <w:tcPr>
            <w:tcW w:w="980" w:type="dxa"/>
            <w:tcBorders>
              <w:top w:val="nil"/>
              <w:left w:val="nil"/>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jc w:val="right"/>
              <w:rPr>
                <w:rFonts w:ascii="Arial" w:eastAsia="Times New Roman" w:hAnsi="Arial" w:cs="Arial"/>
                <w:color w:val="000000"/>
                <w:lang w:eastAsia="en-AU"/>
              </w:rPr>
            </w:pPr>
            <w:r w:rsidRPr="00571266">
              <w:rPr>
                <w:rFonts w:ascii="Arial" w:eastAsia="Times New Roman" w:hAnsi="Arial" w:cs="Arial"/>
                <w:color w:val="000000"/>
                <w:lang w:eastAsia="en-AU"/>
              </w:rPr>
              <w:t>66.5%</w:t>
            </w:r>
          </w:p>
        </w:tc>
        <w:tc>
          <w:tcPr>
            <w:tcW w:w="980" w:type="dxa"/>
            <w:tcBorders>
              <w:top w:val="nil"/>
              <w:left w:val="nil"/>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jc w:val="right"/>
              <w:rPr>
                <w:rFonts w:ascii="Arial" w:eastAsia="Times New Roman" w:hAnsi="Arial" w:cs="Arial"/>
                <w:color w:val="000000"/>
                <w:lang w:eastAsia="en-AU"/>
              </w:rPr>
            </w:pPr>
            <w:r w:rsidRPr="00571266">
              <w:rPr>
                <w:rFonts w:ascii="Arial" w:eastAsia="Times New Roman" w:hAnsi="Arial" w:cs="Arial"/>
                <w:color w:val="000000"/>
                <w:lang w:eastAsia="en-AU"/>
              </w:rPr>
              <w:t>73.7%</w:t>
            </w:r>
          </w:p>
        </w:tc>
        <w:tc>
          <w:tcPr>
            <w:tcW w:w="980" w:type="dxa"/>
            <w:tcBorders>
              <w:top w:val="nil"/>
              <w:left w:val="nil"/>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jc w:val="right"/>
              <w:rPr>
                <w:rFonts w:ascii="Arial" w:eastAsia="Times New Roman" w:hAnsi="Arial" w:cs="Arial"/>
                <w:color w:val="000000"/>
                <w:lang w:eastAsia="en-AU"/>
              </w:rPr>
            </w:pPr>
            <w:r w:rsidRPr="00571266">
              <w:rPr>
                <w:rFonts w:ascii="Arial" w:eastAsia="Times New Roman" w:hAnsi="Arial" w:cs="Arial"/>
                <w:color w:val="000000"/>
                <w:lang w:eastAsia="en-AU"/>
              </w:rPr>
              <w:t>77.1%</w:t>
            </w:r>
          </w:p>
        </w:tc>
        <w:tc>
          <w:tcPr>
            <w:tcW w:w="980" w:type="dxa"/>
            <w:tcBorders>
              <w:top w:val="nil"/>
              <w:left w:val="nil"/>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jc w:val="right"/>
              <w:rPr>
                <w:rFonts w:ascii="Arial" w:eastAsia="Times New Roman" w:hAnsi="Arial" w:cs="Arial"/>
                <w:color w:val="000000"/>
                <w:lang w:eastAsia="en-AU"/>
              </w:rPr>
            </w:pPr>
            <w:r w:rsidRPr="00571266">
              <w:rPr>
                <w:rFonts w:ascii="Arial" w:eastAsia="Times New Roman" w:hAnsi="Arial" w:cs="Arial"/>
                <w:color w:val="000000"/>
                <w:lang w:eastAsia="en-AU"/>
              </w:rPr>
              <w:t>80.7%</w:t>
            </w:r>
          </w:p>
        </w:tc>
        <w:tc>
          <w:tcPr>
            <w:tcW w:w="980" w:type="dxa"/>
            <w:tcBorders>
              <w:top w:val="nil"/>
              <w:left w:val="nil"/>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rPr>
                <w:rFonts w:ascii="Arial" w:eastAsia="Times New Roman" w:hAnsi="Arial" w:cs="Arial"/>
                <w:color w:val="000000"/>
                <w:lang w:eastAsia="en-AU"/>
              </w:rPr>
            </w:pPr>
            <w:r w:rsidRPr="00571266">
              <w:rPr>
                <w:rFonts w:ascii="Arial" w:eastAsia="Times New Roman" w:hAnsi="Arial" w:cs="Arial"/>
                <w:color w:val="000000"/>
                <w:lang w:eastAsia="en-AU"/>
              </w:rPr>
              <w:t> </w:t>
            </w:r>
          </w:p>
        </w:tc>
        <w:tc>
          <w:tcPr>
            <w:tcW w:w="980" w:type="dxa"/>
            <w:tcBorders>
              <w:top w:val="nil"/>
              <w:left w:val="nil"/>
              <w:bottom w:val="single" w:sz="4" w:space="0" w:color="auto"/>
              <w:right w:val="single" w:sz="8" w:space="0" w:color="auto"/>
            </w:tcBorders>
            <w:shd w:val="clear" w:color="auto" w:fill="auto"/>
            <w:noWrap/>
            <w:vAlign w:val="bottom"/>
            <w:hideMark/>
          </w:tcPr>
          <w:p w:rsidR="00571266" w:rsidRPr="00571266" w:rsidRDefault="00571266" w:rsidP="00571266">
            <w:pPr>
              <w:spacing w:after="0" w:line="240" w:lineRule="auto"/>
              <w:rPr>
                <w:rFonts w:ascii="Arial" w:eastAsia="Times New Roman" w:hAnsi="Arial" w:cs="Arial"/>
                <w:color w:val="000000"/>
                <w:lang w:eastAsia="en-AU"/>
              </w:rPr>
            </w:pPr>
            <w:r w:rsidRPr="00571266">
              <w:rPr>
                <w:rFonts w:ascii="Arial" w:eastAsia="Times New Roman" w:hAnsi="Arial" w:cs="Arial"/>
                <w:color w:val="000000"/>
                <w:lang w:eastAsia="en-AU"/>
              </w:rPr>
              <w:t> </w:t>
            </w:r>
          </w:p>
        </w:tc>
      </w:tr>
      <w:tr w:rsidR="00571266" w:rsidRPr="00571266" w:rsidTr="00571266">
        <w:trPr>
          <w:trHeight w:val="278"/>
        </w:trPr>
        <w:tc>
          <w:tcPr>
            <w:tcW w:w="980" w:type="dxa"/>
            <w:tcBorders>
              <w:top w:val="nil"/>
              <w:left w:val="single" w:sz="8" w:space="0" w:color="auto"/>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rPr>
                <w:rFonts w:ascii="Arial" w:eastAsia="Times New Roman" w:hAnsi="Arial" w:cs="Arial"/>
                <w:b/>
                <w:bCs/>
                <w:color w:val="000000"/>
                <w:lang w:eastAsia="en-AU"/>
              </w:rPr>
            </w:pPr>
            <w:r w:rsidRPr="00571266">
              <w:rPr>
                <w:rFonts w:ascii="Arial" w:eastAsia="Times New Roman" w:hAnsi="Arial" w:cs="Arial"/>
                <w:b/>
                <w:bCs/>
                <w:color w:val="000000"/>
                <w:lang w:eastAsia="en-AU"/>
              </w:rPr>
              <w:t>2 years</w:t>
            </w:r>
          </w:p>
        </w:tc>
        <w:tc>
          <w:tcPr>
            <w:tcW w:w="980" w:type="dxa"/>
            <w:tcBorders>
              <w:top w:val="nil"/>
              <w:left w:val="nil"/>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jc w:val="right"/>
              <w:rPr>
                <w:rFonts w:ascii="Arial" w:eastAsia="Times New Roman" w:hAnsi="Arial" w:cs="Arial"/>
                <w:color w:val="000000"/>
                <w:lang w:eastAsia="en-AU"/>
              </w:rPr>
            </w:pPr>
            <w:r w:rsidRPr="00571266">
              <w:rPr>
                <w:rFonts w:ascii="Arial" w:eastAsia="Times New Roman" w:hAnsi="Arial" w:cs="Arial"/>
                <w:color w:val="000000"/>
                <w:lang w:eastAsia="en-AU"/>
              </w:rPr>
              <w:t>67.2%</w:t>
            </w:r>
          </w:p>
        </w:tc>
        <w:tc>
          <w:tcPr>
            <w:tcW w:w="980" w:type="dxa"/>
            <w:tcBorders>
              <w:top w:val="nil"/>
              <w:left w:val="nil"/>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jc w:val="right"/>
              <w:rPr>
                <w:rFonts w:ascii="Arial" w:eastAsia="Times New Roman" w:hAnsi="Arial" w:cs="Arial"/>
                <w:color w:val="000000"/>
                <w:lang w:eastAsia="en-AU"/>
              </w:rPr>
            </w:pPr>
            <w:r w:rsidRPr="00571266">
              <w:rPr>
                <w:rFonts w:ascii="Arial" w:eastAsia="Times New Roman" w:hAnsi="Arial" w:cs="Arial"/>
                <w:color w:val="000000"/>
                <w:lang w:eastAsia="en-AU"/>
              </w:rPr>
              <w:t>74.4%</w:t>
            </w:r>
          </w:p>
        </w:tc>
        <w:tc>
          <w:tcPr>
            <w:tcW w:w="980" w:type="dxa"/>
            <w:tcBorders>
              <w:top w:val="nil"/>
              <w:left w:val="nil"/>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jc w:val="right"/>
              <w:rPr>
                <w:rFonts w:ascii="Arial" w:eastAsia="Times New Roman" w:hAnsi="Arial" w:cs="Arial"/>
                <w:color w:val="000000"/>
                <w:lang w:eastAsia="en-AU"/>
              </w:rPr>
            </w:pPr>
            <w:r w:rsidRPr="00571266">
              <w:rPr>
                <w:rFonts w:ascii="Arial" w:eastAsia="Times New Roman" w:hAnsi="Arial" w:cs="Arial"/>
                <w:color w:val="000000"/>
                <w:lang w:eastAsia="en-AU"/>
              </w:rPr>
              <w:t>78.6%</w:t>
            </w:r>
          </w:p>
        </w:tc>
        <w:tc>
          <w:tcPr>
            <w:tcW w:w="980" w:type="dxa"/>
            <w:tcBorders>
              <w:top w:val="nil"/>
              <w:left w:val="nil"/>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rPr>
                <w:rFonts w:ascii="Arial" w:eastAsia="Times New Roman" w:hAnsi="Arial" w:cs="Arial"/>
                <w:color w:val="000000"/>
                <w:lang w:eastAsia="en-AU"/>
              </w:rPr>
            </w:pPr>
            <w:r w:rsidRPr="00571266">
              <w:rPr>
                <w:rFonts w:ascii="Arial" w:eastAsia="Times New Roman" w:hAnsi="Arial" w:cs="Arial"/>
                <w:color w:val="000000"/>
                <w:lang w:eastAsia="en-AU"/>
              </w:rPr>
              <w:t> </w:t>
            </w:r>
          </w:p>
        </w:tc>
        <w:tc>
          <w:tcPr>
            <w:tcW w:w="980" w:type="dxa"/>
            <w:tcBorders>
              <w:top w:val="nil"/>
              <w:left w:val="nil"/>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rPr>
                <w:rFonts w:ascii="Arial" w:eastAsia="Times New Roman" w:hAnsi="Arial" w:cs="Arial"/>
                <w:color w:val="000000"/>
                <w:lang w:eastAsia="en-AU"/>
              </w:rPr>
            </w:pPr>
            <w:r w:rsidRPr="00571266">
              <w:rPr>
                <w:rFonts w:ascii="Arial" w:eastAsia="Times New Roman" w:hAnsi="Arial" w:cs="Arial"/>
                <w:color w:val="000000"/>
                <w:lang w:eastAsia="en-AU"/>
              </w:rPr>
              <w:t> </w:t>
            </w:r>
          </w:p>
        </w:tc>
        <w:tc>
          <w:tcPr>
            <w:tcW w:w="980" w:type="dxa"/>
            <w:tcBorders>
              <w:top w:val="nil"/>
              <w:left w:val="nil"/>
              <w:bottom w:val="single" w:sz="4" w:space="0" w:color="auto"/>
              <w:right w:val="single" w:sz="8" w:space="0" w:color="auto"/>
            </w:tcBorders>
            <w:shd w:val="clear" w:color="auto" w:fill="auto"/>
            <w:noWrap/>
            <w:vAlign w:val="bottom"/>
            <w:hideMark/>
          </w:tcPr>
          <w:p w:rsidR="00571266" w:rsidRPr="00571266" w:rsidRDefault="00571266" w:rsidP="00571266">
            <w:pPr>
              <w:spacing w:after="0" w:line="240" w:lineRule="auto"/>
              <w:rPr>
                <w:rFonts w:ascii="Arial" w:eastAsia="Times New Roman" w:hAnsi="Arial" w:cs="Arial"/>
                <w:color w:val="000000"/>
                <w:lang w:eastAsia="en-AU"/>
              </w:rPr>
            </w:pPr>
            <w:r w:rsidRPr="00571266">
              <w:rPr>
                <w:rFonts w:ascii="Arial" w:eastAsia="Times New Roman" w:hAnsi="Arial" w:cs="Arial"/>
                <w:color w:val="000000"/>
                <w:lang w:eastAsia="en-AU"/>
              </w:rPr>
              <w:t> </w:t>
            </w:r>
          </w:p>
        </w:tc>
      </w:tr>
      <w:tr w:rsidR="00571266" w:rsidRPr="00571266" w:rsidTr="00571266">
        <w:trPr>
          <w:trHeight w:val="285"/>
        </w:trPr>
        <w:tc>
          <w:tcPr>
            <w:tcW w:w="980" w:type="dxa"/>
            <w:tcBorders>
              <w:top w:val="nil"/>
              <w:left w:val="single" w:sz="8" w:space="0" w:color="auto"/>
              <w:bottom w:val="single" w:sz="8" w:space="0" w:color="auto"/>
              <w:right w:val="single" w:sz="4" w:space="0" w:color="auto"/>
            </w:tcBorders>
            <w:shd w:val="clear" w:color="auto" w:fill="auto"/>
            <w:noWrap/>
            <w:vAlign w:val="bottom"/>
            <w:hideMark/>
          </w:tcPr>
          <w:p w:rsidR="00571266" w:rsidRPr="00571266" w:rsidRDefault="00571266" w:rsidP="00571266">
            <w:pPr>
              <w:spacing w:after="0" w:line="240" w:lineRule="auto"/>
              <w:rPr>
                <w:rFonts w:ascii="Arial" w:eastAsia="Times New Roman" w:hAnsi="Arial" w:cs="Arial"/>
                <w:b/>
                <w:bCs/>
                <w:color w:val="000000"/>
                <w:lang w:eastAsia="en-AU"/>
              </w:rPr>
            </w:pPr>
            <w:r w:rsidRPr="00571266">
              <w:rPr>
                <w:rFonts w:ascii="Arial" w:eastAsia="Times New Roman" w:hAnsi="Arial" w:cs="Arial"/>
                <w:b/>
                <w:bCs/>
                <w:color w:val="000000"/>
                <w:lang w:eastAsia="en-AU"/>
              </w:rPr>
              <w:t>1 year</w:t>
            </w:r>
          </w:p>
        </w:tc>
        <w:tc>
          <w:tcPr>
            <w:tcW w:w="980" w:type="dxa"/>
            <w:tcBorders>
              <w:top w:val="nil"/>
              <w:left w:val="nil"/>
              <w:bottom w:val="single" w:sz="8" w:space="0" w:color="auto"/>
              <w:right w:val="single" w:sz="4" w:space="0" w:color="auto"/>
            </w:tcBorders>
            <w:shd w:val="clear" w:color="auto" w:fill="auto"/>
            <w:noWrap/>
            <w:vAlign w:val="bottom"/>
            <w:hideMark/>
          </w:tcPr>
          <w:p w:rsidR="00571266" w:rsidRPr="00571266" w:rsidRDefault="00571266" w:rsidP="00571266">
            <w:pPr>
              <w:spacing w:after="0" w:line="240" w:lineRule="auto"/>
              <w:jc w:val="right"/>
              <w:rPr>
                <w:rFonts w:ascii="Arial" w:eastAsia="Times New Roman" w:hAnsi="Arial" w:cs="Arial"/>
                <w:color w:val="000000"/>
                <w:lang w:eastAsia="en-AU"/>
              </w:rPr>
            </w:pPr>
            <w:r w:rsidRPr="00571266">
              <w:rPr>
                <w:rFonts w:ascii="Arial" w:eastAsia="Times New Roman" w:hAnsi="Arial" w:cs="Arial"/>
                <w:color w:val="000000"/>
                <w:lang w:eastAsia="en-AU"/>
              </w:rPr>
              <w:t>67.8%</w:t>
            </w:r>
          </w:p>
        </w:tc>
        <w:tc>
          <w:tcPr>
            <w:tcW w:w="980" w:type="dxa"/>
            <w:tcBorders>
              <w:top w:val="nil"/>
              <w:left w:val="nil"/>
              <w:bottom w:val="single" w:sz="8" w:space="0" w:color="auto"/>
              <w:right w:val="single" w:sz="4" w:space="0" w:color="auto"/>
            </w:tcBorders>
            <w:shd w:val="clear" w:color="auto" w:fill="auto"/>
            <w:noWrap/>
            <w:vAlign w:val="bottom"/>
            <w:hideMark/>
          </w:tcPr>
          <w:p w:rsidR="00571266" w:rsidRPr="00571266" w:rsidRDefault="00571266" w:rsidP="00571266">
            <w:pPr>
              <w:spacing w:after="0" w:line="240" w:lineRule="auto"/>
              <w:jc w:val="right"/>
              <w:rPr>
                <w:rFonts w:ascii="Arial" w:eastAsia="Times New Roman" w:hAnsi="Arial" w:cs="Arial"/>
                <w:color w:val="000000"/>
                <w:lang w:eastAsia="en-AU"/>
              </w:rPr>
            </w:pPr>
            <w:r w:rsidRPr="00571266">
              <w:rPr>
                <w:rFonts w:ascii="Arial" w:eastAsia="Times New Roman" w:hAnsi="Arial" w:cs="Arial"/>
                <w:color w:val="000000"/>
                <w:lang w:eastAsia="en-AU"/>
              </w:rPr>
              <w:t>74.4%</w:t>
            </w:r>
          </w:p>
        </w:tc>
        <w:tc>
          <w:tcPr>
            <w:tcW w:w="980" w:type="dxa"/>
            <w:tcBorders>
              <w:top w:val="nil"/>
              <w:left w:val="nil"/>
              <w:bottom w:val="single" w:sz="8" w:space="0" w:color="auto"/>
              <w:right w:val="single" w:sz="4" w:space="0" w:color="auto"/>
            </w:tcBorders>
            <w:shd w:val="clear" w:color="auto" w:fill="auto"/>
            <w:noWrap/>
            <w:vAlign w:val="bottom"/>
            <w:hideMark/>
          </w:tcPr>
          <w:p w:rsidR="00571266" w:rsidRPr="00571266" w:rsidRDefault="00571266" w:rsidP="00571266">
            <w:pPr>
              <w:spacing w:after="0" w:line="240" w:lineRule="auto"/>
              <w:rPr>
                <w:rFonts w:ascii="Arial" w:eastAsia="Times New Roman" w:hAnsi="Arial" w:cs="Arial"/>
                <w:color w:val="000000"/>
                <w:lang w:eastAsia="en-AU"/>
              </w:rPr>
            </w:pPr>
            <w:r w:rsidRPr="00571266">
              <w:rPr>
                <w:rFonts w:ascii="Arial" w:eastAsia="Times New Roman" w:hAnsi="Arial" w:cs="Arial"/>
                <w:color w:val="000000"/>
                <w:lang w:eastAsia="en-AU"/>
              </w:rPr>
              <w:t> </w:t>
            </w:r>
          </w:p>
        </w:tc>
        <w:tc>
          <w:tcPr>
            <w:tcW w:w="980" w:type="dxa"/>
            <w:tcBorders>
              <w:top w:val="nil"/>
              <w:left w:val="nil"/>
              <w:bottom w:val="single" w:sz="8" w:space="0" w:color="auto"/>
              <w:right w:val="single" w:sz="4" w:space="0" w:color="auto"/>
            </w:tcBorders>
            <w:shd w:val="clear" w:color="auto" w:fill="auto"/>
            <w:noWrap/>
            <w:vAlign w:val="bottom"/>
            <w:hideMark/>
          </w:tcPr>
          <w:p w:rsidR="00571266" w:rsidRPr="00571266" w:rsidRDefault="00571266" w:rsidP="00571266">
            <w:pPr>
              <w:spacing w:after="0" w:line="240" w:lineRule="auto"/>
              <w:rPr>
                <w:rFonts w:ascii="Arial" w:eastAsia="Times New Roman" w:hAnsi="Arial" w:cs="Arial"/>
                <w:color w:val="000000"/>
                <w:lang w:eastAsia="en-AU"/>
              </w:rPr>
            </w:pPr>
            <w:r w:rsidRPr="00571266">
              <w:rPr>
                <w:rFonts w:ascii="Arial" w:eastAsia="Times New Roman" w:hAnsi="Arial" w:cs="Arial"/>
                <w:color w:val="000000"/>
                <w:lang w:eastAsia="en-AU"/>
              </w:rPr>
              <w:t> </w:t>
            </w:r>
          </w:p>
        </w:tc>
        <w:tc>
          <w:tcPr>
            <w:tcW w:w="980" w:type="dxa"/>
            <w:tcBorders>
              <w:top w:val="nil"/>
              <w:left w:val="nil"/>
              <w:bottom w:val="single" w:sz="8" w:space="0" w:color="auto"/>
              <w:right w:val="single" w:sz="4" w:space="0" w:color="auto"/>
            </w:tcBorders>
            <w:shd w:val="clear" w:color="auto" w:fill="auto"/>
            <w:noWrap/>
            <w:vAlign w:val="bottom"/>
            <w:hideMark/>
          </w:tcPr>
          <w:p w:rsidR="00571266" w:rsidRPr="00571266" w:rsidRDefault="00571266" w:rsidP="00571266">
            <w:pPr>
              <w:spacing w:after="0" w:line="240" w:lineRule="auto"/>
              <w:rPr>
                <w:rFonts w:ascii="Arial" w:eastAsia="Times New Roman" w:hAnsi="Arial" w:cs="Arial"/>
                <w:color w:val="000000"/>
                <w:lang w:eastAsia="en-AU"/>
              </w:rPr>
            </w:pPr>
            <w:r w:rsidRPr="00571266">
              <w:rPr>
                <w:rFonts w:ascii="Arial" w:eastAsia="Times New Roman" w:hAnsi="Arial" w:cs="Arial"/>
                <w:color w:val="000000"/>
                <w:lang w:eastAsia="en-AU"/>
              </w:rPr>
              <w:t> </w:t>
            </w:r>
          </w:p>
        </w:tc>
        <w:tc>
          <w:tcPr>
            <w:tcW w:w="980" w:type="dxa"/>
            <w:tcBorders>
              <w:top w:val="nil"/>
              <w:left w:val="nil"/>
              <w:bottom w:val="single" w:sz="8" w:space="0" w:color="auto"/>
              <w:right w:val="single" w:sz="8" w:space="0" w:color="auto"/>
            </w:tcBorders>
            <w:shd w:val="clear" w:color="auto" w:fill="auto"/>
            <w:noWrap/>
            <w:vAlign w:val="bottom"/>
            <w:hideMark/>
          </w:tcPr>
          <w:p w:rsidR="00571266" w:rsidRPr="00571266" w:rsidRDefault="00571266" w:rsidP="00571266">
            <w:pPr>
              <w:spacing w:after="0" w:line="240" w:lineRule="auto"/>
              <w:rPr>
                <w:rFonts w:ascii="Arial" w:eastAsia="Times New Roman" w:hAnsi="Arial" w:cs="Arial"/>
                <w:color w:val="000000"/>
                <w:lang w:eastAsia="en-AU"/>
              </w:rPr>
            </w:pPr>
            <w:r w:rsidRPr="00571266">
              <w:rPr>
                <w:rFonts w:ascii="Arial" w:eastAsia="Times New Roman" w:hAnsi="Arial" w:cs="Arial"/>
                <w:color w:val="000000"/>
                <w:lang w:eastAsia="en-AU"/>
              </w:rPr>
              <w:t> </w:t>
            </w:r>
          </w:p>
        </w:tc>
      </w:tr>
    </w:tbl>
    <w:p w:rsidR="001A5DA1" w:rsidRDefault="001A5DA1" w:rsidP="009248F8"/>
    <w:p w:rsidR="00571266" w:rsidRPr="00571266" w:rsidRDefault="00571266" w:rsidP="00571266">
      <w:pPr>
        <w:pStyle w:val="Heading5"/>
        <w:rPr>
          <w:i/>
        </w:rPr>
      </w:pPr>
      <w:r w:rsidRPr="00571266">
        <w:rPr>
          <w:i/>
        </w:rPr>
        <w:t>% who say they would like their child to have more opportunity to be involved in activities with other children</w:t>
      </w:r>
    </w:p>
    <w:p w:rsidR="00571266" w:rsidRDefault="00571266" w:rsidP="00571266">
      <w:r>
        <w:t>For school aged children (School to 14), the percentage of respondents who want their child to have more opportunity to be involved in activities with other children has increased for all four cohorts since baseline. However, the increases are most pronounced in the first year of responding to this item. For example, for children in the Scheme for five years, there was a change of 9.2 percentage points at first review, compared to 0.8 and 0.1 percentage points at fourth and fifth review, respectively.</w:t>
      </w:r>
    </w:p>
    <w:p w:rsidR="00F42969" w:rsidRDefault="00F42969" w:rsidP="00571266">
      <w:r>
        <w:t>Time since first in PSto14:</w:t>
      </w:r>
    </w:p>
    <w:tbl>
      <w:tblPr>
        <w:tblW w:w="8540" w:type="dxa"/>
        <w:tblLook w:val="04A0" w:firstRow="1" w:lastRow="0" w:firstColumn="1" w:lastColumn="0" w:noHBand="0" w:noVBand="1"/>
      </w:tblPr>
      <w:tblGrid>
        <w:gridCol w:w="1220"/>
        <w:gridCol w:w="1220"/>
        <w:gridCol w:w="1220"/>
        <w:gridCol w:w="1220"/>
        <w:gridCol w:w="1220"/>
        <w:gridCol w:w="1220"/>
        <w:gridCol w:w="1220"/>
      </w:tblGrid>
      <w:tr w:rsidR="00571266" w:rsidRPr="00571266" w:rsidTr="00571266">
        <w:trPr>
          <w:trHeight w:val="278"/>
        </w:trPr>
        <w:tc>
          <w:tcPr>
            <w:tcW w:w="12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rPr>
                <w:rFonts w:ascii="Arial" w:eastAsia="Times New Roman" w:hAnsi="Arial" w:cs="Arial"/>
                <w:b/>
                <w:bCs/>
                <w:color w:val="000000"/>
                <w:lang w:eastAsia="en-AU"/>
              </w:rPr>
            </w:pPr>
            <w:r w:rsidRPr="00571266">
              <w:rPr>
                <w:rFonts w:ascii="Arial" w:eastAsia="Times New Roman" w:hAnsi="Arial" w:cs="Arial"/>
                <w:b/>
                <w:bCs/>
                <w:color w:val="000000"/>
                <w:lang w:eastAsia="en-AU"/>
              </w:rPr>
              <w:lastRenderedPageBreak/>
              <w:t>Cohort</w:t>
            </w:r>
          </w:p>
        </w:tc>
        <w:tc>
          <w:tcPr>
            <w:tcW w:w="1220" w:type="dxa"/>
            <w:tcBorders>
              <w:top w:val="single" w:sz="8" w:space="0" w:color="auto"/>
              <w:left w:val="nil"/>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rPr>
                <w:rFonts w:ascii="Arial" w:eastAsia="Times New Roman" w:hAnsi="Arial" w:cs="Arial"/>
                <w:b/>
                <w:bCs/>
                <w:color w:val="000000"/>
                <w:lang w:eastAsia="en-AU"/>
              </w:rPr>
            </w:pPr>
            <w:r w:rsidRPr="00571266">
              <w:rPr>
                <w:rFonts w:ascii="Arial" w:eastAsia="Times New Roman" w:hAnsi="Arial" w:cs="Arial"/>
                <w:b/>
                <w:bCs/>
                <w:color w:val="000000"/>
                <w:lang w:eastAsia="en-AU"/>
              </w:rPr>
              <w:t>B</w:t>
            </w:r>
            <w:r w:rsidR="00E86C1D">
              <w:rPr>
                <w:rFonts w:ascii="Arial" w:eastAsia="Times New Roman" w:hAnsi="Arial" w:cs="Arial"/>
                <w:b/>
                <w:bCs/>
                <w:color w:val="000000"/>
                <w:lang w:eastAsia="en-AU"/>
              </w:rPr>
              <w:t>aseline</w:t>
            </w:r>
          </w:p>
        </w:tc>
        <w:tc>
          <w:tcPr>
            <w:tcW w:w="1220" w:type="dxa"/>
            <w:tcBorders>
              <w:top w:val="single" w:sz="8" w:space="0" w:color="auto"/>
              <w:left w:val="nil"/>
              <w:bottom w:val="single" w:sz="4" w:space="0" w:color="auto"/>
              <w:right w:val="single" w:sz="4" w:space="0" w:color="auto"/>
            </w:tcBorders>
            <w:shd w:val="clear" w:color="auto" w:fill="auto"/>
            <w:noWrap/>
            <w:vAlign w:val="bottom"/>
            <w:hideMark/>
          </w:tcPr>
          <w:p w:rsidR="00571266" w:rsidRPr="00571266" w:rsidRDefault="00E86C1D" w:rsidP="00571266">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1</w:t>
            </w:r>
          </w:p>
        </w:tc>
        <w:tc>
          <w:tcPr>
            <w:tcW w:w="1220" w:type="dxa"/>
            <w:tcBorders>
              <w:top w:val="single" w:sz="8" w:space="0" w:color="auto"/>
              <w:left w:val="nil"/>
              <w:bottom w:val="single" w:sz="4" w:space="0" w:color="auto"/>
              <w:right w:val="single" w:sz="4" w:space="0" w:color="auto"/>
            </w:tcBorders>
            <w:shd w:val="clear" w:color="auto" w:fill="auto"/>
            <w:noWrap/>
            <w:vAlign w:val="bottom"/>
            <w:hideMark/>
          </w:tcPr>
          <w:p w:rsidR="00571266" w:rsidRPr="00571266" w:rsidRDefault="00E86C1D" w:rsidP="00571266">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2</w:t>
            </w:r>
          </w:p>
        </w:tc>
        <w:tc>
          <w:tcPr>
            <w:tcW w:w="1220" w:type="dxa"/>
            <w:tcBorders>
              <w:top w:val="single" w:sz="8" w:space="0" w:color="auto"/>
              <w:left w:val="nil"/>
              <w:bottom w:val="single" w:sz="4" w:space="0" w:color="auto"/>
              <w:right w:val="single" w:sz="4" w:space="0" w:color="auto"/>
            </w:tcBorders>
            <w:shd w:val="clear" w:color="auto" w:fill="auto"/>
            <w:noWrap/>
            <w:vAlign w:val="bottom"/>
            <w:hideMark/>
          </w:tcPr>
          <w:p w:rsidR="00571266" w:rsidRPr="00571266" w:rsidRDefault="00E86C1D" w:rsidP="00571266">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3</w:t>
            </w:r>
          </w:p>
        </w:tc>
        <w:tc>
          <w:tcPr>
            <w:tcW w:w="1220" w:type="dxa"/>
            <w:tcBorders>
              <w:top w:val="single" w:sz="8" w:space="0" w:color="auto"/>
              <w:left w:val="nil"/>
              <w:bottom w:val="single" w:sz="4" w:space="0" w:color="auto"/>
              <w:right w:val="single" w:sz="4" w:space="0" w:color="auto"/>
            </w:tcBorders>
            <w:shd w:val="clear" w:color="auto" w:fill="auto"/>
            <w:noWrap/>
            <w:vAlign w:val="bottom"/>
            <w:hideMark/>
          </w:tcPr>
          <w:p w:rsidR="00571266" w:rsidRPr="00571266" w:rsidRDefault="00E86C1D" w:rsidP="00571266">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4</w:t>
            </w:r>
          </w:p>
        </w:tc>
        <w:tc>
          <w:tcPr>
            <w:tcW w:w="1220" w:type="dxa"/>
            <w:tcBorders>
              <w:top w:val="single" w:sz="8" w:space="0" w:color="auto"/>
              <w:left w:val="nil"/>
              <w:bottom w:val="single" w:sz="4" w:space="0" w:color="auto"/>
              <w:right w:val="single" w:sz="8" w:space="0" w:color="auto"/>
            </w:tcBorders>
            <w:shd w:val="clear" w:color="auto" w:fill="auto"/>
            <w:noWrap/>
            <w:vAlign w:val="bottom"/>
            <w:hideMark/>
          </w:tcPr>
          <w:p w:rsidR="00571266" w:rsidRPr="00571266" w:rsidRDefault="00E86C1D" w:rsidP="00571266">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5</w:t>
            </w:r>
          </w:p>
        </w:tc>
      </w:tr>
      <w:tr w:rsidR="00571266" w:rsidRPr="00571266" w:rsidTr="00571266">
        <w:trPr>
          <w:trHeight w:val="278"/>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rPr>
                <w:rFonts w:ascii="Arial" w:eastAsia="Times New Roman" w:hAnsi="Arial" w:cs="Arial"/>
                <w:b/>
                <w:bCs/>
                <w:color w:val="000000"/>
                <w:lang w:eastAsia="en-AU"/>
              </w:rPr>
            </w:pPr>
            <w:r w:rsidRPr="00571266">
              <w:rPr>
                <w:rFonts w:ascii="Arial" w:eastAsia="Times New Roman" w:hAnsi="Arial" w:cs="Arial"/>
                <w:b/>
                <w:bCs/>
                <w:color w:val="000000"/>
                <w:lang w:eastAsia="en-AU"/>
              </w:rPr>
              <w:t>5 years</w:t>
            </w:r>
          </w:p>
        </w:tc>
        <w:tc>
          <w:tcPr>
            <w:tcW w:w="1220" w:type="dxa"/>
            <w:tcBorders>
              <w:top w:val="nil"/>
              <w:left w:val="nil"/>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jc w:val="right"/>
              <w:rPr>
                <w:rFonts w:ascii="Arial" w:eastAsia="Times New Roman" w:hAnsi="Arial" w:cs="Arial"/>
                <w:color w:val="000000"/>
                <w:lang w:eastAsia="en-AU"/>
              </w:rPr>
            </w:pPr>
            <w:r w:rsidRPr="00571266">
              <w:rPr>
                <w:rFonts w:ascii="Arial" w:eastAsia="Times New Roman" w:hAnsi="Arial" w:cs="Arial"/>
                <w:color w:val="000000"/>
                <w:lang w:eastAsia="en-AU"/>
              </w:rPr>
              <w:t>79.7%</w:t>
            </w:r>
          </w:p>
        </w:tc>
        <w:tc>
          <w:tcPr>
            <w:tcW w:w="1220" w:type="dxa"/>
            <w:tcBorders>
              <w:top w:val="nil"/>
              <w:left w:val="nil"/>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jc w:val="right"/>
              <w:rPr>
                <w:rFonts w:ascii="Arial" w:eastAsia="Times New Roman" w:hAnsi="Arial" w:cs="Arial"/>
                <w:color w:val="000000"/>
                <w:lang w:eastAsia="en-AU"/>
              </w:rPr>
            </w:pPr>
            <w:r w:rsidRPr="00571266">
              <w:rPr>
                <w:rFonts w:ascii="Arial" w:eastAsia="Times New Roman" w:hAnsi="Arial" w:cs="Arial"/>
                <w:color w:val="000000"/>
                <w:lang w:eastAsia="en-AU"/>
              </w:rPr>
              <w:t>88.9%</w:t>
            </w:r>
          </w:p>
        </w:tc>
        <w:tc>
          <w:tcPr>
            <w:tcW w:w="1220" w:type="dxa"/>
            <w:tcBorders>
              <w:top w:val="nil"/>
              <w:left w:val="nil"/>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jc w:val="right"/>
              <w:rPr>
                <w:rFonts w:ascii="Arial" w:eastAsia="Times New Roman" w:hAnsi="Arial" w:cs="Arial"/>
                <w:color w:val="000000"/>
                <w:lang w:eastAsia="en-AU"/>
              </w:rPr>
            </w:pPr>
            <w:r w:rsidRPr="00571266">
              <w:rPr>
                <w:rFonts w:ascii="Arial" w:eastAsia="Times New Roman" w:hAnsi="Arial" w:cs="Arial"/>
                <w:color w:val="000000"/>
                <w:lang w:eastAsia="en-AU"/>
              </w:rPr>
              <w:t>91.5%</w:t>
            </w:r>
          </w:p>
        </w:tc>
        <w:tc>
          <w:tcPr>
            <w:tcW w:w="1220" w:type="dxa"/>
            <w:tcBorders>
              <w:top w:val="nil"/>
              <w:left w:val="nil"/>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jc w:val="right"/>
              <w:rPr>
                <w:rFonts w:ascii="Arial" w:eastAsia="Times New Roman" w:hAnsi="Arial" w:cs="Arial"/>
                <w:color w:val="000000"/>
                <w:lang w:eastAsia="en-AU"/>
              </w:rPr>
            </w:pPr>
            <w:r w:rsidRPr="00571266">
              <w:rPr>
                <w:rFonts w:ascii="Arial" w:eastAsia="Times New Roman" w:hAnsi="Arial" w:cs="Arial"/>
                <w:color w:val="000000"/>
                <w:lang w:eastAsia="en-AU"/>
              </w:rPr>
              <w:t>92.8%</w:t>
            </w:r>
          </w:p>
        </w:tc>
        <w:tc>
          <w:tcPr>
            <w:tcW w:w="1220" w:type="dxa"/>
            <w:tcBorders>
              <w:top w:val="nil"/>
              <w:left w:val="nil"/>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jc w:val="right"/>
              <w:rPr>
                <w:rFonts w:ascii="Arial" w:eastAsia="Times New Roman" w:hAnsi="Arial" w:cs="Arial"/>
                <w:color w:val="000000"/>
                <w:lang w:eastAsia="en-AU"/>
              </w:rPr>
            </w:pPr>
            <w:r w:rsidRPr="00571266">
              <w:rPr>
                <w:rFonts w:ascii="Arial" w:eastAsia="Times New Roman" w:hAnsi="Arial" w:cs="Arial"/>
                <w:color w:val="000000"/>
                <w:lang w:eastAsia="en-AU"/>
              </w:rPr>
              <w:t>93.6%</w:t>
            </w:r>
          </w:p>
        </w:tc>
        <w:tc>
          <w:tcPr>
            <w:tcW w:w="1220" w:type="dxa"/>
            <w:tcBorders>
              <w:top w:val="nil"/>
              <w:left w:val="nil"/>
              <w:bottom w:val="single" w:sz="4" w:space="0" w:color="auto"/>
              <w:right w:val="single" w:sz="8" w:space="0" w:color="auto"/>
            </w:tcBorders>
            <w:shd w:val="clear" w:color="auto" w:fill="auto"/>
            <w:noWrap/>
            <w:vAlign w:val="bottom"/>
            <w:hideMark/>
          </w:tcPr>
          <w:p w:rsidR="00571266" w:rsidRPr="00571266" w:rsidRDefault="00571266" w:rsidP="00571266">
            <w:pPr>
              <w:spacing w:after="0" w:line="240" w:lineRule="auto"/>
              <w:jc w:val="right"/>
              <w:rPr>
                <w:rFonts w:ascii="Arial" w:eastAsia="Times New Roman" w:hAnsi="Arial" w:cs="Arial"/>
                <w:color w:val="000000"/>
                <w:lang w:eastAsia="en-AU"/>
              </w:rPr>
            </w:pPr>
            <w:r w:rsidRPr="00571266">
              <w:rPr>
                <w:rFonts w:ascii="Arial" w:eastAsia="Times New Roman" w:hAnsi="Arial" w:cs="Arial"/>
                <w:color w:val="000000"/>
                <w:lang w:eastAsia="en-AU"/>
              </w:rPr>
              <w:t>93.7%</w:t>
            </w:r>
          </w:p>
        </w:tc>
      </w:tr>
      <w:tr w:rsidR="00571266" w:rsidRPr="00571266" w:rsidTr="00571266">
        <w:trPr>
          <w:trHeight w:val="278"/>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rPr>
                <w:rFonts w:ascii="Arial" w:eastAsia="Times New Roman" w:hAnsi="Arial" w:cs="Arial"/>
                <w:b/>
                <w:bCs/>
                <w:color w:val="000000"/>
                <w:lang w:eastAsia="en-AU"/>
              </w:rPr>
            </w:pPr>
            <w:r w:rsidRPr="00571266">
              <w:rPr>
                <w:rFonts w:ascii="Arial" w:eastAsia="Times New Roman" w:hAnsi="Arial" w:cs="Arial"/>
                <w:b/>
                <w:bCs/>
                <w:color w:val="000000"/>
                <w:lang w:eastAsia="en-AU"/>
              </w:rPr>
              <w:t>4 years</w:t>
            </w:r>
          </w:p>
        </w:tc>
        <w:tc>
          <w:tcPr>
            <w:tcW w:w="1220" w:type="dxa"/>
            <w:tcBorders>
              <w:top w:val="nil"/>
              <w:left w:val="nil"/>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jc w:val="right"/>
              <w:rPr>
                <w:rFonts w:ascii="Arial" w:eastAsia="Times New Roman" w:hAnsi="Arial" w:cs="Arial"/>
                <w:color w:val="000000"/>
                <w:lang w:eastAsia="en-AU"/>
              </w:rPr>
            </w:pPr>
            <w:r w:rsidRPr="00571266">
              <w:rPr>
                <w:rFonts w:ascii="Arial" w:eastAsia="Times New Roman" w:hAnsi="Arial" w:cs="Arial"/>
                <w:color w:val="000000"/>
                <w:lang w:eastAsia="en-AU"/>
              </w:rPr>
              <w:t>88.2%</w:t>
            </w:r>
          </w:p>
        </w:tc>
        <w:tc>
          <w:tcPr>
            <w:tcW w:w="1220" w:type="dxa"/>
            <w:tcBorders>
              <w:top w:val="nil"/>
              <w:left w:val="nil"/>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jc w:val="right"/>
              <w:rPr>
                <w:rFonts w:ascii="Arial" w:eastAsia="Times New Roman" w:hAnsi="Arial" w:cs="Arial"/>
                <w:color w:val="000000"/>
                <w:lang w:eastAsia="en-AU"/>
              </w:rPr>
            </w:pPr>
            <w:r w:rsidRPr="00571266">
              <w:rPr>
                <w:rFonts w:ascii="Arial" w:eastAsia="Times New Roman" w:hAnsi="Arial" w:cs="Arial"/>
                <w:color w:val="000000"/>
                <w:lang w:eastAsia="en-AU"/>
              </w:rPr>
              <w:t>92.3%</w:t>
            </w:r>
          </w:p>
        </w:tc>
        <w:tc>
          <w:tcPr>
            <w:tcW w:w="1220" w:type="dxa"/>
            <w:tcBorders>
              <w:top w:val="nil"/>
              <w:left w:val="nil"/>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jc w:val="right"/>
              <w:rPr>
                <w:rFonts w:ascii="Arial" w:eastAsia="Times New Roman" w:hAnsi="Arial" w:cs="Arial"/>
                <w:color w:val="000000"/>
                <w:lang w:eastAsia="en-AU"/>
              </w:rPr>
            </w:pPr>
            <w:r w:rsidRPr="00571266">
              <w:rPr>
                <w:rFonts w:ascii="Arial" w:eastAsia="Times New Roman" w:hAnsi="Arial" w:cs="Arial"/>
                <w:color w:val="000000"/>
                <w:lang w:eastAsia="en-AU"/>
              </w:rPr>
              <w:t>93.8%</w:t>
            </w:r>
          </w:p>
        </w:tc>
        <w:tc>
          <w:tcPr>
            <w:tcW w:w="1220" w:type="dxa"/>
            <w:tcBorders>
              <w:top w:val="nil"/>
              <w:left w:val="nil"/>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jc w:val="right"/>
              <w:rPr>
                <w:rFonts w:ascii="Arial" w:eastAsia="Times New Roman" w:hAnsi="Arial" w:cs="Arial"/>
                <w:color w:val="000000"/>
                <w:lang w:eastAsia="en-AU"/>
              </w:rPr>
            </w:pPr>
            <w:r w:rsidRPr="00571266">
              <w:rPr>
                <w:rFonts w:ascii="Arial" w:eastAsia="Times New Roman" w:hAnsi="Arial" w:cs="Arial"/>
                <w:color w:val="000000"/>
                <w:lang w:eastAsia="en-AU"/>
              </w:rPr>
              <w:t>94.6%</w:t>
            </w:r>
          </w:p>
        </w:tc>
        <w:tc>
          <w:tcPr>
            <w:tcW w:w="1220" w:type="dxa"/>
            <w:tcBorders>
              <w:top w:val="nil"/>
              <w:left w:val="nil"/>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jc w:val="right"/>
              <w:rPr>
                <w:rFonts w:ascii="Arial" w:eastAsia="Times New Roman" w:hAnsi="Arial" w:cs="Arial"/>
                <w:color w:val="000000"/>
                <w:lang w:eastAsia="en-AU"/>
              </w:rPr>
            </w:pPr>
            <w:r w:rsidRPr="00571266">
              <w:rPr>
                <w:rFonts w:ascii="Arial" w:eastAsia="Times New Roman" w:hAnsi="Arial" w:cs="Arial"/>
                <w:color w:val="000000"/>
                <w:lang w:eastAsia="en-AU"/>
              </w:rPr>
              <w:t>94.5%</w:t>
            </w:r>
          </w:p>
        </w:tc>
        <w:tc>
          <w:tcPr>
            <w:tcW w:w="1220" w:type="dxa"/>
            <w:tcBorders>
              <w:top w:val="nil"/>
              <w:left w:val="nil"/>
              <w:bottom w:val="single" w:sz="4" w:space="0" w:color="auto"/>
              <w:right w:val="single" w:sz="8" w:space="0" w:color="auto"/>
            </w:tcBorders>
            <w:shd w:val="clear" w:color="auto" w:fill="auto"/>
            <w:noWrap/>
            <w:vAlign w:val="bottom"/>
            <w:hideMark/>
          </w:tcPr>
          <w:p w:rsidR="00571266" w:rsidRPr="00571266" w:rsidRDefault="00571266" w:rsidP="00571266">
            <w:pPr>
              <w:spacing w:after="0" w:line="240" w:lineRule="auto"/>
              <w:rPr>
                <w:rFonts w:ascii="Arial" w:eastAsia="Times New Roman" w:hAnsi="Arial" w:cs="Arial"/>
                <w:color w:val="000000"/>
                <w:lang w:eastAsia="en-AU"/>
              </w:rPr>
            </w:pPr>
            <w:r w:rsidRPr="00571266">
              <w:rPr>
                <w:rFonts w:ascii="Arial" w:eastAsia="Times New Roman" w:hAnsi="Arial" w:cs="Arial"/>
                <w:color w:val="000000"/>
                <w:lang w:eastAsia="en-AU"/>
              </w:rPr>
              <w:t> </w:t>
            </w:r>
          </w:p>
        </w:tc>
      </w:tr>
      <w:tr w:rsidR="00571266" w:rsidRPr="00571266" w:rsidTr="00571266">
        <w:trPr>
          <w:trHeight w:val="278"/>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rPr>
                <w:rFonts w:ascii="Arial" w:eastAsia="Times New Roman" w:hAnsi="Arial" w:cs="Arial"/>
                <w:b/>
                <w:bCs/>
                <w:color w:val="000000"/>
                <w:lang w:eastAsia="en-AU"/>
              </w:rPr>
            </w:pPr>
            <w:r w:rsidRPr="00571266">
              <w:rPr>
                <w:rFonts w:ascii="Arial" w:eastAsia="Times New Roman" w:hAnsi="Arial" w:cs="Arial"/>
                <w:b/>
                <w:bCs/>
                <w:color w:val="000000"/>
                <w:lang w:eastAsia="en-AU"/>
              </w:rPr>
              <w:t>3 years</w:t>
            </w:r>
          </w:p>
        </w:tc>
        <w:tc>
          <w:tcPr>
            <w:tcW w:w="1220" w:type="dxa"/>
            <w:tcBorders>
              <w:top w:val="nil"/>
              <w:left w:val="nil"/>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jc w:val="right"/>
              <w:rPr>
                <w:rFonts w:ascii="Arial" w:eastAsia="Times New Roman" w:hAnsi="Arial" w:cs="Arial"/>
                <w:color w:val="000000"/>
                <w:lang w:eastAsia="en-AU"/>
              </w:rPr>
            </w:pPr>
            <w:r w:rsidRPr="00571266">
              <w:rPr>
                <w:rFonts w:ascii="Arial" w:eastAsia="Times New Roman" w:hAnsi="Arial" w:cs="Arial"/>
                <w:color w:val="000000"/>
                <w:lang w:eastAsia="en-AU"/>
              </w:rPr>
              <w:t>83.8%</w:t>
            </w:r>
          </w:p>
        </w:tc>
        <w:tc>
          <w:tcPr>
            <w:tcW w:w="1220" w:type="dxa"/>
            <w:tcBorders>
              <w:top w:val="nil"/>
              <w:left w:val="nil"/>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jc w:val="right"/>
              <w:rPr>
                <w:rFonts w:ascii="Arial" w:eastAsia="Times New Roman" w:hAnsi="Arial" w:cs="Arial"/>
                <w:color w:val="000000"/>
                <w:lang w:eastAsia="en-AU"/>
              </w:rPr>
            </w:pPr>
            <w:r w:rsidRPr="00571266">
              <w:rPr>
                <w:rFonts w:ascii="Arial" w:eastAsia="Times New Roman" w:hAnsi="Arial" w:cs="Arial"/>
                <w:color w:val="000000"/>
                <w:lang w:eastAsia="en-AU"/>
              </w:rPr>
              <w:t>89.3%</w:t>
            </w:r>
          </w:p>
        </w:tc>
        <w:tc>
          <w:tcPr>
            <w:tcW w:w="1220" w:type="dxa"/>
            <w:tcBorders>
              <w:top w:val="nil"/>
              <w:left w:val="nil"/>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jc w:val="right"/>
              <w:rPr>
                <w:rFonts w:ascii="Arial" w:eastAsia="Times New Roman" w:hAnsi="Arial" w:cs="Arial"/>
                <w:color w:val="000000"/>
                <w:lang w:eastAsia="en-AU"/>
              </w:rPr>
            </w:pPr>
            <w:r w:rsidRPr="00571266">
              <w:rPr>
                <w:rFonts w:ascii="Arial" w:eastAsia="Times New Roman" w:hAnsi="Arial" w:cs="Arial"/>
                <w:color w:val="000000"/>
                <w:lang w:eastAsia="en-AU"/>
              </w:rPr>
              <w:t>91.1%</w:t>
            </w:r>
          </w:p>
        </w:tc>
        <w:tc>
          <w:tcPr>
            <w:tcW w:w="1220" w:type="dxa"/>
            <w:tcBorders>
              <w:top w:val="nil"/>
              <w:left w:val="nil"/>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jc w:val="right"/>
              <w:rPr>
                <w:rFonts w:ascii="Arial" w:eastAsia="Times New Roman" w:hAnsi="Arial" w:cs="Arial"/>
                <w:color w:val="000000"/>
                <w:lang w:eastAsia="en-AU"/>
              </w:rPr>
            </w:pPr>
            <w:r w:rsidRPr="00571266">
              <w:rPr>
                <w:rFonts w:ascii="Arial" w:eastAsia="Times New Roman" w:hAnsi="Arial" w:cs="Arial"/>
                <w:color w:val="000000"/>
                <w:lang w:eastAsia="en-AU"/>
              </w:rPr>
              <w:t>91.8%</w:t>
            </w:r>
          </w:p>
        </w:tc>
        <w:tc>
          <w:tcPr>
            <w:tcW w:w="1220" w:type="dxa"/>
            <w:tcBorders>
              <w:top w:val="nil"/>
              <w:left w:val="nil"/>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rPr>
                <w:rFonts w:ascii="Arial" w:eastAsia="Times New Roman" w:hAnsi="Arial" w:cs="Arial"/>
                <w:color w:val="000000"/>
                <w:lang w:eastAsia="en-AU"/>
              </w:rPr>
            </w:pPr>
            <w:r w:rsidRPr="00571266">
              <w:rPr>
                <w:rFonts w:ascii="Arial" w:eastAsia="Times New Roman" w:hAnsi="Arial" w:cs="Arial"/>
                <w:color w:val="000000"/>
                <w:lang w:eastAsia="en-AU"/>
              </w:rPr>
              <w:t> </w:t>
            </w:r>
          </w:p>
        </w:tc>
        <w:tc>
          <w:tcPr>
            <w:tcW w:w="1220" w:type="dxa"/>
            <w:tcBorders>
              <w:top w:val="nil"/>
              <w:left w:val="nil"/>
              <w:bottom w:val="single" w:sz="4" w:space="0" w:color="auto"/>
              <w:right w:val="single" w:sz="8" w:space="0" w:color="auto"/>
            </w:tcBorders>
            <w:shd w:val="clear" w:color="auto" w:fill="auto"/>
            <w:noWrap/>
            <w:vAlign w:val="bottom"/>
            <w:hideMark/>
          </w:tcPr>
          <w:p w:rsidR="00571266" w:rsidRPr="00571266" w:rsidRDefault="00571266" w:rsidP="00571266">
            <w:pPr>
              <w:spacing w:after="0" w:line="240" w:lineRule="auto"/>
              <w:rPr>
                <w:rFonts w:ascii="Arial" w:eastAsia="Times New Roman" w:hAnsi="Arial" w:cs="Arial"/>
                <w:color w:val="000000"/>
                <w:lang w:eastAsia="en-AU"/>
              </w:rPr>
            </w:pPr>
            <w:r w:rsidRPr="00571266">
              <w:rPr>
                <w:rFonts w:ascii="Arial" w:eastAsia="Times New Roman" w:hAnsi="Arial" w:cs="Arial"/>
                <w:color w:val="000000"/>
                <w:lang w:eastAsia="en-AU"/>
              </w:rPr>
              <w:t> </w:t>
            </w:r>
          </w:p>
        </w:tc>
      </w:tr>
      <w:tr w:rsidR="00571266" w:rsidRPr="00571266" w:rsidTr="00571266">
        <w:trPr>
          <w:trHeight w:val="278"/>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rPr>
                <w:rFonts w:ascii="Arial" w:eastAsia="Times New Roman" w:hAnsi="Arial" w:cs="Arial"/>
                <w:b/>
                <w:bCs/>
                <w:color w:val="000000"/>
                <w:lang w:eastAsia="en-AU"/>
              </w:rPr>
            </w:pPr>
            <w:r w:rsidRPr="00571266">
              <w:rPr>
                <w:rFonts w:ascii="Arial" w:eastAsia="Times New Roman" w:hAnsi="Arial" w:cs="Arial"/>
                <w:b/>
                <w:bCs/>
                <w:color w:val="000000"/>
                <w:lang w:eastAsia="en-AU"/>
              </w:rPr>
              <w:t>2 years</w:t>
            </w:r>
          </w:p>
        </w:tc>
        <w:tc>
          <w:tcPr>
            <w:tcW w:w="1220" w:type="dxa"/>
            <w:tcBorders>
              <w:top w:val="nil"/>
              <w:left w:val="nil"/>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jc w:val="right"/>
              <w:rPr>
                <w:rFonts w:ascii="Arial" w:eastAsia="Times New Roman" w:hAnsi="Arial" w:cs="Arial"/>
                <w:color w:val="000000"/>
                <w:lang w:eastAsia="en-AU"/>
              </w:rPr>
            </w:pPr>
            <w:r w:rsidRPr="00571266">
              <w:rPr>
                <w:rFonts w:ascii="Arial" w:eastAsia="Times New Roman" w:hAnsi="Arial" w:cs="Arial"/>
                <w:color w:val="000000"/>
                <w:lang w:eastAsia="en-AU"/>
              </w:rPr>
              <w:t>74.4%</w:t>
            </w:r>
          </w:p>
        </w:tc>
        <w:tc>
          <w:tcPr>
            <w:tcW w:w="1220" w:type="dxa"/>
            <w:tcBorders>
              <w:top w:val="nil"/>
              <w:left w:val="nil"/>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jc w:val="right"/>
              <w:rPr>
                <w:rFonts w:ascii="Arial" w:eastAsia="Times New Roman" w:hAnsi="Arial" w:cs="Arial"/>
                <w:color w:val="000000"/>
                <w:lang w:eastAsia="en-AU"/>
              </w:rPr>
            </w:pPr>
            <w:r w:rsidRPr="00571266">
              <w:rPr>
                <w:rFonts w:ascii="Arial" w:eastAsia="Times New Roman" w:hAnsi="Arial" w:cs="Arial"/>
                <w:color w:val="000000"/>
                <w:lang w:eastAsia="en-AU"/>
              </w:rPr>
              <w:t>82.0%</w:t>
            </w:r>
          </w:p>
        </w:tc>
        <w:tc>
          <w:tcPr>
            <w:tcW w:w="1220" w:type="dxa"/>
            <w:tcBorders>
              <w:top w:val="nil"/>
              <w:left w:val="nil"/>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jc w:val="right"/>
              <w:rPr>
                <w:rFonts w:ascii="Arial" w:eastAsia="Times New Roman" w:hAnsi="Arial" w:cs="Arial"/>
                <w:color w:val="000000"/>
                <w:lang w:eastAsia="en-AU"/>
              </w:rPr>
            </w:pPr>
            <w:r w:rsidRPr="00571266">
              <w:rPr>
                <w:rFonts w:ascii="Arial" w:eastAsia="Times New Roman" w:hAnsi="Arial" w:cs="Arial"/>
                <w:color w:val="000000"/>
                <w:lang w:eastAsia="en-AU"/>
              </w:rPr>
              <w:t>84.7%</w:t>
            </w:r>
          </w:p>
        </w:tc>
        <w:tc>
          <w:tcPr>
            <w:tcW w:w="1220" w:type="dxa"/>
            <w:tcBorders>
              <w:top w:val="nil"/>
              <w:left w:val="nil"/>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rPr>
                <w:rFonts w:ascii="Arial" w:eastAsia="Times New Roman" w:hAnsi="Arial" w:cs="Arial"/>
                <w:color w:val="000000"/>
                <w:lang w:eastAsia="en-AU"/>
              </w:rPr>
            </w:pPr>
            <w:r w:rsidRPr="00571266">
              <w:rPr>
                <w:rFonts w:ascii="Arial" w:eastAsia="Times New Roman" w:hAnsi="Arial" w:cs="Arial"/>
                <w:color w:val="000000"/>
                <w:lang w:eastAsia="en-AU"/>
              </w:rPr>
              <w:t> </w:t>
            </w:r>
          </w:p>
        </w:tc>
        <w:tc>
          <w:tcPr>
            <w:tcW w:w="1220" w:type="dxa"/>
            <w:tcBorders>
              <w:top w:val="nil"/>
              <w:left w:val="nil"/>
              <w:bottom w:val="single" w:sz="4" w:space="0" w:color="auto"/>
              <w:right w:val="single" w:sz="4" w:space="0" w:color="auto"/>
            </w:tcBorders>
            <w:shd w:val="clear" w:color="auto" w:fill="auto"/>
            <w:noWrap/>
            <w:vAlign w:val="bottom"/>
            <w:hideMark/>
          </w:tcPr>
          <w:p w:rsidR="00571266" w:rsidRPr="00571266" w:rsidRDefault="00571266" w:rsidP="00571266">
            <w:pPr>
              <w:spacing w:after="0" w:line="240" w:lineRule="auto"/>
              <w:rPr>
                <w:rFonts w:ascii="Arial" w:eastAsia="Times New Roman" w:hAnsi="Arial" w:cs="Arial"/>
                <w:color w:val="000000"/>
                <w:lang w:eastAsia="en-AU"/>
              </w:rPr>
            </w:pPr>
            <w:r w:rsidRPr="00571266">
              <w:rPr>
                <w:rFonts w:ascii="Arial" w:eastAsia="Times New Roman" w:hAnsi="Arial" w:cs="Arial"/>
                <w:color w:val="000000"/>
                <w:lang w:eastAsia="en-AU"/>
              </w:rPr>
              <w:t> </w:t>
            </w:r>
          </w:p>
        </w:tc>
        <w:tc>
          <w:tcPr>
            <w:tcW w:w="1220" w:type="dxa"/>
            <w:tcBorders>
              <w:top w:val="nil"/>
              <w:left w:val="nil"/>
              <w:bottom w:val="single" w:sz="4" w:space="0" w:color="auto"/>
              <w:right w:val="single" w:sz="8" w:space="0" w:color="auto"/>
            </w:tcBorders>
            <w:shd w:val="clear" w:color="auto" w:fill="auto"/>
            <w:noWrap/>
            <w:vAlign w:val="bottom"/>
            <w:hideMark/>
          </w:tcPr>
          <w:p w:rsidR="00571266" w:rsidRPr="00571266" w:rsidRDefault="00571266" w:rsidP="00571266">
            <w:pPr>
              <w:spacing w:after="0" w:line="240" w:lineRule="auto"/>
              <w:rPr>
                <w:rFonts w:ascii="Arial" w:eastAsia="Times New Roman" w:hAnsi="Arial" w:cs="Arial"/>
                <w:color w:val="000000"/>
                <w:lang w:eastAsia="en-AU"/>
              </w:rPr>
            </w:pPr>
            <w:r w:rsidRPr="00571266">
              <w:rPr>
                <w:rFonts w:ascii="Arial" w:eastAsia="Times New Roman" w:hAnsi="Arial" w:cs="Arial"/>
                <w:color w:val="000000"/>
                <w:lang w:eastAsia="en-AU"/>
              </w:rPr>
              <w:t> </w:t>
            </w:r>
          </w:p>
        </w:tc>
      </w:tr>
      <w:tr w:rsidR="00571266" w:rsidRPr="00571266" w:rsidTr="00571266">
        <w:trPr>
          <w:trHeight w:val="285"/>
        </w:trPr>
        <w:tc>
          <w:tcPr>
            <w:tcW w:w="1220" w:type="dxa"/>
            <w:tcBorders>
              <w:top w:val="nil"/>
              <w:left w:val="single" w:sz="8" w:space="0" w:color="auto"/>
              <w:bottom w:val="single" w:sz="8" w:space="0" w:color="auto"/>
              <w:right w:val="single" w:sz="4" w:space="0" w:color="auto"/>
            </w:tcBorders>
            <w:shd w:val="clear" w:color="auto" w:fill="auto"/>
            <w:noWrap/>
            <w:vAlign w:val="bottom"/>
            <w:hideMark/>
          </w:tcPr>
          <w:p w:rsidR="00571266" w:rsidRPr="00571266" w:rsidRDefault="00571266" w:rsidP="00571266">
            <w:pPr>
              <w:spacing w:after="0" w:line="240" w:lineRule="auto"/>
              <w:rPr>
                <w:rFonts w:ascii="Arial" w:eastAsia="Times New Roman" w:hAnsi="Arial" w:cs="Arial"/>
                <w:b/>
                <w:bCs/>
                <w:color w:val="000000"/>
                <w:lang w:eastAsia="en-AU"/>
              </w:rPr>
            </w:pPr>
            <w:r w:rsidRPr="00571266">
              <w:rPr>
                <w:rFonts w:ascii="Arial" w:eastAsia="Times New Roman" w:hAnsi="Arial" w:cs="Arial"/>
                <w:b/>
                <w:bCs/>
                <w:color w:val="000000"/>
                <w:lang w:eastAsia="en-AU"/>
              </w:rPr>
              <w:t>1 year</w:t>
            </w:r>
          </w:p>
        </w:tc>
        <w:tc>
          <w:tcPr>
            <w:tcW w:w="1220" w:type="dxa"/>
            <w:tcBorders>
              <w:top w:val="nil"/>
              <w:left w:val="nil"/>
              <w:bottom w:val="single" w:sz="8" w:space="0" w:color="auto"/>
              <w:right w:val="single" w:sz="4" w:space="0" w:color="auto"/>
            </w:tcBorders>
            <w:shd w:val="clear" w:color="auto" w:fill="auto"/>
            <w:noWrap/>
            <w:vAlign w:val="bottom"/>
            <w:hideMark/>
          </w:tcPr>
          <w:p w:rsidR="00571266" w:rsidRPr="00571266" w:rsidRDefault="00571266" w:rsidP="00571266">
            <w:pPr>
              <w:spacing w:after="0" w:line="240" w:lineRule="auto"/>
              <w:jc w:val="right"/>
              <w:rPr>
                <w:rFonts w:ascii="Arial" w:eastAsia="Times New Roman" w:hAnsi="Arial" w:cs="Arial"/>
                <w:color w:val="000000"/>
                <w:lang w:eastAsia="en-AU"/>
              </w:rPr>
            </w:pPr>
            <w:r w:rsidRPr="00571266">
              <w:rPr>
                <w:rFonts w:ascii="Arial" w:eastAsia="Times New Roman" w:hAnsi="Arial" w:cs="Arial"/>
                <w:color w:val="000000"/>
                <w:lang w:eastAsia="en-AU"/>
              </w:rPr>
              <w:t>68.7%</w:t>
            </w:r>
          </w:p>
        </w:tc>
        <w:tc>
          <w:tcPr>
            <w:tcW w:w="1220" w:type="dxa"/>
            <w:tcBorders>
              <w:top w:val="nil"/>
              <w:left w:val="nil"/>
              <w:bottom w:val="single" w:sz="8" w:space="0" w:color="auto"/>
              <w:right w:val="single" w:sz="4" w:space="0" w:color="auto"/>
            </w:tcBorders>
            <w:shd w:val="clear" w:color="auto" w:fill="auto"/>
            <w:noWrap/>
            <w:vAlign w:val="bottom"/>
            <w:hideMark/>
          </w:tcPr>
          <w:p w:rsidR="00571266" w:rsidRPr="00571266" w:rsidRDefault="00571266" w:rsidP="00571266">
            <w:pPr>
              <w:spacing w:after="0" w:line="240" w:lineRule="auto"/>
              <w:jc w:val="right"/>
              <w:rPr>
                <w:rFonts w:ascii="Arial" w:eastAsia="Times New Roman" w:hAnsi="Arial" w:cs="Arial"/>
                <w:color w:val="000000"/>
                <w:lang w:eastAsia="en-AU"/>
              </w:rPr>
            </w:pPr>
            <w:r w:rsidRPr="00571266">
              <w:rPr>
                <w:rFonts w:ascii="Arial" w:eastAsia="Times New Roman" w:hAnsi="Arial" w:cs="Arial"/>
                <w:color w:val="000000"/>
                <w:lang w:eastAsia="en-AU"/>
              </w:rPr>
              <w:t>76.4%</w:t>
            </w:r>
          </w:p>
        </w:tc>
        <w:tc>
          <w:tcPr>
            <w:tcW w:w="1220" w:type="dxa"/>
            <w:tcBorders>
              <w:top w:val="nil"/>
              <w:left w:val="nil"/>
              <w:bottom w:val="single" w:sz="8" w:space="0" w:color="auto"/>
              <w:right w:val="single" w:sz="4" w:space="0" w:color="auto"/>
            </w:tcBorders>
            <w:shd w:val="clear" w:color="auto" w:fill="auto"/>
            <w:noWrap/>
            <w:vAlign w:val="bottom"/>
            <w:hideMark/>
          </w:tcPr>
          <w:p w:rsidR="00571266" w:rsidRPr="00571266" w:rsidRDefault="00571266" w:rsidP="00571266">
            <w:pPr>
              <w:spacing w:after="0" w:line="240" w:lineRule="auto"/>
              <w:rPr>
                <w:rFonts w:ascii="Arial" w:eastAsia="Times New Roman" w:hAnsi="Arial" w:cs="Arial"/>
                <w:color w:val="000000"/>
                <w:lang w:eastAsia="en-AU"/>
              </w:rPr>
            </w:pPr>
            <w:r w:rsidRPr="00571266">
              <w:rPr>
                <w:rFonts w:ascii="Arial" w:eastAsia="Times New Roman" w:hAnsi="Arial" w:cs="Arial"/>
                <w:color w:val="000000"/>
                <w:lang w:eastAsia="en-AU"/>
              </w:rPr>
              <w:t> </w:t>
            </w:r>
          </w:p>
        </w:tc>
        <w:tc>
          <w:tcPr>
            <w:tcW w:w="1220" w:type="dxa"/>
            <w:tcBorders>
              <w:top w:val="nil"/>
              <w:left w:val="nil"/>
              <w:bottom w:val="single" w:sz="8" w:space="0" w:color="auto"/>
              <w:right w:val="single" w:sz="4" w:space="0" w:color="auto"/>
            </w:tcBorders>
            <w:shd w:val="clear" w:color="auto" w:fill="auto"/>
            <w:noWrap/>
            <w:vAlign w:val="bottom"/>
            <w:hideMark/>
          </w:tcPr>
          <w:p w:rsidR="00571266" w:rsidRPr="00571266" w:rsidRDefault="00571266" w:rsidP="00571266">
            <w:pPr>
              <w:spacing w:after="0" w:line="240" w:lineRule="auto"/>
              <w:rPr>
                <w:rFonts w:ascii="Arial" w:eastAsia="Times New Roman" w:hAnsi="Arial" w:cs="Arial"/>
                <w:color w:val="000000"/>
                <w:lang w:eastAsia="en-AU"/>
              </w:rPr>
            </w:pPr>
            <w:r w:rsidRPr="00571266">
              <w:rPr>
                <w:rFonts w:ascii="Arial" w:eastAsia="Times New Roman" w:hAnsi="Arial" w:cs="Arial"/>
                <w:color w:val="000000"/>
                <w:lang w:eastAsia="en-AU"/>
              </w:rPr>
              <w:t> </w:t>
            </w:r>
          </w:p>
        </w:tc>
        <w:tc>
          <w:tcPr>
            <w:tcW w:w="1220" w:type="dxa"/>
            <w:tcBorders>
              <w:top w:val="nil"/>
              <w:left w:val="nil"/>
              <w:bottom w:val="single" w:sz="8" w:space="0" w:color="auto"/>
              <w:right w:val="single" w:sz="4" w:space="0" w:color="auto"/>
            </w:tcBorders>
            <w:shd w:val="clear" w:color="auto" w:fill="auto"/>
            <w:noWrap/>
            <w:vAlign w:val="bottom"/>
            <w:hideMark/>
          </w:tcPr>
          <w:p w:rsidR="00571266" w:rsidRPr="00571266" w:rsidRDefault="00571266" w:rsidP="00571266">
            <w:pPr>
              <w:spacing w:after="0" w:line="240" w:lineRule="auto"/>
              <w:rPr>
                <w:rFonts w:ascii="Arial" w:eastAsia="Times New Roman" w:hAnsi="Arial" w:cs="Arial"/>
                <w:color w:val="000000"/>
                <w:lang w:eastAsia="en-AU"/>
              </w:rPr>
            </w:pPr>
            <w:r w:rsidRPr="00571266">
              <w:rPr>
                <w:rFonts w:ascii="Arial" w:eastAsia="Times New Roman" w:hAnsi="Arial" w:cs="Arial"/>
                <w:color w:val="000000"/>
                <w:lang w:eastAsia="en-AU"/>
              </w:rPr>
              <w:t> </w:t>
            </w:r>
          </w:p>
        </w:tc>
        <w:tc>
          <w:tcPr>
            <w:tcW w:w="1220" w:type="dxa"/>
            <w:tcBorders>
              <w:top w:val="nil"/>
              <w:left w:val="nil"/>
              <w:bottom w:val="single" w:sz="8" w:space="0" w:color="auto"/>
              <w:right w:val="single" w:sz="8" w:space="0" w:color="auto"/>
            </w:tcBorders>
            <w:shd w:val="clear" w:color="auto" w:fill="auto"/>
            <w:noWrap/>
            <w:vAlign w:val="bottom"/>
            <w:hideMark/>
          </w:tcPr>
          <w:p w:rsidR="00571266" w:rsidRPr="00571266" w:rsidRDefault="00571266" w:rsidP="00571266">
            <w:pPr>
              <w:spacing w:after="0" w:line="240" w:lineRule="auto"/>
              <w:rPr>
                <w:rFonts w:ascii="Arial" w:eastAsia="Times New Roman" w:hAnsi="Arial" w:cs="Arial"/>
                <w:color w:val="000000"/>
                <w:lang w:eastAsia="en-AU"/>
              </w:rPr>
            </w:pPr>
            <w:r w:rsidRPr="00571266">
              <w:rPr>
                <w:rFonts w:ascii="Arial" w:eastAsia="Times New Roman" w:hAnsi="Arial" w:cs="Arial"/>
                <w:color w:val="000000"/>
                <w:lang w:eastAsia="en-AU"/>
              </w:rPr>
              <w:t> </w:t>
            </w:r>
          </w:p>
        </w:tc>
      </w:tr>
    </w:tbl>
    <w:p w:rsidR="00571266" w:rsidRDefault="00571266" w:rsidP="009248F8"/>
    <w:p w:rsidR="00571266" w:rsidRPr="00571266" w:rsidRDefault="0080201D" w:rsidP="00571266">
      <w:r>
        <w:t>Footnote 1</w:t>
      </w:r>
      <w:r w:rsidR="00571266">
        <w:t>:</w:t>
      </w:r>
      <w:r w:rsidR="00571266" w:rsidRPr="00571266">
        <w:t xml:space="preserve"> Percentage of respondents who would like their child to: a) be more involved in community activities (P0toSS); b) have more opportunity to be involved in activities with other children (PSto14).</w:t>
      </w:r>
    </w:p>
    <w:p w:rsidR="00571266" w:rsidRDefault="00571266" w:rsidP="00571266">
      <w:r>
        <w:t>Footnote</w:t>
      </w:r>
      <w:r w:rsidR="009D751A">
        <w:t xml:space="preserve"> </w:t>
      </w:r>
      <w:r>
        <w:t xml:space="preserve">2: </w:t>
      </w:r>
      <w:r w:rsidRPr="00571266">
        <w:t xml:space="preserve"> For those in the Scheme for five years, only baseline and review 5 percentages are shown, since the numbers are too small to show percentages at other review time points.</w:t>
      </w:r>
    </w:p>
    <w:p w:rsidR="009D751A" w:rsidRDefault="009D751A" w:rsidP="009D751A">
      <w:pPr>
        <w:pStyle w:val="Heading2"/>
      </w:pPr>
      <w:bookmarkStart w:id="41" w:name="_Toc121151418"/>
      <w:r>
        <w:t>Slide 36: Participants aged 0 to 14</w:t>
      </w:r>
      <w:bookmarkEnd w:id="41"/>
    </w:p>
    <w:p w:rsidR="009D751A" w:rsidRDefault="009D751A" w:rsidP="009D751A">
      <w:pPr>
        <w:pStyle w:val="Heading5"/>
      </w:pPr>
      <w:r>
        <w:t>Social, community and civic participation</w:t>
      </w:r>
    </w:p>
    <w:p w:rsidR="00F42969" w:rsidRDefault="009D751A" w:rsidP="00571266">
      <w:r w:rsidRPr="009D751A">
        <w:rPr>
          <w:rFonts w:asciiTheme="majorHAnsi" w:eastAsiaTheme="majorEastAsia" w:hAnsiTheme="majorHAnsi" w:cstheme="majorBidi"/>
          <w:color w:val="2E74B5" w:themeColor="accent1" w:themeShade="BF"/>
        </w:rPr>
        <w:t>Concerns about involvement in activities with other children</w:t>
      </w:r>
    </w:p>
    <w:p w:rsidR="009D751A" w:rsidRPr="009D751A" w:rsidRDefault="009D751A" w:rsidP="009D751A">
      <w:pPr>
        <w:pStyle w:val="Heading5"/>
        <w:rPr>
          <w:i/>
        </w:rPr>
      </w:pPr>
      <w:r w:rsidRPr="009D751A">
        <w:rPr>
          <w:i/>
        </w:rPr>
        <w:t xml:space="preserve">Respondents who see their </w:t>
      </w:r>
      <w:r>
        <w:rPr>
          <w:i/>
        </w:rPr>
        <w:t>child’s disability as a barrier (</w:t>
      </w:r>
      <w:r w:rsidR="0080201D">
        <w:rPr>
          <w:i/>
        </w:rPr>
        <w:t>Footnote 1</w:t>
      </w:r>
      <w:r>
        <w:rPr>
          <w:i/>
        </w:rPr>
        <w:t>)</w:t>
      </w:r>
    </w:p>
    <w:p w:rsidR="009D751A" w:rsidRDefault="009D751A" w:rsidP="009D751A">
      <w:r>
        <w:t>The percentage who say that their child’s disability is a barrier to greater involvement in activities with other children has increased for all five cohorts since baseline, with greater increases for children who have been in the Scheme longer. For the C1 to C5 cohorts, there have been increases of 2.8, 4.4, 5.2, 6.6 and 9.0 percentage points, respectively.</w:t>
      </w:r>
    </w:p>
    <w:p w:rsidR="009D751A" w:rsidRDefault="009D751A" w:rsidP="009D751A">
      <w:r>
        <w:t>Nevertheless, the strongest increases are generally in the first two years. Further, there has been a stabilisation over the latest year for those in the Scheme four or five years.</w:t>
      </w:r>
    </w:p>
    <w:p w:rsidR="009D751A" w:rsidRDefault="009D751A" w:rsidP="009D751A">
      <w:r>
        <w:t>Time since first in PSto14:</w:t>
      </w:r>
    </w:p>
    <w:tbl>
      <w:tblPr>
        <w:tblW w:w="8300" w:type="dxa"/>
        <w:tblLook w:val="04A0" w:firstRow="1" w:lastRow="0" w:firstColumn="1" w:lastColumn="0" w:noHBand="0" w:noVBand="1"/>
      </w:tblPr>
      <w:tblGrid>
        <w:gridCol w:w="1660"/>
        <w:gridCol w:w="1660"/>
        <w:gridCol w:w="1660"/>
        <w:gridCol w:w="1660"/>
        <w:gridCol w:w="1660"/>
      </w:tblGrid>
      <w:tr w:rsidR="009D751A" w:rsidRPr="009D751A" w:rsidTr="009D751A">
        <w:trPr>
          <w:trHeight w:val="278"/>
        </w:trPr>
        <w:tc>
          <w:tcPr>
            <w:tcW w:w="1660" w:type="dxa"/>
            <w:tcBorders>
              <w:top w:val="single" w:sz="8" w:space="0" w:color="auto"/>
              <w:left w:val="single" w:sz="8" w:space="0" w:color="auto"/>
              <w:bottom w:val="single" w:sz="8" w:space="0" w:color="auto"/>
              <w:right w:val="nil"/>
            </w:tcBorders>
            <w:shd w:val="clear" w:color="auto" w:fill="auto"/>
            <w:noWrap/>
            <w:vAlign w:val="bottom"/>
            <w:hideMark/>
          </w:tcPr>
          <w:p w:rsidR="009D751A" w:rsidRPr="009D751A" w:rsidRDefault="006F2D9E" w:rsidP="006F2D9E">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Cohort</w:t>
            </w:r>
          </w:p>
        </w:tc>
        <w:tc>
          <w:tcPr>
            <w:tcW w:w="16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D751A" w:rsidRPr="009D751A" w:rsidRDefault="006F2D9E" w:rsidP="009D751A">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Time point</w:t>
            </w:r>
            <w:r w:rsidR="009D751A" w:rsidRPr="009D751A">
              <w:rPr>
                <w:rFonts w:ascii="Arial" w:eastAsia="Times New Roman" w:hAnsi="Arial" w:cs="Arial"/>
                <w:color w:val="000000"/>
                <w:lang w:eastAsia="en-AU"/>
              </w:rPr>
              <w:t> </w:t>
            </w:r>
          </w:p>
        </w:tc>
        <w:tc>
          <w:tcPr>
            <w:tcW w:w="1660" w:type="dxa"/>
            <w:tcBorders>
              <w:top w:val="single" w:sz="8" w:space="0" w:color="auto"/>
              <w:left w:val="nil"/>
              <w:bottom w:val="single" w:sz="8" w:space="0" w:color="auto"/>
              <w:right w:val="nil"/>
            </w:tcBorders>
            <w:shd w:val="clear" w:color="auto" w:fill="auto"/>
            <w:noWrap/>
            <w:vAlign w:val="bottom"/>
            <w:hideMark/>
          </w:tcPr>
          <w:p w:rsidR="009D751A" w:rsidRPr="009D751A" w:rsidRDefault="009D751A"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All</w:t>
            </w:r>
          </w:p>
        </w:tc>
        <w:tc>
          <w:tcPr>
            <w:tcW w:w="16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D751A" w:rsidRPr="009D751A" w:rsidRDefault="009D751A"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0-S/S-14</w:t>
            </w:r>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rsidR="009D751A" w:rsidRPr="009D751A" w:rsidRDefault="009D751A"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S-14</w:t>
            </w:r>
          </w:p>
        </w:tc>
      </w:tr>
      <w:tr w:rsidR="009D751A" w:rsidRPr="009D751A" w:rsidTr="009D751A">
        <w:trPr>
          <w:trHeight w:val="270"/>
        </w:trPr>
        <w:tc>
          <w:tcPr>
            <w:tcW w:w="1660" w:type="dxa"/>
            <w:tcBorders>
              <w:top w:val="nil"/>
              <w:left w:val="single" w:sz="8" w:space="0" w:color="auto"/>
              <w:bottom w:val="single" w:sz="8" w:space="0" w:color="000000"/>
              <w:right w:val="single" w:sz="8" w:space="0" w:color="auto"/>
            </w:tcBorders>
            <w:shd w:val="clear" w:color="000000" w:fill="D3C5D7"/>
            <w:noWrap/>
            <w:vAlign w:val="center"/>
            <w:hideMark/>
          </w:tcPr>
          <w:p w:rsidR="009D751A" w:rsidRPr="009D751A" w:rsidRDefault="009D751A" w:rsidP="006F2D9E">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5 Years</w:t>
            </w:r>
          </w:p>
        </w:tc>
        <w:tc>
          <w:tcPr>
            <w:tcW w:w="1660" w:type="dxa"/>
            <w:tcBorders>
              <w:top w:val="nil"/>
              <w:left w:val="nil"/>
              <w:bottom w:val="single" w:sz="4" w:space="0" w:color="auto"/>
              <w:right w:val="single" w:sz="8" w:space="0" w:color="auto"/>
            </w:tcBorders>
            <w:shd w:val="clear" w:color="000000" w:fill="D3C5D7"/>
            <w:noWrap/>
            <w:vAlign w:val="bottom"/>
            <w:hideMark/>
          </w:tcPr>
          <w:p w:rsidR="009D751A" w:rsidRPr="009D751A" w:rsidRDefault="009D751A"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B</w:t>
            </w:r>
            <w:r w:rsidR="00E86C1D">
              <w:rPr>
                <w:rFonts w:ascii="Arial" w:eastAsia="Times New Roman" w:hAnsi="Arial" w:cs="Arial"/>
                <w:color w:val="000000"/>
                <w:lang w:eastAsia="en-AU"/>
              </w:rPr>
              <w:t>aseline</w:t>
            </w:r>
          </w:p>
        </w:tc>
        <w:tc>
          <w:tcPr>
            <w:tcW w:w="1660" w:type="dxa"/>
            <w:tcBorders>
              <w:top w:val="nil"/>
              <w:left w:val="nil"/>
              <w:bottom w:val="single" w:sz="4" w:space="0" w:color="auto"/>
              <w:right w:val="nil"/>
            </w:tcBorders>
            <w:shd w:val="clear" w:color="000000" w:fill="D3C5D7"/>
            <w:noWrap/>
            <w:vAlign w:val="bottom"/>
            <w:hideMark/>
          </w:tcPr>
          <w:p w:rsidR="009D751A" w:rsidRPr="009D751A" w:rsidRDefault="009D751A"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85.7%</w:t>
            </w:r>
          </w:p>
        </w:tc>
        <w:tc>
          <w:tcPr>
            <w:tcW w:w="1660" w:type="dxa"/>
            <w:tcBorders>
              <w:top w:val="nil"/>
              <w:left w:val="single" w:sz="8" w:space="0" w:color="auto"/>
              <w:bottom w:val="single" w:sz="4" w:space="0" w:color="auto"/>
              <w:right w:val="single" w:sz="8" w:space="0" w:color="auto"/>
            </w:tcBorders>
            <w:shd w:val="clear" w:color="000000" w:fill="D3C5D7"/>
            <w:noWrap/>
            <w:vAlign w:val="bottom"/>
            <w:hideMark/>
          </w:tcPr>
          <w:p w:rsidR="009D751A" w:rsidRPr="009D751A" w:rsidRDefault="009D751A"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 </w:t>
            </w:r>
          </w:p>
        </w:tc>
        <w:tc>
          <w:tcPr>
            <w:tcW w:w="1660" w:type="dxa"/>
            <w:tcBorders>
              <w:top w:val="nil"/>
              <w:left w:val="nil"/>
              <w:bottom w:val="single" w:sz="4" w:space="0" w:color="auto"/>
              <w:right w:val="single" w:sz="8" w:space="0" w:color="auto"/>
            </w:tcBorders>
            <w:shd w:val="clear" w:color="000000" w:fill="D3C5D7"/>
            <w:noWrap/>
            <w:vAlign w:val="bottom"/>
            <w:hideMark/>
          </w:tcPr>
          <w:p w:rsidR="009D751A" w:rsidRPr="009D751A" w:rsidRDefault="009D751A"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85.6%</w:t>
            </w:r>
          </w:p>
        </w:tc>
      </w:tr>
      <w:tr w:rsidR="009D751A" w:rsidRPr="009D751A" w:rsidTr="006F2D9E">
        <w:trPr>
          <w:trHeight w:val="270"/>
        </w:trPr>
        <w:tc>
          <w:tcPr>
            <w:tcW w:w="1660" w:type="dxa"/>
            <w:tcBorders>
              <w:top w:val="nil"/>
              <w:left w:val="single" w:sz="8" w:space="0" w:color="auto"/>
              <w:bottom w:val="single" w:sz="8" w:space="0" w:color="000000"/>
              <w:right w:val="single" w:sz="8" w:space="0" w:color="auto"/>
            </w:tcBorders>
            <w:shd w:val="clear" w:color="000000" w:fill="D3C5D7"/>
            <w:vAlign w:val="center"/>
            <w:hideMark/>
          </w:tcPr>
          <w:p w:rsidR="009D751A" w:rsidRPr="009D751A" w:rsidRDefault="006F2D9E" w:rsidP="006F2D9E">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5 Years</w:t>
            </w:r>
          </w:p>
        </w:tc>
        <w:tc>
          <w:tcPr>
            <w:tcW w:w="1660" w:type="dxa"/>
            <w:tcBorders>
              <w:top w:val="nil"/>
              <w:left w:val="nil"/>
              <w:bottom w:val="single" w:sz="4" w:space="0" w:color="auto"/>
              <w:right w:val="single" w:sz="8" w:space="0" w:color="auto"/>
            </w:tcBorders>
            <w:shd w:val="clear" w:color="000000" w:fill="D3C5D7"/>
            <w:noWrap/>
            <w:vAlign w:val="bottom"/>
            <w:hideMark/>
          </w:tcPr>
          <w:p w:rsidR="009D751A" w:rsidRPr="009D751A" w:rsidRDefault="00E86C1D" w:rsidP="009D751A">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Review 1</w:t>
            </w:r>
          </w:p>
        </w:tc>
        <w:tc>
          <w:tcPr>
            <w:tcW w:w="1660" w:type="dxa"/>
            <w:tcBorders>
              <w:top w:val="nil"/>
              <w:left w:val="nil"/>
              <w:bottom w:val="single" w:sz="4" w:space="0" w:color="auto"/>
              <w:right w:val="nil"/>
            </w:tcBorders>
            <w:shd w:val="clear" w:color="000000" w:fill="D3C5D7"/>
            <w:noWrap/>
            <w:vAlign w:val="bottom"/>
            <w:hideMark/>
          </w:tcPr>
          <w:p w:rsidR="009D751A" w:rsidRPr="009D751A" w:rsidRDefault="009D751A"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90.5%</w:t>
            </w:r>
          </w:p>
        </w:tc>
        <w:tc>
          <w:tcPr>
            <w:tcW w:w="1660" w:type="dxa"/>
            <w:tcBorders>
              <w:top w:val="nil"/>
              <w:left w:val="single" w:sz="8" w:space="0" w:color="auto"/>
              <w:bottom w:val="single" w:sz="4" w:space="0" w:color="auto"/>
              <w:right w:val="single" w:sz="8" w:space="0" w:color="auto"/>
            </w:tcBorders>
            <w:shd w:val="clear" w:color="000000" w:fill="D3C5D7"/>
            <w:noWrap/>
            <w:vAlign w:val="bottom"/>
            <w:hideMark/>
          </w:tcPr>
          <w:p w:rsidR="009D751A" w:rsidRPr="009D751A" w:rsidRDefault="009D751A"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 </w:t>
            </w:r>
          </w:p>
        </w:tc>
        <w:tc>
          <w:tcPr>
            <w:tcW w:w="1660" w:type="dxa"/>
            <w:tcBorders>
              <w:top w:val="nil"/>
              <w:left w:val="nil"/>
              <w:bottom w:val="single" w:sz="4" w:space="0" w:color="auto"/>
              <w:right w:val="single" w:sz="8" w:space="0" w:color="auto"/>
            </w:tcBorders>
            <w:shd w:val="clear" w:color="000000" w:fill="D3C5D7"/>
            <w:noWrap/>
            <w:vAlign w:val="bottom"/>
            <w:hideMark/>
          </w:tcPr>
          <w:p w:rsidR="009D751A" w:rsidRPr="009D751A" w:rsidRDefault="009D751A"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90.5%</w:t>
            </w:r>
          </w:p>
        </w:tc>
      </w:tr>
      <w:tr w:rsidR="009D751A" w:rsidRPr="009D751A" w:rsidTr="006F2D9E">
        <w:trPr>
          <w:trHeight w:val="270"/>
        </w:trPr>
        <w:tc>
          <w:tcPr>
            <w:tcW w:w="1660" w:type="dxa"/>
            <w:tcBorders>
              <w:top w:val="nil"/>
              <w:left w:val="single" w:sz="8" w:space="0" w:color="auto"/>
              <w:bottom w:val="single" w:sz="8" w:space="0" w:color="000000"/>
              <w:right w:val="single" w:sz="8" w:space="0" w:color="auto"/>
            </w:tcBorders>
            <w:shd w:val="clear" w:color="000000" w:fill="D3C5D7"/>
            <w:vAlign w:val="center"/>
            <w:hideMark/>
          </w:tcPr>
          <w:p w:rsidR="009D751A" w:rsidRPr="009D751A" w:rsidRDefault="006F2D9E" w:rsidP="006F2D9E">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5 Years</w:t>
            </w:r>
          </w:p>
        </w:tc>
        <w:tc>
          <w:tcPr>
            <w:tcW w:w="1660" w:type="dxa"/>
            <w:tcBorders>
              <w:top w:val="nil"/>
              <w:left w:val="nil"/>
              <w:bottom w:val="single" w:sz="4" w:space="0" w:color="auto"/>
              <w:right w:val="single" w:sz="8" w:space="0" w:color="auto"/>
            </w:tcBorders>
            <w:shd w:val="clear" w:color="000000" w:fill="D3C5D7"/>
            <w:noWrap/>
            <w:vAlign w:val="bottom"/>
            <w:hideMark/>
          </w:tcPr>
          <w:p w:rsidR="009D751A" w:rsidRPr="009D751A" w:rsidRDefault="00E86C1D" w:rsidP="009D751A">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Review 2</w:t>
            </w:r>
          </w:p>
        </w:tc>
        <w:tc>
          <w:tcPr>
            <w:tcW w:w="1660" w:type="dxa"/>
            <w:tcBorders>
              <w:top w:val="nil"/>
              <w:left w:val="nil"/>
              <w:bottom w:val="single" w:sz="4" w:space="0" w:color="auto"/>
              <w:right w:val="nil"/>
            </w:tcBorders>
            <w:shd w:val="clear" w:color="000000" w:fill="D3C5D7"/>
            <w:noWrap/>
            <w:vAlign w:val="bottom"/>
            <w:hideMark/>
          </w:tcPr>
          <w:p w:rsidR="009D751A" w:rsidRPr="009D751A" w:rsidRDefault="009D751A"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93.2%</w:t>
            </w:r>
          </w:p>
        </w:tc>
        <w:tc>
          <w:tcPr>
            <w:tcW w:w="1660" w:type="dxa"/>
            <w:tcBorders>
              <w:top w:val="nil"/>
              <w:left w:val="single" w:sz="8" w:space="0" w:color="auto"/>
              <w:bottom w:val="single" w:sz="4" w:space="0" w:color="auto"/>
              <w:right w:val="single" w:sz="8" w:space="0" w:color="auto"/>
            </w:tcBorders>
            <w:shd w:val="clear" w:color="000000" w:fill="D3C5D7"/>
            <w:noWrap/>
            <w:vAlign w:val="bottom"/>
            <w:hideMark/>
          </w:tcPr>
          <w:p w:rsidR="009D751A" w:rsidRPr="009D751A" w:rsidRDefault="009D751A"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 </w:t>
            </w:r>
          </w:p>
        </w:tc>
        <w:tc>
          <w:tcPr>
            <w:tcW w:w="1660" w:type="dxa"/>
            <w:tcBorders>
              <w:top w:val="nil"/>
              <w:left w:val="nil"/>
              <w:bottom w:val="single" w:sz="4" w:space="0" w:color="auto"/>
              <w:right w:val="single" w:sz="8" w:space="0" w:color="auto"/>
            </w:tcBorders>
            <w:shd w:val="clear" w:color="000000" w:fill="D3C5D7"/>
            <w:noWrap/>
            <w:vAlign w:val="bottom"/>
            <w:hideMark/>
          </w:tcPr>
          <w:p w:rsidR="009D751A" w:rsidRPr="009D751A" w:rsidRDefault="009D751A"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93.2%</w:t>
            </w:r>
          </w:p>
        </w:tc>
      </w:tr>
      <w:tr w:rsidR="009D751A" w:rsidRPr="009D751A" w:rsidTr="006F2D9E">
        <w:trPr>
          <w:trHeight w:val="270"/>
        </w:trPr>
        <w:tc>
          <w:tcPr>
            <w:tcW w:w="1660" w:type="dxa"/>
            <w:tcBorders>
              <w:top w:val="nil"/>
              <w:left w:val="single" w:sz="8" w:space="0" w:color="auto"/>
              <w:bottom w:val="single" w:sz="8" w:space="0" w:color="000000"/>
              <w:right w:val="single" w:sz="8" w:space="0" w:color="auto"/>
            </w:tcBorders>
            <w:shd w:val="clear" w:color="000000" w:fill="D3C5D7"/>
            <w:vAlign w:val="center"/>
            <w:hideMark/>
          </w:tcPr>
          <w:p w:rsidR="009D751A" w:rsidRPr="009D751A" w:rsidRDefault="006F2D9E" w:rsidP="006F2D9E">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5 Years</w:t>
            </w:r>
          </w:p>
        </w:tc>
        <w:tc>
          <w:tcPr>
            <w:tcW w:w="1660" w:type="dxa"/>
            <w:tcBorders>
              <w:top w:val="nil"/>
              <w:left w:val="nil"/>
              <w:bottom w:val="single" w:sz="4" w:space="0" w:color="auto"/>
              <w:right w:val="single" w:sz="8" w:space="0" w:color="auto"/>
            </w:tcBorders>
            <w:shd w:val="clear" w:color="000000" w:fill="D3C5D7"/>
            <w:noWrap/>
            <w:vAlign w:val="bottom"/>
            <w:hideMark/>
          </w:tcPr>
          <w:p w:rsidR="009D751A" w:rsidRPr="009D751A" w:rsidRDefault="00E86C1D" w:rsidP="009D751A">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Review 3</w:t>
            </w:r>
          </w:p>
        </w:tc>
        <w:tc>
          <w:tcPr>
            <w:tcW w:w="1660" w:type="dxa"/>
            <w:tcBorders>
              <w:top w:val="nil"/>
              <w:left w:val="nil"/>
              <w:bottom w:val="single" w:sz="4" w:space="0" w:color="auto"/>
              <w:right w:val="nil"/>
            </w:tcBorders>
            <w:shd w:val="clear" w:color="000000" w:fill="D3C5D7"/>
            <w:noWrap/>
            <w:vAlign w:val="bottom"/>
            <w:hideMark/>
          </w:tcPr>
          <w:p w:rsidR="009D751A" w:rsidRPr="009D751A" w:rsidRDefault="009D751A"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93.7%</w:t>
            </w:r>
          </w:p>
        </w:tc>
        <w:tc>
          <w:tcPr>
            <w:tcW w:w="1660" w:type="dxa"/>
            <w:tcBorders>
              <w:top w:val="nil"/>
              <w:left w:val="single" w:sz="8" w:space="0" w:color="auto"/>
              <w:bottom w:val="single" w:sz="4" w:space="0" w:color="auto"/>
              <w:right w:val="single" w:sz="8" w:space="0" w:color="auto"/>
            </w:tcBorders>
            <w:shd w:val="clear" w:color="000000" w:fill="D3C5D7"/>
            <w:noWrap/>
            <w:vAlign w:val="bottom"/>
            <w:hideMark/>
          </w:tcPr>
          <w:p w:rsidR="009D751A" w:rsidRPr="009D751A" w:rsidRDefault="009D751A"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 </w:t>
            </w:r>
          </w:p>
        </w:tc>
        <w:tc>
          <w:tcPr>
            <w:tcW w:w="1660" w:type="dxa"/>
            <w:tcBorders>
              <w:top w:val="nil"/>
              <w:left w:val="nil"/>
              <w:bottom w:val="single" w:sz="4" w:space="0" w:color="auto"/>
              <w:right w:val="single" w:sz="8" w:space="0" w:color="auto"/>
            </w:tcBorders>
            <w:shd w:val="clear" w:color="000000" w:fill="D3C5D7"/>
            <w:noWrap/>
            <w:vAlign w:val="bottom"/>
            <w:hideMark/>
          </w:tcPr>
          <w:p w:rsidR="009D751A" w:rsidRPr="009D751A" w:rsidRDefault="009D751A"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93.7%</w:t>
            </w:r>
          </w:p>
        </w:tc>
      </w:tr>
      <w:tr w:rsidR="009D751A" w:rsidRPr="009D751A" w:rsidTr="006F2D9E">
        <w:trPr>
          <w:trHeight w:val="270"/>
        </w:trPr>
        <w:tc>
          <w:tcPr>
            <w:tcW w:w="1660" w:type="dxa"/>
            <w:tcBorders>
              <w:top w:val="nil"/>
              <w:left w:val="single" w:sz="8" w:space="0" w:color="auto"/>
              <w:bottom w:val="single" w:sz="8" w:space="0" w:color="000000"/>
              <w:right w:val="single" w:sz="8" w:space="0" w:color="auto"/>
            </w:tcBorders>
            <w:shd w:val="clear" w:color="000000" w:fill="D3C5D7"/>
            <w:vAlign w:val="center"/>
            <w:hideMark/>
          </w:tcPr>
          <w:p w:rsidR="009D751A" w:rsidRPr="009D751A" w:rsidRDefault="006F2D9E" w:rsidP="006F2D9E">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5 Years</w:t>
            </w:r>
          </w:p>
        </w:tc>
        <w:tc>
          <w:tcPr>
            <w:tcW w:w="1660" w:type="dxa"/>
            <w:tcBorders>
              <w:top w:val="nil"/>
              <w:left w:val="nil"/>
              <w:bottom w:val="single" w:sz="4" w:space="0" w:color="auto"/>
              <w:right w:val="single" w:sz="8" w:space="0" w:color="auto"/>
            </w:tcBorders>
            <w:shd w:val="clear" w:color="000000" w:fill="D3C5D7"/>
            <w:noWrap/>
            <w:vAlign w:val="bottom"/>
            <w:hideMark/>
          </w:tcPr>
          <w:p w:rsidR="009D751A" w:rsidRPr="009D751A" w:rsidRDefault="00E86C1D" w:rsidP="009D751A">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Review 4</w:t>
            </w:r>
          </w:p>
        </w:tc>
        <w:tc>
          <w:tcPr>
            <w:tcW w:w="1660" w:type="dxa"/>
            <w:tcBorders>
              <w:top w:val="nil"/>
              <w:left w:val="nil"/>
              <w:bottom w:val="single" w:sz="4" w:space="0" w:color="auto"/>
              <w:right w:val="nil"/>
            </w:tcBorders>
            <w:shd w:val="clear" w:color="000000" w:fill="D3C5D7"/>
            <w:noWrap/>
            <w:vAlign w:val="bottom"/>
            <w:hideMark/>
          </w:tcPr>
          <w:p w:rsidR="009D751A" w:rsidRPr="009D751A" w:rsidRDefault="009D751A"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95.3%</w:t>
            </w:r>
          </w:p>
        </w:tc>
        <w:tc>
          <w:tcPr>
            <w:tcW w:w="1660" w:type="dxa"/>
            <w:tcBorders>
              <w:top w:val="nil"/>
              <w:left w:val="single" w:sz="8" w:space="0" w:color="auto"/>
              <w:bottom w:val="single" w:sz="4" w:space="0" w:color="auto"/>
              <w:right w:val="single" w:sz="8" w:space="0" w:color="auto"/>
            </w:tcBorders>
            <w:shd w:val="clear" w:color="000000" w:fill="D3C5D7"/>
            <w:noWrap/>
            <w:vAlign w:val="bottom"/>
            <w:hideMark/>
          </w:tcPr>
          <w:p w:rsidR="009D751A" w:rsidRPr="009D751A" w:rsidRDefault="009D751A"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 </w:t>
            </w:r>
          </w:p>
        </w:tc>
        <w:tc>
          <w:tcPr>
            <w:tcW w:w="1660" w:type="dxa"/>
            <w:tcBorders>
              <w:top w:val="nil"/>
              <w:left w:val="nil"/>
              <w:bottom w:val="single" w:sz="4" w:space="0" w:color="auto"/>
              <w:right w:val="single" w:sz="8" w:space="0" w:color="auto"/>
            </w:tcBorders>
            <w:shd w:val="clear" w:color="000000" w:fill="D3C5D7"/>
            <w:noWrap/>
            <w:vAlign w:val="bottom"/>
            <w:hideMark/>
          </w:tcPr>
          <w:p w:rsidR="009D751A" w:rsidRPr="009D751A" w:rsidRDefault="009D751A"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95.3%</w:t>
            </w:r>
          </w:p>
        </w:tc>
      </w:tr>
      <w:tr w:rsidR="009D751A" w:rsidRPr="009D751A" w:rsidTr="006F2D9E">
        <w:trPr>
          <w:trHeight w:val="278"/>
        </w:trPr>
        <w:tc>
          <w:tcPr>
            <w:tcW w:w="1660" w:type="dxa"/>
            <w:tcBorders>
              <w:top w:val="nil"/>
              <w:left w:val="single" w:sz="8" w:space="0" w:color="auto"/>
              <w:bottom w:val="single" w:sz="8" w:space="0" w:color="000000"/>
              <w:right w:val="single" w:sz="8" w:space="0" w:color="auto"/>
            </w:tcBorders>
            <w:shd w:val="clear" w:color="000000" w:fill="D3C5D7"/>
            <w:vAlign w:val="center"/>
            <w:hideMark/>
          </w:tcPr>
          <w:p w:rsidR="009D751A" w:rsidRPr="009D751A" w:rsidRDefault="006F2D9E" w:rsidP="006F2D9E">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5 Years</w:t>
            </w:r>
          </w:p>
        </w:tc>
        <w:tc>
          <w:tcPr>
            <w:tcW w:w="1660" w:type="dxa"/>
            <w:tcBorders>
              <w:top w:val="nil"/>
              <w:left w:val="nil"/>
              <w:bottom w:val="single" w:sz="8" w:space="0" w:color="auto"/>
              <w:right w:val="single" w:sz="8" w:space="0" w:color="auto"/>
            </w:tcBorders>
            <w:shd w:val="clear" w:color="000000" w:fill="D3C5D7"/>
            <w:noWrap/>
            <w:vAlign w:val="bottom"/>
            <w:hideMark/>
          </w:tcPr>
          <w:p w:rsidR="009D751A" w:rsidRPr="009D751A" w:rsidRDefault="00E86C1D" w:rsidP="009D751A">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Review 5</w:t>
            </w:r>
          </w:p>
        </w:tc>
        <w:tc>
          <w:tcPr>
            <w:tcW w:w="1660" w:type="dxa"/>
            <w:tcBorders>
              <w:top w:val="nil"/>
              <w:left w:val="nil"/>
              <w:bottom w:val="single" w:sz="8" w:space="0" w:color="auto"/>
              <w:right w:val="nil"/>
            </w:tcBorders>
            <w:shd w:val="clear" w:color="000000" w:fill="D3C5D7"/>
            <w:noWrap/>
            <w:vAlign w:val="bottom"/>
            <w:hideMark/>
          </w:tcPr>
          <w:p w:rsidR="009D751A" w:rsidRPr="009D751A" w:rsidRDefault="009D751A"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94.7%</w:t>
            </w:r>
          </w:p>
        </w:tc>
        <w:tc>
          <w:tcPr>
            <w:tcW w:w="1660" w:type="dxa"/>
            <w:tcBorders>
              <w:top w:val="nil"/>
              <w:left w:val="single" w:sz="8" w:space="0" w:color="auto"/>
              <w:bottom w:val="single" w:sz="8" w:space="0" w:color="auto"/>
              <w:right w:val="single" w:sz="8" w:space="0" w:color="auto"/>
            </w:tcBorders>
            <w:shd w:val="clear" w:color="000000" w:fill="D3C5D7"/>
            <w:noWrap/>
            <w:vAlign w:val="bottom"/>
            <w:hideMark/>
          </w:tcPr>
          <w:p w:rsidR="009D751A" w:rsidRPr="009D751A" w:rsidRDefault="009D751A"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 </w:t>
            </w:r>
          </w:p>
        </w:tc>
        <w:tc>
          <w:tcPr>
            <w:tcW w:w="1660" w:type="dxa"/>
            <w:tcBorders>
              <w:top w:val="nil"/>
              <w:left w:val="nil"/>
              <w:bottom w:val="single" w:sz="8" w:space="0" w:color="auto"/>
              <w:right w:val="single" w:sz="8" w:space="0" w:color="auto"/>
            </w:tcBorders>
            <w:shd w:val="clear" w:color="000000" w:fill="D3C5D7"/>
            <w:noWrap/>
            <w:vAlign w:val="bottom"/>
            <w:hideMark/>
          </w:tcPr>
          <w:p w:rsidR="009D751A" w:rsidRPr="009D751A" w:rsidRDefault="009D751A"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94.7%</w:t>
            </w:r>
          </w:p>
        </w:tc>
      </w:tr>
      <w:tr w:rsidR="006F2D9E" w:rsidRPr="009D751A" w:rsidTr="006F2D9E">
        <w:trPr>
          <w:trHeight w:val="270"/>
        </w:trPr>
        <w:tc>
          <w:tcPr>
            <w:tcW w:w="1660" w:type="dxa"/>
            <w:tcBorders>
              <w:top w:val="nil"/>
              <w:left w:val="single" w:sz="8" w:space="0" w:color="auto"/>
              <w:bottom w:val="single" w:sz="4" w:space="0" w:color="auto"/>
              <w:right w:val="single" w:sz="8" w:space="0" w:color="auto"/>
            </w:tcBorders>
            <w:shd w:val="clear" w:color="000000" w:fill="E3EED3"/>
            <w:noWrap/>
            <w:vAlign w:val="center"/>
            <w:hideMark/>
          </w:tcPr>
          <w:p w:rsidR="006F2D9E" w:rsidRPr="009D751A" w:rsidRDefault="006F2D9E" w:rsidP="006F2D9E">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4 Years</w:t>
            </w:r>
          </w:p>
        </w:tc>
        <w:tc>
          <w:tcPr>
            <w:tcW w:w="1660" w:type="dxa"/>
            <w:tcBorders>
              <w:top w:val="nil"/>
              <w:left w:val="nil"/>
              <w:bottom w:val="single" w:sz="4" w:space="0" w:color="auto"/>
              <w:right w:val="single" w:sz="8" w:space="0" w:color="auto"/>
            </w:tcBorders>
            <w:shd w:val="clear" w:color="000000" w:fill="E3EED3"/>
            <w:noWrap/>
            <w:vAlign w:val="bottom"/>
            <w:hideMark/>
          </w:tcPr>
          <w:p w:rsidR="006F2D9E" w:rsidRPr="009D751A" w:rsidRDefault="006F2D9E"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B</w:t>
            </w:r>
            <w:r>
              <w:rPr>
                <w:rFonts w:ascii="Arial" w:eastAsia="Times New Roman" w:hAnsi="Arial" w:cs="Arial"/>
                <w:color w:val="000000"/>
                <w:lang w:eastAsia="en-AU"/>
              </w:rPr>
              <w:t>aseline</w:t>
            </w:r>
          </w:p>
        </w:tc>
        <w:tc>
          <w:tcPr>
            <w:tcW w:w="1660" w:type="dxa"/>
            <w:tcBorders>
              <w:top w:val="nil"/>
              <w:left w:val="nil"/>
              <w:bottom w:val="single" w:sz="4" w:space="0" w:color="auto"/>
              <w:right w:val="nil"/>
            </w:tcBorders>
            <w:shd w:val="clear" w:color="000000" w:fill="E3EED3"/>
            <w:noWrap/>
            <w:vAlign w:val="bottom"/>
            <w:hideMark/>
          </w:tcPr>
          <w:p w:rsidR="006F2D9E" w:rsidRPr="009D751A" w:rsidRDefault="006F2D9E"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87.8%</w:t>
            </w:r>
          </w:p>
        </w:tc>
        <w:tc>
          <w:tcPr>
            <w:tcW w:w="1660" w:type="dxa"/>
            <w:tcBorders>
              <w:top w:val="nil"/>
              <w:left w:val="single" w:sz="8" w:space="0" w:color="auto"/>
              <w:bottom w:val="single" w:sz="4" w:space="0" w:color="auto"/>
              <w:right w:val="single" w:sz="8" w:space="0" w:color="auto"/>
            </w:tcBorders>
            <w:shd w:val="clear" w:color="000000" w:fill="E3EED3"/>
            <w:noWrap/>
            <w:vAlign w:val="bottom"/>
            <w:hideMark/>
          </w:tcPr>
          <w:p w:rsidR="006F2D9E" w:rsidRPr="009D751A" w:rsidRDefault="006F2D9E"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88.9%</w:t>
            </w:r>
          </w:p>
        </w:tc>
        <w:tc>
          <w:tcPr>
            <w:tcW w:w="1660" w:type="dxa"/>
            <w:tcBorders>
              <w:top w:val="nil"/>
              <w:left w:val="nil"/>
              <w:bottom w:val="single" w:sz="4" w:space="0" w:color="auto"/>
              <w:right w:val="single" w:sz="8" w:space="0" w:color="auto"/>
            </w:tcBorders>
            <w:shd w:val="clear" w:color="000000" w:fill="E3EED3"/>
            <w:noWrap/>
            <w:vAlign w:val="bottom"/>
            <w:hideMark/>
          </w:tcPr>
          <w:p w:rsidR="006F2D9E" w:rsidRPr="009D751A" w:rsidRDefault="006F2D9E"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87.7%</w:t>
            </w:r>
          </w:p>
        </w:tc>
      </w:tr>
      <w:tr w:rsidR="006F2D9E" w:rsidRPr="009D751A" w:rsidTr="006F2D9E">
        <w:trPr>
          <w:trHeight w:val="270"/>
        </w:trPr>
        <w:tc>
          <w:tcPr>
            <w:tcW w:w="1660" w:type="dxa"/>
            <w:tcBorders>
              <w:top w:val="single" w:sz="4" w:space="0" w:color="auto"/>
              <w:left w:val="single" w:sz="4" w:space="0" w:color="auto"/>
              <w:bottom w:val="single" w:sz="4" w:space="0" w:color="auto"/>
              <w:right w:val="single" w:sz="4" w:space="0" w:color="auto"/>
            </w:tcBorders>
            <w:shd w:val="clear" w:color="000000" w:fill="E3EED3"/>
            <w:vAlign w:val="center"/>
            <w:hideMark/>
          </w:tcPr>
          <w:p w:rsidR="006F2D9E" w:rsidRPr="009D751A" w:rsidRDefault="006F2D9E" w:rsidP="006F2D9E">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4 Years</w:t>
            </w:r>
          </w:p>
        </w:tc>
        <w:tc>
          <w:tcPr>
            <w:tcW w:w="1660" w:type="dxa"/>
            <w:tcBorders>
              <w:top w:val="nil"/>
              <w:left w:val="single" w:sz="4" w:space="0" w:color="auto"/>
              <w:bottom w:val="single" w:sz="4" w:space="0" w:color="auto"/>
              <w:right w:val="single" w:sz="8" w:space="0" w:color="auto"/>
            </w:tcBorders>
            <w:shd w:val="clear" w:color="000000" w:fill="E3EED3"/>
            <w:noWrap/>
            <w:vAlign w:val="bottom"/>
            <w:hideMark/>
          </w:tcPr>
          <w:p w:rsidR="006F2D9E" w:rsidRPr="009D751A" w:rsidRDefault="006F2D9E" w:rsidP="009D751A">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Review 1</w:t>
            </w:r>
          </w:p>
        </w:tc>
        <w:tc>
          <w:tcPr>
            <w:tcW w:w="1660" w:type="dxa"/>
            <w:tcBorders>
              <w:top w:val="nil"/>
              <w:left w:val="nil"/>
              <w:bottom w:val="single" w:sz="4" w:space="0" w:color="auto"/>
              <w:right w:val="nil"/>
            </w:tcBorders>
            <w:shd w:val="clear" w:color="000000" w:fill="E3EED3"/>
            <w:noWrap/>
            <w:vAlign w:val="bottom"/>
            <w:hideMark/>
          </w:tcPr>
          <w:p w:rsidR="006F2D9E" w:rsidRPr="009D751A" w:rsidRDefault="006F2D9E"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91.9%</w:t>
            </w:r>
          </w:p>
        </w:tc>
        <w:tc>
          <w:tcPr>
            <w:tcW w:w="1660" w:type="dxa"/>
            <w:tcBorders>
              <w:top w:val="nil"/>
              <w:left w:val="single" w:sz="8" w:space="0" w:color="auto"/>
              <w:bottom w:val="single" w:sz="4" w:space="0" w:color="auto"/>
              <w:right w:val="single" w:sz="8" w:space="0" w:color="auto"/>
            </w:tcBorders>
            <w:shd w:val="clear" w:color="000000" w:fill="E3EED3"/>
            <w:noWrap/>
            <w:vAlign w:val="bottom"/>
            <w:hideMark/>
          </w:tcPr>
          <w:p w:rsidR="006F2D9E" w:rsidRPr="009D751A" w:rsidRDefault="006F2D9E"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92.3%</w:t>
            </w:r>
          </w:p>
        </w:tc>
        <w:tc>
          <w:tcPr>
            <w:tcW w:w="1660" w:type="dxa"/>
            <w:tcBorders>
              <w:top w:val="nil"/>
              <w:left w:val="nil"/>
              <w:bottom w:val="single" w:sz="4" w:space="0" w:color="auto"/>
              <w:right w:val="single" w:sz="8" w:space="0" w:color="auto"/>
            </w:tcBorders>
            <w:shd w:val="clear" w:color="000000" w:fill="E3EED3"/>
            <w:noWrap/>
            <w:vAlign w:val="bottom"/>
            <w:hideMark/>
          </w:tcPr>
          <w:p w:rsidR="006F2D9E" w:rsidRPr="009D751A" w:rsidRDefault="006F2D9E"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91.8%</w:t>
            </w:r>
          </w:p>
        </w:tc>
      </w:tr>
      <w:tr w:rsidR="006F2D9E" w:rsidRPr="009D751A" w:rsidTr="006F2D9E">
        <w:trPr>
          <w:trHeight w:val="270"/>
        </w:trPr>
        <w:tc>
          <w:tcPr>
            <w:tcW w:w="1660" w:type="dxa"/>
            <w:tcBorders>
              <w:top w:val="single" w:sz="4" w:space="0" w:color="auto"/>
              <w:left w:val="single" w:sz="4" w:space="0" w:color="auto"/>
              <w:bottom w:val="single" w:sz="4" w:space="0" w:color="auto"/>
              <w:right w:val="single" w:sz="4" w:space="0" w:color="auto"/>
            </w:tcBorders>
            <w:shd w:val="clear" w:color="000000" w:fill="E3EED3"/>
            <w:vAlign w:val="center"/>
            <w:hideMark/>
          </w:tcPr>
          <w:p w:rsidR="006F2D9E" w:rsidRPr="009D751A" w:rsidRDefault="006F2D9E" w:rsidP="006F2D9E">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4 Years</w:t>
            </w:r>
          </w:p>
        </w:tc>
        <w:tc>
          <w:tcPr>
            <w:tcW w:w="1660" w:type="dxa"/>
            <w:tcBorders>
              <w:top w:val="nil"/>
              <w:left w:val="single" w:sz="4" w:space="0" w:color="auto"/>
              <w:bottom w:val="single" w:sz="4" w:space="0" w:color="auto"/>
              <w:right w:val="single" w:sz="8" w:space="0" w:color="auto"/>
            </w:tcBorders>
            <w:shd w:val="clear" w:color="000000" w:fill="E3EED3"/>
            <w:noWrap/>
            <w:vAlign w:val="bottom"/>
            <w:hideMark/>
          </w:tcPr>
          <w:p w:rsidR="006F2D9E" w:rsidRPr="009D751A" w:rsidRDefault="006F2D9E" w:rsidP="009D751A">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Review 2</w:t>
            </w:r>
          </w:p>
        </w:tc>
        <w:tc>
          <w:tcPr>
            <w:tcW w:w="1660" w:type="dxa"/>
            <w:tcBorders>
              <w:top w:val="nil"/>
              <w:left w:val="nil"/>
              <w:bottom w:val="single" w:sz="4" w:space="0" w:color="auto"/>
              <w:right w:val="nil"/>
            </w:tcBorders>
            <w:shd w:val="clear" w:color="000000" w:fill="E3EED3"/>
            <w:noWrap/>
            <w:vAlign w:val="bottom"/>
            <w:hideMark/>
          </w:tcPr>
          <w:p w:rsidR="006F2D9E" w:rsidRPr="009D751A" w:rsidRDefault="006F2D9E"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93.6%</w:t>
            </w:r>
          </w:p>
        </w:tc>
        <w:tc>
          <w:tcPr>
            <w:tcW w:w="1660" w:type="dxa"/>
            <w:tcBorders>
              <w:top w:val="nil"/>
              <w:left w:val="single" w:sz="8" w:space="0" w:color="auto"/>
              <w:bottom w:val="single" w:sz="4" w:space="0" w:color="auto"/>
              <w:right w:val="single" w:sz="8" w:space="0" w:color="auto"/>
            </w:tcBorders>
            <w:shd w:val="clear" w:color="000000" w:fill="E3EED3"/>
            <w:noWrap/>
            <w:vAlign w:val="bottom"/>
            <w:hideMark/>
          </w:tcPr>
          <w:p w:rsidR="006F2D9E" w:rsidRPr="009D751A" w:rsidRDefault="006F2D9E"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93.1%</w:t>
            </w:r>
          </w:p>
        </w:tc>
        <w:tc>
          <w:tcPr>
            <w:tcW w:w="1660" w:type="dxa"/>
            <w:tcBorders>
              <w:top w:val="nil"/>
              <w:left w:val="nil"/>
              <w:bottom w:val="single" w:sz="4" w:space="0" w:color="auto"/>
              <w:right w:val="single" w:sz="8" w:space="0" w:color="auto"/>
            </w:tcBorders>
            <w:shd w:val="clear" w:color="000000" w:fill="E3EED3"/>
            <w:noWrap/>
            <w:vAlign w:val="bottom"/>
            <w:hideMark/>
          </w:tcPr>
          <w:p w:rsidR="006F2D9E" w:rsidRPr="009D751A" w:rsidRDefault="006F2D9E"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93.6%</w:t>
            </w:r>
          </w:p>
        </w:tc>
      </w:tr>
      <w:tr w:rsidR="006F2D9E" w:rsidRPr="009D751A" w:rsidTr="006F2D9E">
        <w:trPr>
          <w:trHeight w:val="270"/>
        </w:trPr>
        <w:tc>
          <w:tcPr>
            <w:tcW w:w="1660" w:type="dxa"/>
            <w:tcBorders>
              <w:top w:val="single" w:sz="4" w:space="0" w:color="auto"/>
              <w:left w:val="single" w:sz="4" w:space="0" w:color="auto"/>
              <w:bottom w:val="single" w:sz="4" w:space="0" w:color="auto"/>
              <w:right w:val="single" w:sz="4" w:space="0" w:color="auto"/>
            </w:tcBorders>
            <w:shd w:val="clear" w:color="000000" w:fill="E3EED3"/>
            <w:vAlign w:val="center"/>
            <w:hideMark/>
          </w:tcPr>
          <w:p w:rsidR="006F2D9E" w:rsidRPr="009D751A" w:rsidRDefault="006F2D9E" w:rsidP="006F2D9E">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4 Years</w:t>
            </w:r>
          </w:p>
        </w:tc>
        <w:tc>
          <w:tcPr>
            <w:tcW w:w="1660" w:type="dxa"/>
            <w:tcBorders>
              <w:top w:val="nil"/>
              <w:left w:val="single" w:sz="4" w:space="0" w:color="auto"/>
              <w:bottom w:val="single" w:sz="4" w:space="0" w:color="auto"/>
              <w:right w:val="single" w:sz="8" w:space="0" w:color="auto"/>
            </w:tcBorders>
            <w:shd w:val="clear" w:color="000000" w:fill="E3EED3"/>
            <w:noWrap/>
            <w:vAlign w:val="bottom"/>
            <w:hideMark/>
          </w:tcPr>
          <w:p w:rsidR="006F2D9E" w:rsidRPr="009D751A" w:rsidRDefault="006F2D9E" w:rsidP="009D751A">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Review 3</w:t>
            </w:r>
          </w:p>
        </w:tc>
        <w:tc>
          <w:tcPr>
            <w:tcW w:w="1660" w:type="dxa"/>
            <w:tcBorders>
              <w:top w:val="nil"/>
              <w:left w:val="nil"/>
              <w:bottom w:val="single" w:sz="4" w:space="0" w:color="auto"/>
              <w:right w:val="nil"/>
            </w:tcBorders>
            <w:shd w:val="clear" w:color="000000" w:fill="E3EED3"/>
            <w:noWrap/>
            <w:vAlign w:val="bottom"/>
            <w:hideMark/>
          </w:tcPr>
          <w:p w:rsidR="006F2D9E" w:rsidRPr="009D751A" w:rsidRDefault="006F2D9E"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94.3%</w:t>
            </w:r>
          </w:p>
        </w:tc>
        <w:tc>
          <w:tcPr>
            <w:tcW w:w="1660" w:type="dxa"/>
            <w:tcBorders>
              <w:top w:val="nil"/>
              <w:left w:val="single" w:sz="8" w:space="0" w:color="auto"/>
              <w:bottom w:val="single" w:sz="4" w:space="0" w:color="auto"/>
              <w:right w:val="single" w:sz="8" w:space="0" w:color="auto"/>
            </w:tcBorders>
            <w:shd w:val="clear" w:color="000000" w:fill="E3EED3"/>
            <w:noWrap/>
            <w:vAlign w:val="bottom"/>
            <w:hideMark/>
          </w:tcPr>
          <w:p w:rsidR="006F2D9E" w:rsidRPr="009D751A" w:rsidRDefault="006F2D9E"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93.6%</w:t>
            </w:r>
          </w:p>
        </w:tc>
        <w:tc>
          <w:tcPr>
            <w:tcW w:w="1660" w:type="dxa"/>
            <w:tcBorders>
              <w:top w:val="nil"/>
              <w:left w:val="nil"/>
              <w:bottom w:val="single" w:sz="4" w:space="0" w:color="auto"/>
              <w:right w:val="single" w:sz="8" w:space="0" w:color="auto"/>
            </w:tcBorders>
            <w:shd w:val="clear" w:color="000000" w:fill="E3EED3"/>
            <w:noWrap/>
            <w:vAlign w:val="bottom"/>
            <w:hideMark/>
          </w:tcPr>
          <w:p w:rsidR="006F2D9E" w:rsidRPr="009D751A" w:rsidRDefault="006F2D9E"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94.4%</w:t>
            </w:r>
          </w:p>
        </w:tc>
      </w:tr>
      <w:tr w:rsidR="006F2D9E" w:rsidRPr="009D751A" w:rsidTr="006F2D9E">
        <w:trPr>
          <w:trHeight w:val="278"/>
        </w:trPr>
        <w:tc>
          <w:tcPr>
            <w:tcW w:w="1660" w:type="dxa"/>
            <w:tcBorders>
              <w:top w:val="single" w:sz="4" w:space="0" w:color="auto"/>
              <w:left w:val="single" w:sz="8" w:space="0" w:color="auto"/>
              <w:bottom w:val="single" w:sz="8" w:space="0" w:color="000000"/>
              <w:right w:val="single" w:sz="8" w:space="0" w:color="auto"/>
            </w:tcBorders>
            <w:shd w:val="clear" w:color="000000" w:fill="E3EED3"/>
            <w:vAlign w:val="center"/>
            <w:hideMark/>
          </w:tcPr>
          <w:p w:rsidR="006F2D9E" w:rsidRPr="009D751A" w:rsidRDefault="006F2D9E" w:rsidP="006F2D9E">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4 Years</w:t>
            </w:r>
          </w:p>
        </w:tc>
        <w:tc>
          <w:tcPr>
            <w:tcW w:w="1660" w:type="dxa"/>
            <w:tcBorders>
              <w:top w:val="nil"/>
              <w:left w:val="nil"/>
              <w:bottom w:val="single" w:sz="8" w:space="0" w:color="auto"/>
              <w:right w:val="single" w:sz="8" w:space="0" w:color="auto"/>
            </w:tcBorders>
            <w:shd w:val="clear" w:color="000000" w:fill="E3EED3"/>
            <w:noWrap/>
            <w:vAlign w:val="bottom"/>
            <w:hideMark/>
          </w:tcPr>
          <w:p w:rsidR="006F2D9E" w:rsidRPr="009D751A" w:rsidRDefault="006F2D9E" w:rsidP="009D751A">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Review 4</w:t>
            </w:r>
          </w:p>
        </w:tc>
        <w:tc>
          <w:tcPr>
            <w:tcW w:w="1660" w:type="dxa"/>
            <w:tcBorders>
              <w:top w:val="nil"/>
              <w:left w:val="nil"/>
              <w:bottom w:val="single" w:sz="8" w:space="0" w:color="auto"/>
              <w:right w:val="nil"/>
            </w:tcBorders>
            <w:shd w:val="clear" w:color="000000" w:fill="E3EED3"/>
            <w:noWrap/>
            <w:vAlign w:val="bottom"/>
            <w:hideMark/>
          </w:tcPr>
          <w:p w:rsidR="006F2D9E" w:rsidRPr="009D751A" w:rsidRDefault="006F2D9E"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94.4%</w:t>
            </w:r>
          </w:p>
        </w:tc>
        <w:tc>
          <w:tcPr>
            <w:tcW w:w="1660" w:type="dxa"/>
            <w:tcBorders>
              <w:top w:val="nil"/>
              <w:left w:val="single" w:sz="8" w:space="0" w:color="auto"/>
              <w:bottom w:val="single" w:sz="8" w:space="0" w:color="auto"/>
              <w:right w:val="single" w:sz="8" w:space="0" w:color="auto"/>
            </w:tcBorders>
            <w:shd w:val="clear" w:color="000000" w:fill="E3EED3"/>
            <w:noWrap/>
            <w:vAlign w:val="bottom"/>
            <w:hideMark/>
          </w:tcPr>
          <w:p w:rsidR="006F2D9E" w:rsidRPr="009D751A" w:rsidRDefault="006F2D9E"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93.6%</w:t>
            </w:r>
          </w:p>
        </w:tc>
        <w:tc>
          <w:tcPr>
            <w:tcW w:w="1660" w:type="dxa"/>
            <w:tcBorders>
              <w:top w:val="nil"/>
              <w:left w:val="nil"/>
              <w:bottom w:val="single" w:sz="8" w:space="0" w:color="auto"/>
              <w:right w:val="single" w:sz="8" w:space="0" w:color="auto"/>
            </w:tcBorders>
            <w:shd w:val="clear" w:color="000000" w:fill="E3EED3"/>
            <w:noWrap/>
            <w:vAlign w:val="bottom"/>
            <w:hideMark/>
          </w:tcPr>
          <w:p w:rsidR="006F2D9E" w:rsidRPr="009D751A" w:rsidRDefault="006F2D9E"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94.5%</w:t>
            </w:r>
          </w:p>
        </w:tc>
      </w:tr>
      <w:tr w:rsidR="009D751A" w:rsidRPr="009D751A" w:rsidTr="009D751A">
        <w:trPr>
          <w:trHeight w:val="270"/>
        </w:trPr>
        <w:tc>
          <w:tcPr>
            <w:tcW w:w="1660" w:type="dxa"/>
            <w:tcBorders>
              <w:top w:val="nil"/>
              <w:left w:val="single" w:sz="8" w:space="0" w:color="auto"/>
              <w:bottom w:val="single" w:sz="8" w:space="0" w:color="000000"/>
              <w:right w:val="single" w:sz="8" w:space="0" w:color="auto"/>
            </w:tcBorders>
            <w:shd w:val="clear" w:color="000000" w:fill="FFE9CC"/>
            <w:noWrap/>
            <w:vAlign w:val="center"/>
            <w:hideMark/>
          </w:tcPr>
          <w:p w:rsidR="009D751A" w:rsidRPr="009D751A" w:rsidRDefault="009D751A" w:rsidP="006F2D9E">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3 Years</w:t>
            </w:r>
          </w:p>
        </w:tc>
        <w:tc>
          <w:tcPr>
            <w:tcW w:w="1660" w:type="dxa"/>
            <w:tcBorders>
              <w:top w:val="nil"/>
              <w:left w:val="nil"/>
              <w:bottom w:val="single" w:sz="4" w:space="0" w:color="auto"/>
              <w:right w:val="single" w:sz="8" w:space="0" w:color="auto"/>
            </w:tcBorders>
            <w:shd w:val="clear" w:color="000000" w:fill="FFE9CC"/>
            <w:noWrap/>
            <w:vAlign w:val="bottom"/>
            <w:hideMark/>
          </w:tcPr>
          <w:p w:rsidR="009D751A" w:rsidRPr="009D751A" w:rsidRDefault="009D751A"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B</w:t>
            </w:r>
            <w:r w:rsidR="00E86C1D">
              <w:rPr>
                <w:rFonts w:ascii="Arial" w:eastAsia="Times New Roman" w:hAnsi="Arial" w:cs="Arial"/>
                <w:color w:val="000000"/>
                <w:lang w:eastAsia="en-AU"/>
              </w:rPr>
              <w:t>aseline</w:t>
            </w:r>
          </w:p>
        </w:tc>
        <w:tc>
          <w:tcPr>
            <w:tcW w:w="1660" w:type="dxa"/>
            <w:tcBorders>
              <w:top w:val="nil"/>
              <w:left w:val="nil"/>
              <w:bottom w:val="single" w:sz="4" w:space="0" w:color="auto"/>
              <w:right w:val="nil"/>
            </w:tcBorders>
            <w:shd w:val="clear" w:color="000000" w:fill="FFE9CC"/>
            <w:noWrap/>
            <w:vAlign w:val="bottom"/>
            <w:hideMark/>
          </w:tcPr>
          <w:p w:rsidR="009D751A" w:rsidRPr="009D751A" w:rsidRDefault="009D751A"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88.4%</w:t>
            </w:r>
          </w:p>
        </w:tc>
        <w:tc>
          <w:tcPr>
            <w:tcW w:w="1660" w:type="dxa"/>
            <w:tcBorders>
              <w:top w:val="nil"/>
              <w:left w:val="single" w:sz="8" w:space="0" w:color="auto"/>
              <w:bottom w:val="single" w:sz="4" w:space="0" w:color="auto"/>
              <w:right w:val="single" w:sz="8" w:space="0" w:color="auto"/>
            </w:tcBorders>
            <w:shd w:val="clear" w:color="000000" w:fill="FFE9CC"/>
            <w:noWrap/>
            <w:vAlign w:val="bottom"/>
            <w:hideMark/>
          </w:tcPr>
          <w:p w:rsidR="009D751A" w:rsidRPr="009D751A" w:rsidRDefault="009D751A"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88.5%</w:t>
            </w:r>
          </w:p>
        </w:tc>
        <w:tc>
          <w:tcPr>
            <w:tcW w:w="1660" w:type="dxa"/>
            <w:tcBorders>
              <w:top w:val="nil"/>
              <w:left w:val="nil"/>
              <w:bottom w:val="single" w:sz="4" w:space="0" w:color="auto"/>
              <w:right w:val="single" w:sz="8" w:space="0" w:color="auto"/>
            </w:tcBorders>
            <w:shd w:val="clear" w:color="000000" w:fill="FFE9CC"/>
            <w:noWrap/>
            <w:vAlign w:val="bottom"/>
            <w:hideMark/>
          </w:tcPr>
          <w:p w:rsidR="009D751A" w:rsidRPr="009D751A" w:rsidRDefault="009D751A"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88.4%</w:t>
            </w:r>
          </w:p>
        </w:tc>
      </w:tr>
      <w:tr w:rsidR="009D751A" w:rsidRPr="009D751A" w:rsidTr="006F2D9E">
        <w:trPr>
          <w:trHeight w:val="270"/>
        </w:trPr>
        <w:tc>
          <w:tcPr>
            <w:tcW w:w="1660" w:type="dxa"/>
            <w:tcBorders>
              <w:top w:val="nil"/>
              <w:left w:val="single" w:sz="8" w:space="0" w:color="auto"/>
              <w:bottom w:val="single" w:sz="8" w:space="0" w:color="000000"/>
              <w:right w:val="single" w:sz="8" w:space="0" w:color="auto"/>
            </w:tcBorders>
            <w:shd w:val="clear" w:color="000000" w:fill="FFE9CC"/>
            <w:vAlign w:val="center"/>
            <w:hideMark/>
          </w:tcPr>
          <w:p w:rsidR="009D751A" w:rsidRPr="009D751A" w:rsidRDefault="006F2D9E" w:rsidP="006F2D9E">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3 Years</w:t>
            </w:r>
          </w:p>
        </w:tc>
        <w:tc>
          <w:tcPr>
            <w:tcW w:w="1660" w:type="dxa"/>
            <w:tcBorders>
              <w:top w:val="nil"/>
              <w:left w:val="nil"/>
              <w:bottom w:val="single" w:sz="4" w:space="0" w:color="auto"/>
              <w:right w:val="single" w:sz="8" w:space="0" w:color="auto"/>
            </w:tcBorders>
            <w:shd w:val="clear" w:color="000000" w:fill="FFE9CC"/>
            <w:noWrap/>
            <w:vAlign w:val="bottom"/>
            <w:hideMark/>
          </w:tcPr>
          <w:p w:rsidR="009D751A" w:rsidRPr="009D751A" w:rsidRDefault="00E86C1D" w:rsidP="009D751A">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Review 1</w:t>
            </w:r>
          </w:p>
        </w:tc>
        <w:tc>
          <w:tcPr>
            <w:tcW w:w="1660" w:type="dxa"/>
            <w:tcBorders>
              <w:top w:val="nil"/>
              <w:left w:val="nil"/>
              <w:bottom w:val="single" w:sz="4" w:space="0" w:color="auto"/>
              <w:right w:val="nil"/>
            </w:tcBorders>
            <w:shd w:val="clear" w:color="000000" w:fill="FFE9CC"/>
            <w:noWrap/>
            <w:vAlign w:val="bottom"/>
            <w:hideMark/>
          </w:tcPr>
          <w:p w:rsidR="009D751A" w:rsidRPr="009D751A" w:rsidRDefault="009D751A"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91.9%</w:t>
            </w:r>
          </w:p>
        </w:tc>
        <w:tc>
          <w:tcPr>
            <w:tcW w:w="1660" w:type="dxa"/>
            <w:tcBorders>
              <w:top w:val="nil"/>
              <w:left w:val="single" w:sz="8" w:space="0" w:color="auto"/>
              <w:bottom w:val="single" w:sz="4" w:space="0" w:color="auto"/>
              <w:right w:val="single" w:sz="8" w:space="0" w:color="auto"/>
            </w:tcBorders>
            <w:shd w:val="clear" w:color="000000" w:fill="FFE9CC"/>
            <w:noWrap/>
            <w:vAlign w:val="bottom"/>
            <w:hideMark/>
          </w:tcPr>
          <w:p w:rsidR="009D751A" w:rsidRPr="009D751A" w:rsidRDefault="009D751A"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91.5%</w:t>
            </w:r>
          </w:p>
        </w:tc>
        <w:tc>
          <w:tcPr>
            <w:tcW w:w="1660" w:type="dxa"/>
            <w:tcBorders>
              <w:top w:val="nil"/>
              <w:left w:val="nil"/>
              <w:bottom w:val="single" w:sz="4" w:space="0" w:color="auto"/>
              <w:right w:val="single" w:sz="8" w:space="0" w:color="auto"/>
            </w:tcBorders>
            <w:shd w:val="clear" w:color="000000" w:fill="FFE9CC"/>
            <w:noWrap/>
            <w:vAlign w:val="bottom"/>
            <w:hideMark/>
          </w:tcPr>
          <w:p w:rsidR="009D751A" w:rsidRPr="009D751A" w:rsidRDefault="009D751A"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92.0%</w:t>
            </w:r>
          </w:p>
        </w:tc>
      </w:tr>
      <w:tr w:rsidR="009D751A" w:rsidRPr="009D751A" w:rsidTr="006F2D9E">
        <w:trPr>
          <w:trHeight w:val="270"/>
        </w:trPr>
        <w:tc>
          <w:tcPr>
            <w:tcW w:w="1660" w:type="dxa"/>
            <w:tcBorders>
              <w:top w:val="nil"/>
              <w:left w:val="single" w:sz="8" w:space="0" w:color="auto"/>
              <w:bottom w:val="single" w:sz="8" w:space="0" w:color="000000"/>
              <w:right w:val="single" w:sz="8" w:space="0" w:color="auto"/>
            </w:tcBorders>
            <w:shd w:val="clear" w:color="000000" w:fill="FFE9CC"/>
            <w:vAlign w:val="center"/>
            <w:hideMark/>
          </w:tcPr>
          <w:p w:rsidR="009D751A" w:rsidRPr="009D751A" w:rsidRDefault="006F2D9E" w:rsidP="006F2D9E">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3 Years</w:t>
            </w:r>
          </w:p>
        </w:tc>
        <w:tc>
          <w:tcPr>
            <w:tcW w:w="1660" w:type="dxa"/>
            <w:tcBorders>
              <w:top w:val="nil"/>
              <w:left w:val="nil"/>
              <w:bottom w:val="single" w:sz="4" w:space="0" w:color="auto"/>
              <w:right w:val="single" w:sz="8" w:space="0" w:color="auto"/>
            </w:tcBorders>
            <w:shd w:val="clear" w:color="000000" w:fill="FFE9CC"/>
            <w:noWrap/>
            <w:vAlign w:val="bottom"/>
            <w:hideMark/>
          </w:tcPr>
          <w:p w:rsidR="009D751A" w:rsidRPr="009D751A" w:rsidRDefault="00E86C1D" w:rsidP="009D751A">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Review 2</w:t>
            </w:r>
          </w:p>
        </w:tc>
        <w:tc>
          <w:tcPr>
            <w:tcW w:w="1660" w:type="dxa"/>
            <w:tcBorders>
              <w:top w:val="nil"/>
              <w:left w:val="nil"/>
              <w:bottom w:val="single" w:sz="4" w:space="0" w:color="auto"/>
              <w:right w:val="nil"/>
            </w:tcBorders>
            <w:shd w:val="clear" w:color="000000" w:fill="FFE9CC"/>
            <w:noWrap/>
            <w:vAlign w:val="bottom"/>
            <w:hideMark/>
          </w:tcPr>
          <w:p w:rsidR="009D751A" w:rsidRPr="009D751A" w:rsidRDefault="009D751A"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92.9%</w:t>
            </w:r>
          </w:p>
        </w:tc>
        <w:tc>
          <w:tcPr>
            <w:tcW w:w="1660" w:type="dxa"/>
            <w:tcBorders>
              <w:top w:val="nil"/>
              <w:left w:val="single" w:sz="8" w:space="0" w:color="auto"/>
              <w:bottom w:val="single" w:sz="4" w:space="0" w:color="auto"/>
              <w:right w:val="single" w:sz="8" w:space="0" w:color="auto"/>
            </w:tcBorders>
            <w:shd w:val="clear" w:color="000000" w:fill="FFE9CC"/>
            <w:noWrap/>
            <w:vAlign w:val="bottom"/>
            <w:hideMark/>
          </w:tcPr>
          <w:p w:rsidR="009D751A" w:rsidRPr="009D751A" w:rsidRDefault="009D751A"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92.4%</w:t>
            </w:r>
          </w:p>
        </w:tc>
        <w:tc>
          <w:tcPr>
            <w:tcW w:w="1660" w:type="dxa"/>
            <w:tcBorders>
              <w:top w:val="nil"/>
              <w:left w:val="nil"/>
              <w:bottom w:val="single" w:sz="4" w:space="0" w:color="auto"/>
              <w:right w:val="single" w:sz="8" w:space="0" w:color="auto"/>
            </w:tcBorders>
            <w:shd w:val="clear" w:color="000000" w:fill="FFE9CC"/>
            <w:noWrap/>
            <w:vAlign w:val="bottom"/>
            <w:hideMark/>
          </w:tcPr>
          <w:p w:rsidR="009D751A" w:rsidRPr="009D751A" w:rsidRDefault="009D751A"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93.0%</w:t>
            </w:r>
          </w:p>
        </w:tc>
      </w:tr>
      <w:tr w:rsidR="009D751A" w:rsidRPr="009D751A" w:rsidTr="006F2D9E">
        <w:trPr>
          <w:trHeight w:val="278"/>
        </w:trPr>
        <w:tc>
          <w:tcPr>
            <w:tcW w:w="1660" w:type="dxa"/>
            <w:tcBorders>
              <w:top w:val="nil"/>
              <w:left w:val="single" w:sz="8" w:space="0" w:color="auto"/>
              <w:bottom w:val="single" w:sz="8" w:space="0" w:color="000000"/>
              <w:right w:val="single" w:sz="8" w:space="0" w:color="auto"/>
            </w:tcBorders>
            <w:shd w:val="clear" w:color="000000" w:fill="FFE9CC"/>
            <w:vAlign w:val="center"/>
            <w:hideMark/>
          </w:tcPr>
          <w:p w:rsidR="009D751A" w:rsidRPr="009D751A" w:rsidRDefault="006F2D9E" w:rsidP="006F2D9E">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3 Years</w:t>
            </w:r>
          </w:p>
        </w:tc>
        <w:tc>
          <w:tcPr>
            <w:tcW w:w="1660" w:type="dxa"/>
            <w:tcBorders>
              <w:top w:val="nil"/>
              <w:left w:val="nil"/>
              <w:bottom w:val="single" w:sz="8" w:space="0" w:color="auto"/>
              <w:right w:val="single" w:sz="8" w:space="0" w:color="auto"/>
            </w:tcBorders>
            <w:shd w:val="clear" w:color="000000" w:fill="FFE9CC"/>
            <w:noWrap/>
            <w:vAlign w:val="bottom"/>
            <w:hideMark/>
          </w:tcPr>
          <w:p w:rsidR="009D751A" w:rsidRPr="009D751A" w:rsidRDefault="00E86C1D" w:rsidP="009D751A">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Review 3</w:t>
            </w:r>
          </w:p>
        </w:tc>
        <w:tc>
          <w:tcPr>
            <w:tcW w:w="1660" w:type="dxa"/>
            <w:tcBorders>
              <w:top w:val="nil"/>
              <w:left w:val="nil"/>
              <w:bottom w:val="single" w:sz="8" w:space="0" w:color="auto"/>
              <w:right w:val="nil"/>
            </w:tcBorders>
            <w:shd w:val="clear" w:color="000000" w:fill="FFE9CC"/>
            <w:noWrap/>
            <w:vAlign w:val="bottom"/>
            <w:hideMark/>
          </w:tcPr>
          <w:p w:rsidR="009D751A" w:rsidRPr="009D751A" w:rsidRDefault="009D751A"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93.6%</w:t>
            </w:r>
          </w:p>
        </w:tc>
        <w:tc>
          <w:tcPr>
            <w:tcW w:w="1660" w:type="dxa"/>
            <w:tcBorders>
              <w:top w:val="nil"/>
              <w:left w:val="single" w:sz="8" w:space="0" w:color="auto"/>
              <w:bottom w:val="single" w:sz="8" w:space="0" w:color="auto"/>
              <w:right w:val="single" w:sz="8" w:space="0" w:color="auto"/>
            </w:tcBorders>
            <w:shd w:val="clear" w:color="000000" w:fill="FFE9CC"/>
            <w:noWrap/>
            <w:vAlign w:val="bottom"/>
            <w:hideMark/>
          </w:tcPr>
          <w:p w:rsidR="009D751A" w:rsidRPr="009D751A" w:rsidRDefault="009D751A"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93.2%</w:t>
            </w:r>
          </w:p>
        </w:tc>
        <w:tc>
          <w:tcPr>
            <w:tcW w:w="1660" w:type="dxa"/>
            <w:tcBorders>
              <w:top w:val="nil"/>
              <w:left w:val="nil"/>
              <w:bottom w:val="single" w:sz="8" w:space="0" w:color="auto"/>
              <w:right w:val="single" w:sz="8" w:space="0" w:color="auto"/>
            </w:tcBorders>
            <w:shd w:val="clear" w:color="000000" w:fill="FFE9CC"/>
            <w:noWrap/>
            <w:vAlign w:val="bottom"/>
            <w:hideMark/>
          </w:tcPr>
          <w:p w:rsidR="009D751A" w:rsidRPr="009D751A" w:rsidRDefault="009D751A"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93.7%</w:t>
            </w:r>
          </w:p>
        </w:tc>
      </w:tr>
      <w:tr w:rsidR="006F2D9E" w:rsidRPr="009D751A" w:rsidTr="006F2D9E">
        <w:trPr>
          <w:trHeight w:val="270"/>
        </w:trPr>
        <w:tc>
          <w:tcPr>
            <w:tcW w:w="1660" w:type="dxa"/>
            <w:tcBorders>
              <w:top w:val="nil"/>
              <w:left w:val="single" w:sz="8" w:space="0" w:color="auto"/>
              <w:bottom w:val="single" w:sz="4" w:space="0" w:color="auto"/>
              <w:right w:val="single" w:sz="8" w:space="0" w:color="auto"/>
            </w:tcBorders>
            <w:shd w:val="clear" w:color="000000" w:fill="D1D3D4"/>
            <w:noWrap/>
            <w:vAlign w:val="center"/>
            <w:hideMark/>
          </w:tcPr>
          <w:p w:rsidR="006F2D9E" w:rsidRPr="009D751A" w:rsidRDefault="006F2D9E" w:rsidP="006F2D9E">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2 Years</w:t>
            </w:r>
          </w:p>
        </w:tc>
        <w:tc>
          <w:tcPr>
            <w:tcW w:w="1660" w:type="dxa"/>
            <w:tcBorders>
              <w:top w:val="nil"/>
              <w:left w:val="nil"/>
              <w:bottom w:val="single" w:sz="4" w:space="0" w:color="auto"/>
              <w:right w:val="single" w:sz="8" w:space="0" w:color="auto"/>
            </w:tcBorders>
            <w:shd w:val="clear" w:color="000000" w:fill="D1D3D4"/>
            <w:noWrap/>
            <w:vAlign w:val="bottom"/>
            <w:hideMark/>
          </w:tcPr>
          <w:p w:rsidR="006F2D9E" w:rsidRPr="009D751A" w:rsidRDefault="006F2D9E"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B</w:t>
            </w:r>
            <w:r>
              <w:rPr>
                <w:rFonts w:ascii="Arial" w:eastAsia="Times New Roman" w:hAnsi="Arial" w:cs="Arial"/>
                <w:color w:val="000000"/>
                <w:lang w:eastAsia="en-AU"/>
              </w:rPr>
              <w:t>aseline</w:t>
            </w:r>
          </w:p>
        </w:tc>
        <w:tc>
          <w:tcPr>
            <w:tcW w:w="1660" w:type="dxa"/>
            <w:tcBorders>
              <w:top w:val="nil"/>
              <w:left w:val="nil"/>
              <w:bottom w:val="single" w:sz="4" w:space="0" w:color="auto"/>
              <w:right w:val="nil"/>
            </w:tcBorders>
            <w:shd w:val="clear" w:color="000000" w:fill="D1D3D4"/>
            <w:noWrap/>
            <w:vAlign w:val="bottom"/>
            <w:hideMark/>
          </w:tcPr>
          <w:p w:rsidR="006F2D9E" w:rsidRPr="009D751A" w:rsidRDefault="006F2D9E"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88.2%</w:t>
            </w:r>
          </w:p>
        </w:tc>
        <w:tc>
          <w:tcPr>
            <w:tcW w:w="1660" w:type="dxa"/>
            <w:tcBorders>
              <w:top w:val="nil"/>
              <w:left w:val="single" w:sz="8" w:space="0" w:color="auto"/>
              <w:bottom w:val="single" w:sz="4" w:space="0" w:color="auto"/>
              <w:right w:val="single" w:sz="8" w:space="0" w:color="auto"/>
            </w:tcBorders>
            <w:shd w:val="clear" w:color="000000" w:fill="D1D3D4"/>
            <w:noWrap/>
            <w:vAlign w:val="bottom"/>
            <w:hideMark/>
          </w:tcPr>
          <w:p w:rsidR="006F2D9E" w:rsidRPr="009D751A" w:rsidRDefault="006F2D9E"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85.9%</w:t>
            </w:r>
          </w:p>
        </w:tc>
        <w:tc>
          <w:tcPr>
            <w:tcW w:w="1660" w:type="dxa"/>
            <w:tcBorders>
              <w:top w:val="nil"/>
              <w:left w:val="nil"/>
              <w:bottom w:val="single" w:sz="4" w:space="0" w:color="auto"/>
              <w:right w:val="single" w:sz="8" w:space="0" w:color="auto"/>
            </w:tcBorders>
            <w:shd w:val="clear" w:color="000000" w:fill="D1D3D4"/>
            <w:noWrap/>
            <w:vAlign w:val="bottom"/>
            <w:hideMark/>
          </w:tcPr>
          <w:p w:rsidR="006F2D9E" w:rsidRPr="009D751A" w:rsidRDefault="006F2D9E" w:rsidP="009D751A">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88.7%</w:t>
            </w:r>
          </w:p>
        </w:tc>
      </w:tr>
      <w:tr w:rsidR="006F2D9E" w:rsidRPr="009D751A" w:rsidTr="006F2D9E">
        <w:trPr>
          <w:trHeight w:val="270"/>
        </w:trPr>
        <w:tc>
          <w:tcPr>
            <w:tcW w:w="1660" w:type="dxa"/>
            <w:tcBorders>
              <w:top w:val="single" w:sz="4" w:space="0" w:color="auto"/>
              <w:left w:val="single" w:sz="4" w:space="0" w:color="auto"/>
              <w:bottom w:val="single" w:sz="4" w:space="0" w:color="auto"/>
              <w:right w:val="single" w:sz="4" w:space="0" w:color="auto"/>
            </w:tcBorders>
            <w:shd w:val="clear" w:color="000000" w:fill="D1D3D4"/>
            <w:vAlign w:val="center"/>
            <w:hideMark/>
          </w:tcPr>
          <w:p w:rsidR="006F2D9E" w:rsidRPr="009D751A" w:rsidRDefault="006F2D9E" w:rsidP="006F2D9E">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2 Years</w:t>
            </w:r>
          </w:p>
        </w:tc>
        <w:tc>
          <w:tcPr>
            <w:tcW w:w="1660" w:type="dxa"/>
            <w:tcBorders>
              <w:top w:val="nil"/>
              <w:left w:val="single" w:sz="4" w:space="0" w:color="auto"/>
              <w:bottom w:val="single" w:sz="4" w:space="0" w:color="auto"/>
              <w:right w:val="single" w:sz="8" w:space="0" w:color="auto"/>
            </w:tcBorders>
            <w:shd w:val="clear" w:color="000000" w:fill="D1D3D4"/>
            <w:noWrap/>
            <w:vAlign w:val="bottom"/>
            <w:hideMark/>
          </w:tcPr>
          <w:p w:rsidR="006F2D9E" w:rsidRPr="009D751A" w:rsidRDefault="006F2D9E" w:rsidP="006F2D9E">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Review 1</w:t>
            </w:r>
          </w:p>
        </w:tc>
        <w:tc>
          <w:tcPr>
            <w:tcW w:w="1660" w:type="dxa"/>
            <w:tcBorders>
              <w:top w:val="nil"/>
              <w:left w:val="nil"/>
              <w:bottom w:val="single" w:sz="4" w:space="0" w:color="auto"/>
              <w:right w:val="nil"/>
            </w:tcBorders>
            <w:shd w:val="clear" w:color="000000" w:fill="D1D3D4"/>
            <w:noWrap/>
            <w:vAlign w:val="bottom"/>
            <w:hideMark/>
          </w:tcPr>
          <w:p w:rsidR="006F2D9E" w:rsidRPr="009D751A" w:rsidRDefault="006F2D9E" w:rsidP="006F2D9E">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91.3%</w:t>
            </w:r>
          </w:p>
        </w:tc>
        <w:tc>
          <w:tcPr>
            <w:tcW w:w="1660" w:type="dxa"/>
            <w:tcBorders>
              <w:top w:val="nil"/>
              <w:left w:val="single" w:sz="8" w:space="0" w:color="auto"/>
              <w:bottom w:val="single" w:sz="4" w:space="0" w:color="auto"/>
              <w:right w:val="single" w:sz="8" w:space="0" w:color="auto"/>
            </w:tcBorders>
            <w:shd w:val="clear" w:color="000000" w:fill="D1D3D4"/>
            <w:noWrap/>
            <w:vAlign w:val="bottom"/>
            <w:hideMark/>
          </w:tcPr>
          <w:p w:rsidR="006F2D9E" w:rsidRPr="009D751A" w:rsidRDefault="006F2D9E" w:rsidP="006F2D9E">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89.2%</w:t>
            </w:r>
          </w:p>
        </w:tc>
        <w:tc>
          <w:tcPr>
            <w:tcW w:w="1660" w:type="dxa"/>
            <w:tcBorders>
              <w:top w:val="nil"/>
              <w:left w:val="nil"/>
              <w:bottom w:val="single" w:sz="4" w:space="0" w:color="auto"/>
              <w:right w:val="single" w:sz="8" w:space="0" w:color="auto"/>
            </w:tcBorders>
            <w:shd w:val="clear" w:color="000000" w:fill="D1D3D4"/>
            <w:noWrap/>
            <w:vAlign w:val="bottom"/>
            <w:hideMark/>
          </w:tcPr>
          <w:p w:rsidR="006F2D9E" w:rsidRPr="009D751A" w:rsidRDefault="006F2D9E" w:rsidP="006F2D9E">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91.7%</w:t>
            </w:r>
          </w:p>
        </w:tc>
      </w:tr>
      <w:tr w:rsidR="006F2D9E" w:rsidRPr="009D751A" w:rsidTr="006F2D9E">
        <w:trPr>
          <w:trHeight w:val="278"/>
        </w:trPr>
        <w:tc>
          <w:tcPr>
            <w:tcW w:w="1660" w:type="dxa"/>
            <w:tcBorders>
              <w:top w:val="single" w:sz="4" w:space="0" w:color="auto"/>
              <w:left w:val="single" w:sz="8" w:space="0" w:color="auto"/>
              <w:bottom w:val="single" w:sz="8" w:space="0" w:color="000000"/>
              <w:right w:val="single" w:sz="8" w:space="0" w:color="auto"/>
            </w:tcBorders>
            <w:shd w:val="clear" w:color="000000" w:fill="D1D3D4"/>
            <w:vAlign w:val="center"/>
            <w:hideMark/>
          </w:tcPr>
          <w:p w:rsidR="006F2D9E" w:rsidRPr="009D751A" w:rsidRDefault="006F2D9E" w:rsidP="006F2D9E">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2 Years</w:t>
            </w:r>
          </w:p>
        </w:tc>
        <w:tc>
          <w:tcPr>
            <w:tcW w:w="1660" w:type="dxa"/>
            <w:tcBorders>
              <w:top w:val="nil"/>
              <w:left w:val="nil"/>
              <w:bottom w:val="single" w:sz="8" w:space="0" w:color="auto"/>
              <w:right w:val="single" w:sz="8" w:space="0" w:color="auto"/>
            </w:tcBorders>
            <w:shd w:val="clear" w:color="000000" w:fill="D1D3D4"/>
            <w:noWrap/>
            <w:vAlign w:val="bottom"/>
            <w:hideMark/>
          </w:tcPr>
          <w:p w:rsidR="006F2D9E" w:rsidRPr="009D751A" w:rsidRDefault="006F2D9E" w:rsidP="006F2D9E">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Review 2</w:t>
            </w:r>
          </w:p>
        </w:tc>
        <w:tc>
          <w:tcPr>
            <w:tcW w:w="1660" w:type="dxa"/>
            <w:tcBorders>
              <w:top w:val="nil"/>
              <w:left w:val="nil"/>
              <w:bottom w:val="single" w:sz="8" w:space="0" w:color="auto"/>
              <w:right w:val="nil"/>
            </w:tcBorders>
            <w:shd w:val="clear" w:color="000000" w:fill="D1D3D4"/>
            <w:noWrap/>
            <w:vAlign w:val="bottom"/>
            <w:hideMark/>
          </w:tcPr>
          <w:p w:rsidR="006F2D9E" w:rsidRPr="009D751A" w:rsidRDefault="006F2D9E" w:rsidP="006F2D9E">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92.6%</w:t>
            </w:r>
          </w:p>
        </w:tc>
        <w:tc>
          <w:tcPr>
            <w:tcW w:w="1660" w:type="dxa"/>
            <w:tcBorders>
              <w:top w:val="nil"/>
              <w:left w:val="single" w:sz="8" w:space="0" w:color="auto"/>
              <w:bottom w:val="single" w:sz="8" w:space="0" w:color="auto"/>
              <w:right w:val="single" w:sz="8" w:space="0" w:color="auto"/>
            </w:tcBorders>
            <w:shd w:val="clear" w:color="000000" w:fill="D1D3D4"/>
            <w:noWrap/>
            <w:vAlign w:val="bottom"/>
            <w:hideMark/>
          </w:tcPr>
          <w:p w:rsidR="006F2D9E" w:rsidRPr="009D751A" w:rsidRDefault="006F2D9E" w:rsidP="006F2D9E">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91.2%</w:t>
            </w:r>
          </w:p>
        </w:tc>
        <w:tc>
          <w:tcPr>
            <w:tcW w:w="1660" w:type="dxa"/>
            <w:tcBorders>
              <w:top w:val="nil"/>
              <w:left w:val="nil"/>
              <w:bottom w:val="single" w:sz="8" w:space="0" w:color="auto"/>
              <w:right w:val="single" w:sz="8" w:space="0" w:color="auto"/>
            </w:tcBorders>
            <w:shd w:val="clear" w:color="000000" w:fill="D1D3D4"/>
            <w:noWrap/>
            <w:vAlign w:val="bottom"/>
            <w:hideMark/>
          </w:tcPr>
          <w:p w:rsidR="006F2D9E" w:rsidRPr="009D751A" w:rsidRDefault="006F2D9E" w:rsidP="006F2D9E">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92.9%</w:t>
            </w:r>
          </w:p>
        </w:tc>
      </w:tr>
      <w:tr w:rsidR="006F2D9E" w:rsidRPr="009D751A" w:rsidTr="006F2D9E">
        <w:trPr>
          <w:trHeight w:val="270"/>
        </w:trPr>
        <w:tc>
          <w:tcPr>
            <w:tcW w:w="1660" w:type="dxa"/>
            <w:tcBorders>
              <w:top w:val="nil"/>
              <w:left w:val="single" w:sz="8" w:space="0" w:color="auto"/>
              <w:bottom w:val="single" w:sz="4" w:space="0" w:color="auto"/>
              <w:right w:val="single" w:sz="8" w:space="0" w:color="auto"/>
            </w:tcBorders>
            <w:shd w:val="clear" w:color="000000" w:fill="F7EEF7"/>
            <w:noWrap/>
            <w:vAlign w:val="center"/>
            <w:hideMark/>
          </w:tcPr>
          <w:p w:rsidR="006F2D9E" w:rsidRPr="009D751A" w:rsidRDefault="006F2D9E" w:rsidP="006F2D9E">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1 Year</w:t>
            </w:r>
          </w:p>
        </w:tc>
        <w:tc>
          <w:tcPr>
            <w:tcW w:w="1660" w:type="dxa"/>
            <w:tcBorders>
              <w:top w:val="nil"/>
              <w:left w:val="nil"/>
              <w:bottom w:val="single" w:sz="4" w:space="0" w:color="auto"/>
              <w:right w:val="single" w:sz="8" w:space="0" w:color="auto"/>
            </w:tcBorders>
            <w:shd w:val="clear" w:color="000000" w:fill="F7EEF7"/>
            <w:noWrap/>
            <w:vAlign w:val="bottom"/>
            <w:hideMark/>
          </w:tcPr>
          <w:p w:rsidR="006F2D9E" w:rsidRPr="009D751A" w:rsidRDefault="006F2D9E" w:rsidP="006F2D9E">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B</w:t>
            </w:r>
            <w:r>
              <w:rPr>
                <w:rFonts w:ascii="Arial" w:eastAsia="Times New Roman" w:hAnsi="Arial" w:cs="Arial"/>
                <w:color w:val="000000"/>
                <w:lang w:eastAsia="en-AU"/>
              </w:rPr>
              <w:t>aseline</w:t>
            </w:r>
          </w:p>
        </w:tc>
        <w:tc>
          <w:tcPr>
            <w:tcW w:w="1660" w:type="dxa"/>
            <w:tcBorders>
              <w:top w:val="nil"/>
              <w:left w:val="nil"/>
              <w:bottom w:val="single" w:sz="4" w:space="0" w:color="auto"/>
              <w:right w:val="nil"/>
            </w:tcBorders>
            <w:shd w:val="clear" w:color="000000" w:fill="F7EEF7"/>
            <w:noWrap/>
            <w:vAlign w:val="bottom"/>
            <w:hideMark/>
          </w:tcPr>
          <w:p w:rsidR="006F2D9E" w:rsidRPr="009D751A" w:rsidRDefault="006F2D9E" w:rsidP="006F2D9E">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87.2%</w:t>
            </w:r>
          </w:p>
        </w:tc>
        <w:tc>
          <w:tcPr>
            <w:tcW w:w="1660" w:type="dxa"/>
            <w:tcBorders>
              <w:top w:val="nil"/>
              <w:left w:val="single" w:sz="8" w:space="0" w:color="auto"/>
              <w:bottom w:val="single" w:sz="4" w:space="0" w:color="auto"/>
              <w:right w:val="single" w:sz="8" w:space="0" w:color="auto"/>
            </w:tcBorders>
            <w:shd w:val="clear" w:color="000000" w:fill="F7EEF7"/>
            <w:noWrap/>
            <w:vAlign w:val="bottom"/>
            <w:hideMark/>
          </w:tcPr>
          <w:p w:rsidR="006F2D9E" w:rsidRPr="009D751A" w:rsidRDefault="006F2D9E" w:rsidP="006F2D9E">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84.8%</w:t>
            </w:r>
          </w:p>
        </w:tc>
        <w:tc>
          <w:tcPr>
            <w:tcW w:w="1660" w:type="dxa"/>
            <w:tcBorders>
              <w:top w:val="nil"/>
              <w:left w:val="nil"/>
              <w:bottom w:val="single" w:sz="4" w:space="0" w:color="auto"/>
              <w:right w:val="single" w:sz="8" w:space="0" w:color="auto"/>
            </w:tcBorders>
            <w:shd w:val="clear" w:color="000000" w:fill="F7EEF7"/>
            <w:noWrap/>
            <w:vAlign w:val="bottom"/>
            <w:hideMark/>
          </w:tcPr>
          <w:p w:rsidR="006F2D9E" w:rsidRPr="009D751A" w:rsidRDefault="006F2D9E" w:rsidP="006F2D9E">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87.8%</w:t>
            </w:r>
          </w:p>
        </w:tc>
      </w:tr>
      <w:tr w:rsidR="006F2D9E" w:rsidRPr="009D751A" w:rsidTr="006F2D9E">
        <w:trPr>
          <w:trHeight w:val="278"/>
        </w:trPr>
        <w:tc>
          <w:tcPr>
            <w:tcW w:w="1660" w:type="dxa"/>
            <w:tcBorders>
              <w:top w:val="single" w:sz="4" w:space="0" w:color="auto"/>
              <w:left w:val="single" w:sz="4" w:space="0" w:color="auto"/>
              <w:bottom w:val="single" w:sz="4" w:space="0" w:color="auto"/>
              <w:right w:val="single" w:sz="4" w:space="0" w:color="auto"/>
            </w:tcBorders>
            <w:shd w:val="clear" w:color="000000" w:fill="F7EEF7"/>
            <w:vAlign w:val="center"/>
            <w:hideMark/>
          </w:tcPr>
          <w:p w:rsidR="006F2D9E" w:rsidRPr="009D751A" w:rsidRDefault="006F2D9E" w:rsidP="006F2D9E">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lastRenderedPageBreak/>
              <w:t>1 Year</w:t>
            </w:r>
          </w:p>
        </w:tc>
        <w:tc>
          <w:tcPr>
            <w:tcW w:w="1660" w:type="dxa"/>
            <w:tcBorders>
              <w:top w:val="nil"/>
              <w:left w:val="single" w:sz="4" w:space="0" w:color="auto"/>
              <w:bottom w:val="single" w:sz="8" w:space="0" w:color="auto"/>
              <w:right w:val="single" w:sz="8" w:space="0" w:color="auto"/>
            </w:tcBorders>
            <w:shd w:val="clear" w:color="000000" w:fill="F7EEF7"/>
            <w:noWrap/>
            <w:vAlign w:val="bottom"/>
            <w:hideMark/>
          </w:tcPr>
          <w:p w:rsidR="006F2D9E" w:rsidRPr="009D751A" w:rsidRDefault="006F2D9E" w:rsidP="006F2D9E">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Review 1</w:t>
            </w:r>
          </w:p>
        </w:tc>
        <w:tc>
          <w:tcPr>
            <w:tcW w:w="1660" w:type="dxa"/>
            <w:tcBorders>
              <w:top w:val="nil"/>
              <w:left w:val="nil"/>
              <w:bottom w:val="single" w:sz="8" w:space="0" w:color="auto"/>
              <w:right w:val="nil"/>
            </w:tcBorders>
            <w:shd w:val="clear" w:color="000000" w:fill="F7EEF7"/>
            <w:noWrap/>
            <w:vAlign w:val="bottom"/>
            <w:hideMark/>
          </w:tcPr>
          <w:p w:rsidR="006F2D9E" w:rsidRPr="009D751A" w:rsidRDefault="006F2D9E" w:rsidP="006F2D9E">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90.1%</w:t>
            </w:r>
          </w:p>
        </w:tc>
        <w:tc>
          <w:tcPr>
            <w:tcW w:w="1660" w:type="dxa"/>
            <w:tcBorders>
              <w:top w:val="nil"/>
              <w:left w:val="single" w:sz="8" w:space="0" w:color="auto"/>
              <w:bottom w:val="single" w:sz="8" w:space="0" w:color="auto"/>
              <w:right w:val="single" w:sz="8" w:space="0" w:color="auto"/>
            </w:tcBorders>
            <w:shd w:val="clear" w:color="000000" w:fill="F7EEF7"/>
            <w:noWrap/>
            <w:vAlign w:val="bottom"/>
            <w:hideMark/>
          </w:tcPr>
          <w:p w:rsidR="006F2D9E" w:rsidRPr="009D751A" w:rsidRDefault="006F2D9E" w:rsidP="006F2D9E">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88.7%</w:t>
            </w:r>
          </w:p>
        </w:tc>
        <w:tc>
          <w:tcPr>
            <w:tcW w:w="1660" w:type="dxa"/>
            <w:tcBorders>
              <w:top w:val="nil"/>
              <w:left w:val="nil"/>
              <w:bottom w:val="single" w:sz="8" w:space="0" w:color="auto"/>
              <w:right w:val="single" w:sz="8" w:space="0" w:color="auto"/>
            </w:tcBorders>
            <w:shd w:val="clear" w:color="000000" w:fill="F7EEF7"/>
            <w:noWrap/>
            <w:vAlign w:val="bottom"/>
            <w:hideMark/>
          </w:tcPr>
          <w:p w:rsidR="006F2D9E" w:rsidRPr="009D751A" w:rsidRDefault="006F2D9E" w:rsidP="006F2D9E">
            <w:pPr>
              <w:spacing w:after="0" w:line="240" w:lineRule="auto"/>
              <w:jc w:val="center"/>
              <w:rPr>
                <w:rFonts w:ascii="Arial" w:eastAsia="Times New Roman" w:hAnsi="Arial" w:cs="Arial"/>
                <w:color w:val="000000"/>
                <w:lang w:eastAsia="en-AU"/>
              </w:rPr>
            </w:pPr>
            <w:r w:rsidRPr="009D751A">
              <w:rPr>
                <w:rFonts w:ascii="Arial" w:eastAsia="Times New Roman" w:hAnsi="Arial" w:cs="Arial"/>
                <w:color w:val="000000"/>
                <w:lang w:eastAsia="en-AU"/>
              </w:rPr>
              <w:t>90.4%</w:t>
            </w:r>
          </w:p>
        </w:tc>
      </w:tr>
    </w:tbl>
    <w:p w:rsidR="009D751A" w:rsidRDefault="009D751A" w:rsidP="009D751A"/>
    <w:p w:rsidR="009D751A" w:rsidRDefault="0080201D" w:rsidP="009D751A">
      <w:r>
        <w:t>Footnote 1</w:t>
      </w:r>
      <w:r w:rsidR="009D751A">
        <w:t xml:space="preserve">: </w:t>
      </w:r>
      <w:r w:rsidR="009D751A" w:rsidRPr="009D751A">
        <w:t>Of those who would like their child to be more involved in activities with other children, % who see their child’s disability as a barrier (PSto14).</w:t>
      </w:r>
    </w:p>
    <w:p w:rsidR="00BE4A2A" w:rsidRDefault="00BE4A2A" w:rsidP="00BE4A2A">
      <w:pPr>
        <w:pStyle w:val="Heading2"/>
      </w:pPr>
      <w:bookmarkStart w:id="42" w:name="_Toc121151419"/>
      <w:r>
        <w:t>Slide 37: Participants aged 0 to 14</w:t>
      </w:r>
      <w:bookmarkEnd w:id="42"/>
    </w:p>
    <w:p w:rsidR="00BE4A2A" w:rsidRDefault="00BE4A2A" w:rsidP="00BE4A2A">
      <w:pPr>
        <w:pStyle w:val="Heading5"/>
      </w:pPr>
      <w:r>
        <w:t>Lifelong learning</w:t>
      </w:r>
    </w:p>
    <w:p w:rsidR="00BE4A2A" w:rsidRDefault="00BE4A2A" w:rsidP="00BE4A2A">
      <w:r>
        <w:rPr>
          <w:rFonts w:asciiTheme="majorHAnsi" w:eastAsiaTheme="majorEastAsia" w:hAnsiTheme="majorHAnsi" w:cstheme="majorBidi"/>
          <w:color w:val="2E74B5" w:themeColor="accent1" w:themeShade="BF"/>
        </w:rPr>
        <w:t xml:space="preserve">Mainstream class </w:t>
      </w:r>
    </w:p>
    <w:p w:rsidR="00BE4A2A" w:rsidRPr="00BE4A2A" w:rsidRDefault="00BE4A2A" w:rsidP="00BE4A2A">
      <w:pPr>
        <w:pStyle w:val="Heading5"/>
        <w:rPr>
          <w:i/>
        </w:rPr>
      </w:pPr>
      <w:r w:rsidRPr="00BE4A2A">
        <w:rPr>
          <w:i/>
        </w:rPr>
        <w:t>Children/young adults who attend or attend</w:t>
      </w:r>
      <w:r>
        <w:rPr>
          <w:i/>
        </w:rPr>
        <w:t>ed school in a mainstream class (footnote</w:t>
      </w:r>
      <w:r w:rsidR="00E2028A">
        <w:rPr>
          <w:i/>
        </w:rPr>
        <w:t xml:space="preserve"> </w:t>
      </w:r>
      <w:r>
        <w:rPr>
          <w:i/>
        </w:rPr>
        <w:t>1)</w:t>
      </w:r>
    </w:p>
    <w:p w:rsidR="00BE4A2A" w:rsidRDefault="00BE4A2A" w:rsidP="00BE4A2A">
      <w:r>
        <w:t>There has been a deterioration across all cohorts in the percentage who attend (or have attended) school in a mainstream class. For the C5 cohort, the percentage attending school in a mainstream class decreased by 7.2 percentage points between baseline and fifth review, from 44.1% to 36.9%, including a 1.3 percentage-point decline in the latest year.</w:t>
      </w:r>
    </w:p>
    <w:p w:rsidR="00BE4A2A" w:rsidRDefault="00BE4A2A" w:rsidP="00BE4A2A">
      <w:r>
        <w:t>The 15-24 age group has by far the lowest percentage of participants who attend or have attended school in a mainstream class (10 to 27 percentage points lower than the combined group), and the S-14 group has the highest percentage (9 to 14 percentage points higher). The transitioning groups are intermediate: the S-14/15-24 group being lower than average and the 0-S/S-14 group being higher than average.</w:t>
      </w:r>
    </w:p>
    <w:p w:rsidR="00BE4A2A" w:rsidRDefault="00BE4A2A" w:rsidP="00BE4A2A">
      <w:r>
        <w:t>There appears to be a cohort effect for this indicator, with higher levels observed for shorter duration cohorts (lines shift upwards moving from left to right).</w:t>
      </w:r>
    </w:p>
    <w:p w:rsidR="00BE4A2A" w:rsidRDefault="00BE4A2A" w:rsidP="00BE4A2A">
      <w:r>
        <w:t>For P0toSS, analyse by time since first in PSto14, otherwise by time in Scheme:</w:t>
      </w:r>
    </w:p>
    <w:tbl>
      <w:tblPr>
        <w:tblW w:w="8540" w:type="dxa"/>
        <w:tblLook w:val="04A0" w:firstRow="1" w:lastRow="0" w:firstColumn="1" w:lastColumn="0" w:noHBand="0" w:noVBand="1"/>
      </w:tblPr>
      <w:tblGrid>
        <w:gridCol w:w="1220"/>
        <w:gridCol w:w="1322"/>
        <w:gridCol w:w="1118"/>
        <w:gridCol w:w="1220"/>
        <w:gridCol w:w="1220"/>
        <w:gridCol w:w="1220"/>
        <w:gridCol w:w="1220"/>
      </w:tblGrid>
      <w:tr w:rsidR="00BE4A2A" w:rsidRPr="00BE4A2A" w:rsidTr="006F2D9E">
        <w:trPr>
          <w:trHeight w:val="278"/>
        </w:trPr>
        <w:tc>
          <w:tcPr>
            <w:tcW w:w="1220" w:type="dxa"/>
            <w:tcBorders>
              <w:top w:val="single" w:sz="8" w:space="0" w:color="auto"/>
              <w:left w:val="single" w:sz="8" w:space="0" w:color="auto"/>
              <w:bottom w:val="single" w:sz="8" w:space="0" w:color="auto"/>
              <w:right w:val="nil"/>
            </w:tcBorders>
            <w:shd w:val="clear" w:color="auto" w:fill="auto"/>
            <w:noWrap/>
            <w:vAlign w:val="bottom"/>
            <w:hideMark/>
          </w:tcPr>
          <w:p w:rsidR="00BE4A2A" w:rsidRPr="00BE4A2A" w:rsidRDefault="006F2D9E" w:rsidP="006F2D9E">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Cohort</w:t>
            </w:r>
          </w:p>
        </w:tc>
        <w:tc>
          <w:tcPr>
            <w:tcW w:w="132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E4A2A" w:rsidRPr="00BE4A2A" w:rsidRDefault="006F2D9E" w:rsidP="00BE4A2A">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Time poin</w:t>
            </w:r>
            <w:r w:rsidR="00BE4A2A" w:rsidRPr="00BE4A2A">
              <w:rPr>
                <w:rFonts w:ascii="Arial" w:eastAsia="Times New Roman" w:hAnsi="Arial" w:cs="Arial"/>
                <w:color w:val="000000"/>
                <w:lang w:eastAsia="en-AU"/>
              </w:rPr>
              <w:t>t</w:t>
            </w:r>
          </w:p>
        </w:tc>
        <w:tc>
          <w:tcPr>
            <w:tcW w:w="1118" w:type="dxa"/>
            <w:tcBorders>
              <w:top w:val="single" w:sz="8" w:space="0" w:color="auto"/>
              <w:left w:val="nil"/>
              <w:bottom w:val="single" w:sz="8" w:space="0" w:color="auto"/>
              <w:right w:val="single" w:sz="8" w:space="0" w:color="auto"/>
            </w:tcBorders>
            <w:shd w:val="clear" w:color="auto" w:fill="auto"/>
            <w:noWrap/>
            <w:vAlign w:val="bottom"/>
            <w:hideMark/>
          </w:tcPr>
          <w:p w:rsidR="00BE4A2A" w:rsidRPr="00BE4A2A" w:rsidRDefault="00BE4A2A"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All</w:t>
            </w:r>
          </w:p>
        </w:tc>
        <w:tc>
          <w:tcPr>
            <w:tcW w:w="1220" w:type="dxa"/>
            <w:tcBorders>
              <w:top w:val="single" w:sz="8" w:space="0" w:color="auto"/>
              <w:left w:val="nil"/>
              <w:bottom w:val="single" w:sz="8" w:space="0" w:color="auto"/>
              <w:right w:val="nil"/>
            </w:tcBorders>
            <w:shd w:val="clear" w:color="auto" w:fill="auto"/>
            <w:noWrap/>
            <w:vAlign w:val="bottom"/>
            <w:hideMark/>
          </w:tcPr>
          <w:p w:rsidR="00BE4A2A" w:rsidRPr="00BE4A2A" w:rsidRDefault="00BE4A2A"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0-S/S-14</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E4A2A" w:rsidRPr="00BE4A2A" w:rsidRDefault="00BE4A2A"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S-14</w:t>
            </w:r>
          </w:p>
        </w:tc>
        <w:tc>
          <w:tcPr>
            <w:tcW w:w="1220" w:type="dxa"/>
            <w:tcBorders>
              <w:top w:val="single" w:sz="8" w:space="0" w:color="auto"/>
              <w:left w:val="nil"/>
              <w:bottom w:val="single" w:sz="8" w:space="0" w:color="auto"/>
              <w:right w:val="nil"/>
            </w:tcBorders>
            <w:shd w:val="clear" w:color="auto" w:fill="auto"/>
            <w:noWrap/>
            <w:vAlign w:val="bottom"/>
            <w:hideMark/>
          </w:tcPr>
          <w:p w:rsidR="00BE4A2A" w:rsidRPr="00BE4A2A" w:rsidRDefault="00BE4A2A"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S-14/15-24</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E4A2A" w:rsidRPr="00BE4A2A" w:rsidRDefault="00BE4A2A"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15-24</w:t>
            </w:r>
          </w:p>
        </w:tc>
      </w:tr>
      <w:tr w:rsidR="006F2D9E" w:rsidRPr="00BE4A2A" w:rsidTr="006F2D9E">
        <w:trPr>
          <w:trHeight w:val="270"/>
        </w:trPr>
        <w:tc>
          <w:tcPr>
            <w:tcW w:w="1220" w:type="dxa"/>
            <w:tcBorders>
              <w:top w:val="nil"/>
              <w:left w:val="single" w:sz="8" w:space="0" w:color="auto"/>
              <w:bottom w:val="single" w:sz="4" w:space="0" w:color="auto"/>
              <w:right w:val="single" w:sz="8" w:space="0" w:color="auto"/>
            </w:tcBorders>
            <w:shd w:val="clear" w:color="000000" w:fill="D3C5D7"/>
            <w:noWrap/>
            <w:vAlign w:val="center"/>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5 Years</w:t>
            </w:r>
          </w:p>
        </w:tc>
        <w:tc>
          <w:tcPr>
            <w:tcW w:w="1322" w:type="dxa"/>
            <w:tcBorders>
              <w:top w:val="nil"/>
              <w:left w:val="nil"/>
              <w:bottom w:val="single" w:sz="4" w:space="0" w:color="auto"/>
              <w:right w:val="nil"/>
            </w:tcBorders>
            <w:shd w:val="clear" w:color="000000" w:fill="D3C5D7"/>
            <w:noWrap/>
            <w:vAlign w:val="bottom"/>
            <w:hideMark/>
          </w:tcPr>
          <w:p w:rsidR="006F2D9E" w:rsidRPr="00BE4A2A" w:rsidRDefault="006F2D9E"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B</w:t>
            </w:r>
            <w:r>
              <w:rPr>
                <w:rFonts w:ascii="Arial" w:eastAsia="Times New Roman" w:hAnsi="Arial" w:cs="Arial"/>
                <w:color w:val="000000"/>
                <w:lang w:eastAsia="en-AU"/>
              </w:rPr>
              <w:t>aseline</w:t>
            </w:r>
          </w:p>
        </w:tc>
        <w:tc>
          <w:tcPr>
            <w:tcW w:w="1118" w:type="dxa"/>
            <w:tcBorders>
              <w:top w:val="nil"/>
              <w:left w:val="single" w:sz="8" w:space="0" w:color="auto"/>
              <w:bottom w:val="single" w:sz="4" w:space="0" w:color="auto"/>
              <w:right w:val="single" w:sz="8" w:space="0" w:color="auto"/>
            </w:tcBorders>
            <w:shd w:val="clear" w:color="000000" w:fill="D3C5D7"/>
            <w:noWrap/>
            <w:vAlign w:val="bottom"/>
            <w:hideMark/>
          </w:tcPr>
          <w:p w:rsidR="006F2D9E" w:rsidRPr="00BE4A2A" w:rsidRDefault="006F2D9E"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44.1%</w:t>
            </w:r>
          </w:p>
        </w:tc>
        <w:tc>
          <w:tcPr>
            <w:tcW w:w="1220" w:type="dxa"/>
            <w:tcBorders>
              <w:top w:val="nil"/>
              <w:left w:val="nil"/>
              <w:bottom w:val="single" w:sz="4" w:space="0" w:color="auto"/>
              <w:right w:val="nil"/>
            </w:tcBorders>
            <w:shd w:val="clear" w:color="000000" w:fill="D3C5D7"/>
            <w:noWrap/>
            <w:vAlign w:val="bottom"/>
            <w:hideMark/>
          </w:tcPr>
          <w:p w:rsidR="006F2D9E" w:rsidRPr="00BE4A2A" w:rsidRDefault="006F2D9E"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 </w:t>
            </w:r>
          </w:p>
        </w:tc>
        <w:tc>
          <w:tcPr>
            <w:tcW w:w="1220" w:type="dxa"/>
            <w:tcBorders>
              <w:top w:val="nil"/>
              <w:left w:val="single" w:sz="8" w:space="0" w:color="auto"/>
              <w:bottom w:val="single" w:sz="4" w:space="0" w:color="auto"/>
              <w:right w:val="single" w:sz="8" w:space="0" w:color="auto"/>
            </w:tcBorders>
            <w:shd w:val="clear" w:color="000000" w:fill="D3C5D7"/>
            <w:noWrap/>
            <w:vAlign w:val="bottom"/>
            <w:hideMark/>
          </w:tcPr>
          <w:p w:rsidR="006F2D9E" w:rsidRPr="00BE4A2A" w:rsidRDefault="006F2D9E"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57.5%</w:t>
            </w:r>
          </w:p>
        </w:tc>
        <w:tc>
          <w:tcPr>
            <w:tcW w:w="1220" w:type="dxa"/>
            <w:tcBorders>
              <w:top w:val="nil"/>
              <w:left w:val="nil"/>
              <w:bottom w:val="single" w:sz="4" w:space="0" w:color="auto"/>
              <w:right w:val="nil"/>
            </w:tcBorders>
            <w:shd w:val="clear" w:color="000000" w:fill="D3C5D7"/>
            <w:noWrap/>
            <w:vAlign w:val="bottom"/>
            <w:hideMark/>
          </w:tcPr>
          <w:p w:rsidR="006F2D9E" w:rsidRPr="00BE4A2A" w:rsidRDefault="006F2D9E"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40.2%</w:t>
            </w:r>
          </w:p>
        </w:tc>
        <w:tc>
          <w:tcPr>
            <w:tcW w:w="1220" w:type="dxa"/>
            <w:tcBorders>
              <w:top w:val="nil"/>
              <w:left w:val="single" w:sz="8" w:space="0" w:color="auto"/>
              <w:bottom w:val="single" w:sz="4" w:space="0" w:color="auto"/>
              <w:right w:val="single" w:sz="8" w:space="0" w:color="auto"/>
            </w:tcBorders>
            <w:shd w:val="clear" w:color="000000" w:fill="D3C5D7"/>
            <w:noWrap/>
            <w:vAlign w:val="bottom"/>
            <w:hideMark/>
          </w:tcPr>
          <w:p w:rsidR="006F2D9E" w:rsidRPr="00BE4A2A" w:rsidRDefault="006F2D9E"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30.1%</w:t>
            </w:r>
          </w:p>
        </w:tc>
      </w:tr>
      <w:tr w:rsidR="006F2D9E" w:rsidRPr="00BE4A2A" w:rsidTr="006F2D9E">
        <w:trPr>
          <w:trHeight w:val="270"/>
        </w:trPr>
        <w:tc>
          <w:tcPr>
            <w:tcW w:w="1220" w:type="dxa"/>
            <w:tcBorders>
              <w:top w:val="single" w:sz="4" w:space="0" w:color="auto"/>
              <w:left w:val="single" w:sz="4" w:space="0" w:color="auto"/>
              <w:bottom w:val="single" w:sz="4" w:space="0" w:color="auto"/>
              <w:right w:val="single" w:sz="4" w:space="0" w:color="auto"/>
            </w:tcBorders>
            <w:shd w:val="clear" w:color="000000" w:fill="D3C5D7"/>
            <w:vAlign w:val="center"/>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5 Years</w:t>
            </w:r>
          </w:p>
        </w:tc>
        <w:tc>
          <w:tcPr>
            <w:tcW w:w="1322" w:type="dxa"/>
            <w:tcBorders>
              <w:top w:val="nil"/>
              <w:left w:val="single" w:sz="4" w:space="0" w:color="auto"/>
              <w:bottom w:val="single" w:sz="4" w:space="0" w:color="auto"/>
              <w:right w:val="nil"/>
            </w:tcBorders>
            <w:shd w:val="clear" w:color="000000" w:fill="D3C5D7"/>
            <w:noWrap/>
            <w:vAlign w:val="bottom"/>
            <w:hideMark/>
          </w:tcPr>
          <w:p w:rsidR="006F2D9E" w:rsidRPr="00BE4A2A" w:rsidRDefault="006F2D9E" w:rsidP="00BE4A2A">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Review 1</w:t>
            </w:r>
          </w:p>
        </w:tc>
        <w:tc>
          <w:tcPr>
            <w:tcW w:w="1118" w:type="dxa"/>
            <w:tcBorders>
              <w:top w:val="nil"/>
              <w:left w:val="single" w:sz="8" w:space="0" w:color="auto"/>
              <w:bottom w:val="single" w:sz="4" w:space="0" w:color="auto"/>
              <w:right w:val="single" w:sz="8" w:space="0" w:color="auto"/>
            </w:tcBorders>
            <w:shd w:val="clear" w:color="000000" w:fill="D3C5D7"/>
            <w:noWrap/>
            <w:vAlign w:val="bottom"/>
            <w:hideMark/>
          </w:tcPr>
          <w:p w:rsidR="006F2D9E" w:rsidRPr="00BE4A2A" w:rsidRDefault="006F2D9E"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42.6%</w:t>
            </w:r>
          </w:p>
        </w:tc>
        <w:tc>
          <w:tcPr>
            <w:tcW w:w="1220" w:type="dxa"/>
            <w:tcBorders>
              <w:top w:val="nil"/>
              <w:left w:val="nil"/>
              <w:bottom w:val="single" w:sz="4" w:space="0" w:color="auto"/>
              <w:right w:val="nil"/>
            </w:tcBorders>
            <w:shd w:val="clear" w:color="000000" w:fill="D3C5D7"/>
            <w:noWrap/>
            <w:vAlign w:val="bottom"/>
            <w:hideMark/>
          </w:tcPr>
          <w:p w:rsidR="006F2D9E" w:rsidRPr="00BE4A2A" w:rsidRDefault="006F2D9E"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 </w:t>
            </w:r>
          </w:p>
        </w:tc>
        <w:tc>
          <w:tcPr>
            <w:tcW w:w="1220" w:type="dxa"/>
            <w:tcBorders>
              <w:top w:val="nil"/>
              <w:left w:val="single" w:sz="8" w:space="0" w:color="auto"/>
              <w:bottom w:val="single" w:sz="4" w:space="0" w:color="auto"/>
              <w:right w:val="single" w:sz="8" w:space="0" w:color="auto"/>
            </w:tcBorders>
            <w:shd w:val="clear" w:color="000000" w:fill="D3C5D7"/>
            <w:noWrap/>
            <w:vAlign w:val="bottom"/>
            <w:hideMark/>
          </w:tcPr>
          <w:p w:rsidR="006F2D9E" w:rsidRPr="00BE4A2A" w:rsidRDefault="006F2D9E"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56.1%</w:t>
            </w:r>
          </w:p>
        </w:tc>
        <w:tc>
          <w:tcPr>
            <w:tcW w:w="1220" w:type="dxa"/>
            <w:tcBorders>
              <w:top w:val="nil"/>
              <w:left w:val="nil"/>
              <w:bottom w:val="single" w:sz="4" w:space="0" w:color="auto"/>
              <w:right w:val="nil"/>
            </w:tcBorders>
            <w:shd w:val="clear" w:color="000000" w:fill="D3C5D7"/>
            <w:noWrap/>
            <w:vAlign w:val="bottom"/>
            <w:hideMark/>
          </w:tcPr>
          <w:p w:rsidR="006F2D9E" w:rsidRPr="00BE4A2A" w:rsidRDefault="006F2D9E"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38.5%</w:t>
            </w:r>
          </w:p>
        </w:tc>
        <w:tc>
          <w:tcPr>
            <w:tcW w:w="1220" w:type="dxa"/>
            <w:tcBorders>
              <w:top w:val="nil"/>
              <w:left w:val="single" w:sz="8" w:space="0" w:color="auto"/>
              <w:bottom w:val="single" w:sz="4" w:space="0" w:color="auto"/>
              <w:right w:val="single" w:sz="8" w:space="0" w:color="auto"/>
            </w:tcBorders>
            <w:shd w:val="clear" w:color="000000" w:fill="D3C5D7"/>
            <w:noWrap/>
            <w:vAlign w:val="bottom"/>
            <w:hideMark/>
          </w:tcPr>
          <w:p w:rsidR="006F2D9E" w:rsidRPr="00BE4A2A" w:rsidRDefault="006F2D9E"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27.5%</w:t>
            </w:r>
          </w:p>
        </w:tc>
      </w:tr>
      <w:tr w:rsidR="006F2D9E" w:rsidRPr="00BE4A2A" w:rsidTr="006F2D9E">
        <w:trPr>
          <w:trHeight w:val="270"/>
        </w:trPr>
        <w:tc>
          <w:tcPr>
            <w:tcW w:w="1220" w:type="dxa"/>
            <w:tcBorders>
              <w:top w:val="single" w:sz="4" w:space="0" w:color="auto"/>
              <w:left w:val="single" w:sz="4" w:space="0" w:color="auto"/>
              <w:bottom w:val="single" w:sz="4" w:space="0" w:color="auto"/>
              <w:right w:val="single" w:sz="4" w:space="0" w:color="auto"/>
            </w:tcBorders>
            <w:shd w:val="clear" w:color="000000" w:fill="D3C5D7"/>
            <w:vAlign w:val="center"/>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5 Years</w:t>
            </w:r>
          </w:p>
        </w:tc>
        <w:tc>
          <w:tcPr>
            <w:tcW w:w="1322" w:type="dxa"/>
            <w:tcBorders>
              <w:top w:val="nil"/>
              <w:left w:val="single" w:sz="4" w:space="0" w:color="auto"/>
              <w:bottom w:val="single" w:sz="4" w:space="0" w:color="auto"/>
              <w:right w:val="nil"/>
            </w:tcBorders>
            <w:shd w:val="clear" w:color="000000" w:fill="D3C5D7"/>
            <w:noWrap/>
            <w:vAlign w:val="bottom"/>
            <w:hideMark/>
          </w:tcPr>
          <w:p w:rsidR="006F2D9E" w:rsidRPr="00BE4A2A" w:rsidRDefault="006F2D9E" w:rsidP="00BE4A2A">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Review 2</w:t>
            </w:r>
          </w:p>
        </w:tc>
        <w:tc>
          <w:tcPr>
            <w:tcW w:w="1118" w:type="dxa"/>
            <w:tcBorders>
              <w:top w:val="nil"/>
              <w:left w:val="single" w:sz="8" w:space="0" w:color="auto"/>
              <w:bottom w:val="single" w:sz="4" w:space="0" w:color="auto"/>
              <w:right w:val="single" w:sz="8" w:space="0" w:color="auto"/>
            </w:tcBorders>
            <w:shd w:val="clear" w:color="000000" w:fill="D3C5D7"/>
            <w:noWrap/>
            <w:vAlign w:val="bottom"/>
            <w:hideMark/>
          </w:tcPr>
          <w:p w:rsidR="006F2D9E" w:rsidRPr="00BE4A2A" w:rsidRDefault="006F2D9E"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41.0%</w:t>
            </w:r>
          </w:p>
        </w:tc>
        <w:tc>
          <w:tcPr>
            <w:tcW w:w="1220" w:type="dxa"/>
            <w:tcBorders>
              <w:top w:val="nil"/>
              <w:left w:val="nil"/>
              <w:bottom w:val="single" w:sz="4" w:space="0" w:color="auto"/>
              <w:right w:val="nil"/>
            </w:tcBorders>
            <w:shd w:val="clear" w:color="000000" w:fill="D3C5D7"/>
            <w:noWrap/>
            <w:vAlign w:val="bottom"/>
            <w:hideMark/>
          </w:tcPr>
          <w:p w:rsidR="006F2D9E" w:rsidRPr="00BE4A2A" w:rsidRDefault="006F2D9E"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 </w:t>
            </w:r>
          </w:p>
        </w:tc>
        <w:tc>
          <w:tcPr>
            <w:tcW w:w="1220" w:type="dxa"/>
            <w:tcBorders>
              <w:top w:val="nil"/>
              <w:left w:val="single" w:sz="8" w:space="0" w:color="auto"/>
              <w:bottom w:val="single" w:sz="4" w:space="0" w:color="auto"/>
              <w:right w:val="single" w:sz="8" w:space="0" w:color="auto"/>
            </w:tcBorders>
            <w:shd w:val="clear" w:color="000000" w:fill="D3C5D7"/>
            <w:noWrap/>
            <w:vAlign w:val="bottom"/>
            <w:hideMark/>
          </w:tcPr>
          <w:p w:rsidR="006F2D9E" w:rsidRPr="00BE4A2A" w:rsidRDefault="006F2D9E"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53.7%</w:t>
            </w:r>
          </w:p>
        </w:tc>
        <w:tc>
          <w:tcPr>
            <w:tcW w:w="1220" w:type="dxa"/>
            <w:tcBorders>
              <w:top w:val="nil"/>
              <w:left w:val="nil"/>
              <w:bottom w:val="single" w:sz="4" w:space="0" w:color="auto"/>
              <w:right w:val="nil"/>
            </w:tcBorders>
            <w:shd w:val="clear" w:color="000000" w:fill="D3C5D7"/>
            <w:noWrap/>
            <w:vAlign w:val="bottom"/>
            <w:hideMark/>
          </w:tcPr>
          <w:p w:rsidR="006F2D9E" w:rsidRPr="00BE4A2A" w:rsidRDefault="006F2D9E"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36.8%</w:t>
            </w:r>
          </w:p>
        </w:tc>
        <w:tc>
          <w:tcPr>
            <w:tcW w:w="1220" w:type="dxa"/>
            <w:tcBorders>
              <w:top w:val="nil"/>
              <w:left w:val="single" w:sz="8" w:space="0" w:color="auto"/>
              <w:bottom w:val="single" w:sz="4" w:space="0" w:color="auto"/>
              <w:right w:val="single" w:sz="8" w:space="0" w:color="auto"/>
            </w:tcBorders>
            <w:shd w:val="clear" w:color="000000" w:fill="D3C5D7"/>
            <w:noWrap/>
            <w:vAlign w:val="bottom"/>
            <w:hideMark/>
          </w:tcPr>
          <w:p w:rsidR="006F2D9E" w:rsidRPr="00BE4A2A" w:rsidRDefault="006F2D9E"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27.1%</w:t>
            </w:r>
          </w:p>
        </w:tc>
      </w:tr>
      <w:tr w:rsidR="006F2D9E" w:rsidRPr="00BE4A2A" w:rsidTr="006F2D9E">
        <w:trPr>
          <w:trHeight w:val="270"/>
        </w:trPr>
        <w:tc>
          <w:tcPr>
            <w:tcW w:w="1220" w:type="dxa"/>
            <w:tcBorders>
              <w:top w:val="single" w:sz="4" w:space="0" w:color="auto"/>
              <w:left w:val="single" w:sz="4" w:space="0" w:color="auto"/>
              <w:bottom w:val="single" w:sz="4" w:space="0" w:color="auto"/>
              <w:right w:val="single" w:sz="4" w:space="0" w:color="auto"/>
            </w:tcBorders>
            <w:shd w:val="clear" w:color="000000" w:fill="D3C5D7"/>
            <w:vAlign w:val="center"/>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5 Years</w:t>
            </w:r>
          </w:p>
        </w:tc>
        <w:tc>
          <w:tcPr>
            <w:tcW w:w="1322" w:type="dxa"/>
            <w:tcBorders>
              <w:top w:val="nil"/>
              <w:left w:val="single" w:sz="4" w:space="0" w:color="auto"/>
              <w:bottom w:val="single" w:sz="4" w:space="0" w:color="auto"/>
              <w:right w:val="nil"/>
            </w:tcBorders>
            <w:shd w:val="clear" w:color="000000" w:fill="D3C5D7"/>
            <w:noWrap/>
            <w:vAlign w:val="bottom"/>
            <w:hideMark/>
          </w:tcPr>
          <w:p w:rsidR="006F2D9E" w:rsidRPr="00BE4A2A" w:rsidRDefault="006F2D9E" w:rsidP="00BE4A2A">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Review 3</w:t>
            </w:r>
          </w:p>
        </w:tc>
        <w:tc>
          <w:tcPr>
            <w:tcW w:w="1118" w:type="dxa"/>
            <w:tcBorders>
              <w:top w:val="nil"/>
              <w:left w:val="single" w:sz="8" w:space="0" w:color="auto"/>
              <w:bottom w:val="single" w:sz="4" w:space="0" w:color="auto"/>
              <w:right w:val="single" w:sz="8" w:space="0" w:color="auto"/>
            </w:tcBorders>
            <w:shd w:val="clear" w:color="000000" w:fill="D3C5D7"/>
            <w:noWrap/>
            <w:vAlign w:val="bottom"/>
            <w:hideMark/>
          </w:tcPr>
          <w:p w:rsidR="006F2D9E" w:rsidRPr="00BE4A2A" w:rsidRDefault="006F2D9E"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38.9%</w:t>
            </w:r>
          </w:p>
        </w:tc>
        <w:tc>
          <w:tcPr>
            <w:tcW w:w="1220" w:type="dxa"/>
            <w:tcBorders>
              <w:top w:val="nil"/>
              <w:left w:val="nil"/>
              <w:bottom w:val="single" w:sz="4" w:space="0" w:color="auto"/>
              <w:right w:val="nil"/>
            </w:tcBorders>
            <w:shd w:val="clear" w:color="000000" w:fill="D3C5D7"/>
            <w:noWrap/>
            <w:vAlign w:val="bottom"/>
            <w:hideMark/>
          </w:tcPr>
          <w:p w:rsidR="006F2D9E" w:rsidRPr="00BE4A2A" w:rsidRDefault="006F2D9E"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 </w:t>
            </w:r>
          </w:p>
        </w:tc>
        <w:tc>
          <w:tcPr>
            <w:tcW w:w="1220" w:type="dxa"/>
            <w:tcBorders>
              <w:top w:val="nil"/>
              <w:left w:val="single" w:sz="8" w:space="0" w:color="auto"/>
              <w:bottom w:val="single" w:sz="4" w:space="0" w:color="auto"/>
              <w:right w:val="single" w:sz="8" w:space="0" w:color="auto"/>
            </w:tcBorders>
            <w:shd w:val="clear" w:color="000000" w:fill="D3C5D7"/>
            <w:noWrap/>
            <w:vAlign w:val="bottom"/>
            <w:hideMark/>
          </w:tcPr>
          <w:p w:rsidR="006F2D9E" w:rsidRPr="00BE4A2A" w:rsidRDefault="006F2D9E"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51.1%</w:t>
            </w:r>
          </w:p>
        </w:tc>
        <w:tc>
          <w:tcPr>
            <w:tcW w:w="1220" w:type="dxa"/>
            <w:tcBorders>
              <w:top w:val="nil"/>
              <w:left w:val="nil"/>
              <w:bottom w:val="single" w:sz="4" w:space="0" w:color="auto"/>
              <w:right w:val="nil"/>
            </w:tcBorders>
            <w:shd w:val="clear" w:color="000000" w:fill="D3C5D7"/>
            <w:noWrap/>
            <w:vAlign w:val="bottom"/>
            <w:hideMark/>
          </w:tcPr>
          <w:p w:rsidR="006F2D9E" w:rsidRPr="00BE4A2A" w:rsidRDefault="006F2D9E"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34.3%</w:t>
            </w:r>
          </w:p>
        </w:tc>
        <w:tc>
          <w:tcPr>
            <w:tcW w:w="1220" w:type="dxa"/>
            <w:tcBorders>
              <w:top w:val="nil"/>
              <w:left w:val="single" w:sz="8" w:space="0" w:color="auto"/>
              <w:bottom w:val="single" w:sz="4" w:space="0" w:color="auto"/>
              <w:right w:val="single" w:sz="8" w:space="0" w:color="auto"/>
            </w:tcBorders>
            <w:shd w:val="clear" w:color="000000" w:fill="D3C5D7"/>
            <w:noWrap/>
            <w:vAlign w:val="bottom"/>
            <w:hideMark/>
          </w:tcPr>
          <w:p w:rsidR="006F2D9E" w:rsidRPr="00BE4A2A" w:rsidRDefault="006F2D9E"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26.3%</w:t>
            </w:r>
          </w:p>
        </w:tc>
      </w:tr>
      <w:tr w:rsidR="006F2D9E" w:rsidRPr="00BE4A2A" w:rsidTr="006F2D9E">
        <w:trPr>
          <w:trHeight w:val="270"/>
        </w:trPr>
        <w:tc>
          <w:tcPr>
            <w:tcW w:w="1220" w:type="dxa"/>
            <w:tcBorders>
              <w:top w:val="single" w:sz="4" w:space="0" w:color="auto"/>
              <w:left w:val="single" w:sz="4" w:space="0" w:color="auto"/>
              <w:bottom w:val="single" w:sz="4" w:space="0" w:color="auto"/>
              <w:right w:val="single" w:sz="4" w:space="0" w:color="auto"/>
            </w:tcBorders>
            <w:shd w:val="clear" w:color="000000" w:fill="D3C5D7"/>
            <w:vAlign w:val="center"/>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5 Years</w:t>
            </w:r>
          </w:p>
        </w:tc>
        <w:tc>
          <w:tcPr>
            <w:tcW w:w="1322" w:type="dxa"/>
            <w:tcBorders>
              <w:top w:val="nil"/>
              <w:left w:val="single" w:sz="4" w:space="0" w:color="auto"/>
              <w:bottom w:val="single" w:sz="4" w:space="0" w:color="auto"/>
              <w:right w:val="nil"/>
            </w:tcBorders>
            <w:shd w:val="clear" w:color="000000" w:fill="D3C5D7"/>
            <w:noWrap/>
            <w:vAlign w:val="bottom"/>
            <w:hideMark/>
          </w:tcPr>
          <w:p w:rsidR="006F2D9E" w:rsidRPr="00BE4A2A" w:rsidRDefault="006F2D9E" w:rsidP="00BE4A2A">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Review 4</w:t>
            </w:r>
          </w:p>
        </w:tc>
        <w:tc>
          <w:tcPr>
            <w:tcW w:w="1118" w:type="dxa"/>
            <w:tcBorders>
              <w:top w:val="nil"/>
              <w:left w:val="single" w:sz="8" w:space="0" w:color="auto"/>
              <w:bottom w:val="single" w:sz="4" w:space="0" w:color="auto"/>
              <w:right w:val="single" w:sz="8" w:space="0" w:color="auto"/>
            </w:tcBorders>
            <w:shd w:val="clear" w:color="000000" w:fill="D3C5D7"/>
            <w:noWrap/>
            <w:vAlign w:val="bottom"/>
            <w:hideMark/>
          </w:tcPr>
          <w:p w:rsidR="006F2D9E" w:rsidRPr="00BE4A2A" w:rsidRDefault="006F2D9E"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38.3%</w:t>
            </w:r>
          </w:p>
        </w:tc>
        <w:tc>
          <w:tcPr>
            <w:tcW w:w="1220" w:type="dxa"/>
            <w:tcBorders>
              <w:top w:val="nil"/>
              <w:left w:val="nil"/>
              <w:bottom w:val="single" w:sz="4" w:space="0" w:color="auto"/>
              <w:right w:val="nil"/>
            </w:tcBorders>
            <w:shd w:val="clear" w:color="000000" w:fill="D3C5D7"/>
            <w:noWrap/>
            <w:vAlign w:val="bottom"/>
            <w:hideMark/>
          </w:tcPr>
          <w:p w:rsidR="006F2D9E" w:rsidRPr="00BE4A2A" w:rsidRDefault="006F2D9E"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 </w:t>
            </w:r>
          </w:p>
        </w:tc>
        <w:tc>
          <w:tcPr>
            <w:tcW w:w="1220" w:type="dxa"/>
            <w:tcBorders>
              <w:top w:val="nil"/>
              <w:left w:val="single" w:sz="8" w:space="0" w:color="auto"/>
              <w:bottom w:val="single" w:sz="4" w:space="0" w:color="auto"/>
              <w:right w:val="single" w:sz="8" w:space="0" w:color="auto"/>
            </w:tcBorders>
            <w:shd w:val="clear" w:color="000000" w:fill="D3C5D7"/>
            <w:noWrap/>
            <w:vAlign w:val="bottom"/>
            <w:hideMark/>
          </w:tcPr>
          <w:p w:rsidR="006F2D9E" w:rsidRPr="00BE4A2A" w:rsidRDefault="006F2D9E"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50.2%</w:t>
            </w:r>
          </w:p>
        </w:tc>
        <w:tc>
          <w:tcPr>
            <w:tcW w:w="1220" w:type="dxa"/>
            <w:tcBorders>
              <w:top w:val="nil"/>
              <w:left w:val="nil"/>
              <w:bottom w:val="single" w:sz="4" w:space="0" w:color="auto"/>
              <w:right w:val="nil"/>
            </w:tcBorders>
            <w:shd w:val="clear" w:color="000000" w:fill="D3C5D7"/>
            <w:noWrap/>
            <w:vAlign w:val="bottom"/>
            <w:hideMark/>
          </w:tcPr>
          <w:p w:rsidR="006F2D9E" w:rsidRPr="00BE4A2A" w:rsidRDefault="006F2D9E"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32.0%</w:t>
            </w:r>
          </w:p>
        </w:tc>
        <w:tc>
          <w:tcPr>
            <w:tcW w:w="1220" w:type="dxa"/>
            <w:tcBorders>
              <w:top w:val="nil"/>
              <w:left w:val="single" w:sz="8" w:space="0" w:color="auto"/>
              <w:bottom w:val="single" w:sz="4" w:space="0" w:color="auto"/>
              <w:right w:val="single" w:sz="8" w:space="0" w:color="auto"/>
            </w:tcBorders>
            <w:shd w:val="clear" w:color="000000" w:fill="D3C5D7"/>
            <w:noWrap/>
            <w:vAlign w:val="bottom"/>
            <w:hideMark/>
          </w:tcPr>
          <w:p w:rsidR="006F2D9E" w:rsidRPr="00BE4A2A" w:rsidRDefault="006F2D9E"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27.8%</w:t>
            </w:r>
          </w:p>
        </w:tc>
      </w:tr>
      <w:tr w:rsidR="006F2D9E" w:rsidRPr="00BE4A2A" w:rsidTr="006F2D9E">
        <w:trPr>
          <w:trHeight w:val="278"/>
        </w:trPr>
        <w:tc>
          <w:tcPr>
            <w:tcW w:w="1220" w:type="dxa"/>
            <w:tcBorders>
              <w:top w:val="single" w:sz="4" w:space="0" w:color="auto"/>
              <w:left w:val="single" w:sz="8" w:space="0" w:color="auto"/>
              <w:bottom w:val="single" w:sz="8" w:space="0" w:color="000000"/>
              <w:right w:val="single" w:sz="8" w:space="0" w:color="auto"/>
            </w:tcBorders>
            <w:shd w:val="clear" w:color="000000" w:fill="D3C5D7"/>
            <w:vAlign w:val="center"/>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5 Years</w:t>
            </w:r>
          </w:p>
        </w:tc>
        <w:tc>
          <w:tcPr>
            <w:tcW w:w="1322" w:type="dxa"/>
            <w:tcBorders>
              <w:top w:val="nil"/>
              <w:left w:val="nil"/>
              <w:bottom w:val="single" w:sz="8" w:space="0" w:color="auto"/>
              <w:right w:val="nil"/>
            </w:tcBorders>
            <w:shd w:val="clear" w:color="000000" w:fill="D3C5D7"/>
            <w:noWrap/>
            <w:vAlign w:val="bottom"/>
            <w:hideMark/>
          </w:tcPr>
          <w:p w:rsidR="006F2D9E" w:rsidRPr="00BE4A2A" w:rsidRDefault="006F2D9E" w:rsidP="00BE4A2A">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Review 5</w:t>
            </w:r>
          </w:p>
        </w:tc>
        <w:tc>
          <w:tcPr>
            <w:tcW w:w="1118" w:type="dxa"/>
            <w:tcBorders>
              <w:top w:val="nil"/>
              <w:left w:val="single" w:sz="8" w:space="0" w:color="auto"/>
              <w:bottom w:val="single" w:sz="8" w:space="0" w:color="auto"/>
              <w:right w:val="single" w:sz="8" w:space="0" w:color="auto"/>
            </w:tcBorders>
            <w:shd w:val="clear" w:color="000000" w:fill="D3C5D7"/>
            <w:noWrap/>
            <w:vAlign w:val="bottom"/>
            <w:hideMark/>
          </w:tcPr>
          <w:p w:rsidR="006F2D9E" w:rsidRPr="00BE4A2A" w:rsidRDefault="006F2D9E"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36.9%</w:t>
            </w:r>
          </w:p>
        </w:tc>
        <w:tc>
          <w:tcPr>
            <w:tcW w:w="1220" w:type="dxa"/>
            <w:tcBorders>
              <w:top w:val="nil"/>
              <w:left w:val="nil"/>
              <w:bottom w:val="single" w:sz="8" w:space="0" w:color="auto"/>
              <w:right w:val="nil"/>
            </w:tcBorders>
            <w:shd w:val="clear" w:color="000000" w:fill="D3C5D7"/>
            <w:noWrap/>
            <w:vAlign w:val="bottom"/>
            <w:hideMark/>
          </w:tcPr>
          <w:p w:rsidR="006F2D9E" w:rsidRPr="00BE4A2A" w:rsidRDefault="006F2D9E"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 </w:t>
            </w:r>
          </w:p>
        </w:tc>
        <w:tc>
          <w:tcPr>
            <w:tcW w:w="1220" w:type="dxa"/>
            <w:tcBorders>
              <w:top w:val="nil"/>
              <w:left w:val="single" w:sz="8" w:space="0" w:color="auto"/>
              <w:bottom w:val="single" w:sz="8" w:space="0" w:color="auto"/>
              <w:right w:val="single" w:sz="8" w:space="0" w:color="auto"/>
            </w:tcBorders>
            <w:shd w:val="clear" w:color="000000" w:fill="D3C5D7"/>
            <w:noWrap/>
            <w:vAlign w:val="bottom"/>
            <w:hideMark/>
          </w:tcPr>
          <w:p w:rsidR="006F2D9E" w:rsidRPr="00BE4A2A" w:rsidRDefault="006F2D9E"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47.7%</w:t>
            </w:r>
          </w:p>
        </w:tc>
        <w:tc>
          <w:tcPr>
            <w:tcW w:w="1220" w:type="dxa"/>
            <w:tcBorders>
              <w:top w:val="nil"/>
              <w:left w:val="nil"/>
              <w:bottom w:val="single" w:sz="8" w:space="0" w:color="auto"/>
              <w:right w:val="nil"/>
            </w:tcBorders>
            <w:shd w:val="clear" w:color="000000" w:fill="D3C5D7"/>
            <w:noWrap/>
            <w:vAlign w:val="bottom"/>
            <w:hideMark/>
          </w:tcPr>
          <w:p w:rsidR="006F2D9E" w:rsidRPr="00BE4A2A" w:rsidRDefault="006F2D9E"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33.1%</w:t>
            </w:r>
          </w:p>
        </w:tc>
        <w:tc>
          <w:tcPr>
            <w:tcW w:w="1220" w:type="dxa"/>
            <w:tcBorders>
              <w:top w:val="nil"/>
              <w:left w:val="single" w:sz="8" w:space="0" w:color="auto"/>
              <w:bottom w:val="single" w:sz="8" w:space="0" w:color="auto"/>
              <w:right w:val="single" w:sz="8" w:space="0" w:color="auto"/>
            </w:tcBorders>
            <w:shd w:val="clear" w:color="000000" w:fill="D3C5D7"/>
            <w:noWrap/>
            <w:vAlign w:val="bottom"/>
            <w:hideMark/>
          </w:tcPr>
          <w:p w:rsidR="006F2D9E" w:rsidRPr="00BE4A2A" w:rsidRDefault="006F2D9E"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26.9%</w:t>
            </w:r>
          </w:p>
        </w:tc>
      </w:tr>
      <w:tr w:rsidR="00BE4A2A" w:rsidRPr="00BE4A2A" w:rsidTr="006F2D9E">
        <w:trPr>
          <w:trHeight w:val="270"/>
        </w:trPr>
        <w:tc>
          <w:tcPr>
            <w:tcW w:w="1220" w:type="dxa"/>
            <w:tcBorders>
              <w:top w:val="nil"/>
              <w:left w:val="single" w:sz="8" w:space="0" w:color="auto"/>
              <w:bottom w:val="single" w:sz="8" w:space="0" w:color="000000"/>
              <w:right w:val="single" w:sz="8" w:space="0" w:color="auto"/>
            </w:tcBorders>
            <w:shd w:val="clear" w:color="000000" w:fill="E3EED3"/>
            <w:noWrap/>
            <w:vAlign w:val="center"/>
            <w:hideMark/>
          </w:tcPr>
          <w:p w:rsidR="00BE4A2A" w:rsidRPr="00BE4A2A" w:rsidRDefault="00BE4A2A"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4 Years</w:t>
            </w:r>
          </w:p>
        </w:tc>
        <w:tc>
          <w:tcPr>
            <w:tcW w:w="1322" w:type="dxa"/>
            <w:tcBorders>
              <w:top w:val="nil"/>
              <w:left w:val="nil"/>
              <w:bottom w:val="single" w:sz="4" w:space="0" w:color="auto"/>
              <w:right w:val="nil"/>
            </w:tcBorders>
            <w:shd w:val="clear" w:color="000000" w:fill="E3EED3"/>
            <w:noWrap/>
            <w:vAlign w:val="bottom"/>
            <w:hideMark/>
          </w:tcPr>
          <w:p w:rsidR="00BE4A2A" w:rsidRPr="00BE4A2A" w:rsidRDefault="00BE4A2A"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B</w:t>
            </w:r>
            <w:r w:rsidR="00E6354D">
              <w:rPr>
                <w:rFonts w:ascii="Arial" w:eastAsia="Times New Roman" w:hAnsi="Arial" w:cs="Arial"/>
                <w:color w:val="000000"/>
                <w:lang w:eastAsia="en-AU"/>
              </w:rPr>
              <w:t>aseline</w:t>
            </w:r>
          </w:p>
        </w:tc>
        <w:tc>
          <w:tcPr>
            <w:tcW w:w="1118" w:type="dxa"/>
            <w:tcBorders>
              <w:top w:val="nil"/>
              <w:left w:val="single" w:sz="8" w:space="0" w:color="auto"/>
              <w:bottom w:val="single" w:sz="4" w:space="0" w:color="auto"/>
              <w:right w:val="single" w:sz="8" w:space="0" w:color="auto"/>
            </w:tcBorders>
            <w:shd w:val="clear" w:color="000000" w:fill="E3EED3"/>
            <w:noWrap/>
            <w:vAlign w:val="bottom"/>
            <w:hideMark/>
          </w:tcPr>
          <w:p w:rsidR="00BE4A2A" w:rsidRPr="00BE4A2A" w:rsidRDefault="00BE4A2A"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50.3%</w:t>
            </w:r>
          </w:p>
        </w:tc>
        <w:tc>
          <w:tcPr>
            <w:tcW w:w="1220" w:type="dxa"/>
            <w:tcBorders>
              <w:top w:val="nil"/>
              <w:left w:val="nil"/>
              <w:bottom w:val="single" w:sz="4" w:space="0" w:color="auto"/>
              <w:right w:val="nil"/>
            </w:tcBorders>
            <w:shd w:val="clear" w:color="000000" w:fill="E3EED3"/>
            <w:noWrap/>
            <w:vAlign w:val="bottom"/>
            <w:hideMark/>
          </w:tcPr>
          <w:p w:rsidR="00BE4A2A" w:rsidRPr="00BE4A2A" w:rsidRDefault="00BE4A2A"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58.7%</w:t>
            </w:r>
          </w:p>
        </w:tc>
        <w:tc>
          <w:tcPr>
            <w:tcW w:w="1220" w:type="dxa"/>
            <w:tcBorders>
              <w:top w:val="nil"/>
              <w:left w:val="single" w:sz="8" w:space="0" w:color="auto"/>
              <w:bottom w:val="single" w:sz="4" w:space="0" w:color="auto"/>
              <w:right w:val="single" w:sz="8" w:space="0" w:color="auto"/>
            </w:tcBorders>
            <w:shd w:val="clear" w:color="000000" w:fill="E3EED3"/>
            <w:noWrap/>
            <w:vAlign w:val="bottom"/>
            <w:hideMark/>
          </w:tcPr>
          <w:p w:rsidR="00BE4A2A" w:rsidRPr="00BE4A2A" w:rsidRDefault="00BE4A2A"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63.4%</w:t>
            </w:r>
          </w:p>
        </w:tc>
        <w:tc>
          <w:tcPr>
            <w:tcW w:w="1220" w:type="dxa"/>
            <w:tcBorders>
              <w:top w:val="nil"/>
              <w:left w:val="nil"/>
              <w:bottom w:val="single" w:sz="4" w:space="0" w:color="auto"/>
              <w:right w:val="nil"/>
            </w:tcBorders>
            <w:shd w:val="clear" w:color="000000" w:fill="E3EED3"/>
            <w:noWrap/>
            <w:vAlign w:val="bottom"/>
            <w:hideMark/>
          </w:tcPr>
          <w:p w:rsidR="00BE4A2A" w:rsidRPr="00BE4A2A" w:rsidRDefault="00BE4A2A"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43.0%</w:t>
            </w:r>
          </w:p>
        </w:tc>
        <w:tc>
          <w:tcPr>
            <w:tcW w:w="1220" w:type="dxa"/>
            <w:tcBorders>
              <w:top w:val="nil"/>
              <w:left w:val="single" w:sz="8" w:space="0" w:color="auto"/>
              <w:bottom w:val="single" w:sz="4" w:space="0" w:color="auto"/>
              <w:right w:val="single" w:sz="8" w:space="0" w:color="auto"/>
            </w:tcBorders>
            <w:shd w:val="clear" w:color="000000" w:fill="E3EED3"/>
            <w:noWrap/>
            <w:vAlign w:val="bottom"/>
            <w:hideMark/>
          </w:tcPr>
          <w:p w:rsidR="00BE4A2A" w:rsidRPr="00BE4A2A" w:rsidRDefault="00BE4A2A"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28.3%</w:t>
            </w:r>
          </w:p>
        </w:tc>
      </w:tr>
      <w:tr w:rsidR="00BE4A2A" w:rsidRPr="00BE4A2A" w:rsidTr="006F2D9E">
        <w:trPr>
          <w:trHeight w:val="270"/>
        </w:trPr>
        <w:tc>
          <w:tcPr>
            <w:tcW w:w="1220" w:type="dxa"/>
            <w:tcBorders>
              <w:top w:val="nil"/>
              <w:left w:val="single" w:sz="8" w:space="0" w:color="auto"/>
              <w:bottom w:val="single" w:sz="8" w:space="0" w:color="000000"/>
              <w:right w:val="single" w:sz="8" w:space="0" w:color="auto"/>
            </w:tcBorders>
            <w:shd w:val="clear" w:color="000000" w:fill="E3EED3"/>
            <w:vAlign w:val="center"/>
            <w:hideMark/>
          </w:tcPr>
          <w:p w:rsidR="00BE4A2A"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4 Years</w:t>
            </w:r>
          </w:p>
        </w:tc>
        <w:tc>
          <w:tcPr>
            <w:tcW w:w="1322" w:type="dxa"/>
            <w:tcBorders>
              <w:top w:val="nil"/>
              <w:left w:val="nil"/>
              <w:bottom w:val="single" w:sz="4" w:space="0" w:color="auto"/>
              <w:right w:val="nil"/>
            </w:tcBorders>
            <w:shd w:val="clear" w:color="000000" w:fill="E3EED3"/>
            <w:noWrap/>
            <w:vAlign w:val="bottom"/>
            <w:hideMark/>
          </w:tcPr>
          <w:p w:rsidR="00BE4A2A" w:rsidRPr="00BE4A2A" w:rsidRDefault="00E6354D" w:rsidP="00BE4A2A">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Review 1</w:t>
            </w:r>
          </w:p>
        </w:tc>
        <w:tc>
          <w:tcPr>
            <w:tcW w:w="1118" w:type="dxa"/>
            <w:tcBorders>
              <w:top w:val="nil"/>
              <w:left w:val="single" w:sz="8" w:space="0" w:color="auto"/>
              <w:bottom w:val="single" w:sz="4" w:space="0" w:color="auto"/>
              <w:right w:val="single" w:sz="8" w:space="0" w:color="auto"/>
            </w:tcBorders>
            <w:shd w:val="clear" w:color="000000" w:fill="E3EED3"/>
            <w:noWrap/>
            <w:vAlign w:val="bottom"/>
            <w:hideMark/>
          </w:tcPr>
          <w:p w:rsidR="00BE4A2A" w:rsidRPr="00BE4A2A" w:rsidRDefault="00BE4A2A"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49.2%</w:t>
            </w:r>
          </w:p>
        </w:tc>
        <w:tc>
          <w:tcPr>
            <w:tcW w:w="1220" w:type="dxa"/>
            <w:tcBorders>
              <w:top w:val="nil"/>
              <w:left w:val="nil"/>
              <w:bottom w:val="single" w:sz="4" w:space="0" w:color="auto"/>
              <w:right w:val="nil"/>
            </w:tcBorders>
            <w:shd w:val="clear" w:color="000000" w:fill="E3EED3"/>
            <w:noWrap/>
            <w:vAlign w:val="bottom"/>
            <w:hideMark/>
          </w:tcPr>
          <w:p w:rsidR="00BE4A2A" w:rsidRPr="00BE4A2A" w:rsidRDefault="00BE4A2A"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58.6%</w:t>
            </w:r>
          </w:p>
        </w:tc>
        <w:tc>
          <w:tcPr>
            <w:tcW w:w="1220" w:type="dxa"/>
            <w:tcBorders>
              <w:top w:val="nil"/>
              <w:left w:val="single" w:sz="8" w:space="0" w:color="auto"/>
              <w:bottom w:val="single" w:sz="4" w:space="0" w:color="auto"/>
              <w:right w:val="single" w:sz="8" w:space="0" w:color="auto"/>
            </w:tcBorders>
            <w:shd w:val="clear" w:color="000000" w:fill="E3EED3"/>
            <w:noWrap/>
            <w:vAlign w:val="bottom"/>
            <w:hideMark/>
          </w:tcPr>
          <w:p w:rsidR="00BE4A2A" w:rsidRPr="00BE4A2A" w:rsidRDefault="00BE4A2A"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61.9%</w:t>
            </w:r>
          </w:p>
        </w:tc>
        <w:tc>
          <w:tcPr>
            <w:tcW w:w="1220" w:type="dxa"/>
            <w:tcBorders>
              <w:top w:val="nil"/>
              <w:left w:val="nil"/>
              <w:bottom w:val="single" w:sz="4" w:space="0" w:color="auto"/>
              <w:right w:val="nil"/>
            </w:tcBorders>
            <w:shd w:val="clear" w:color="000000" w:fill="E3EED3"/>
            <w:noWrap/>
            <w:vAlign w:val="bottom"/>
            <w:hideMark/>
          </w:tcPr>
          <w:p w:rsidR="00BE4A2A" w:rsidRPr="00BE4A2A" w:rsidRDefault="00BE4A2A"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40.9%</w:t>
            </w:r>
          </w:p>
        </w:tc>
        <w:tc>
          <w:tcPr>
            <w:tcW w:w="1220" w:type="dxa"/>
            <w:tcBorders>
              <w:top w:val="nil"/>
              <w:left w:val="single" w:sz="8" w:space="0" w:color="auto"/>
              <w:bottom w:val="single" w:sz="4" w:space="0" w:color="auto"/>
              <w:right w:val="single" w:sz="8" w:space="0" w:color="auto"/>
            </w:tcBorders>
            <w:shd w:val="clear" w:color="000000" w:fill="E3EED3"/>
            <w:noWrap/>
            <w:vAlign w:val="bottom"/>
            <w:hideMark/>
          </w:tcPr>
          <w:p w:rsidR="00BE4A2A" w:rsidRPr="00BE4A2A" w:rsidRDefault="00BE4A2A"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27.1%</w:t>
            </w:r>
          </w:p>
        </w:tc>
      </w:tr>
      <w:tr w:rsidR="00BE4A2A" w:rsidRPr="00BE4A2A" w:rsidTr="006F2D9E">
        <w:trPr>
          <w:trHeight w:val="270"/>
        </w:trPr>
        <w:tc>
          <w:tcPr>
            <w:tcW w:w="1220" w:type="dxa"/>
            <w:tcBorders>
              <w:top w:val="nil"/>
              <w:left w:val="single" w:sz="8" w:space="0" w:color="auto"/>
              <w:bottom w:val="single" w:sz="8" w:space="0" w:color="000000"/>
              <w:right w:val="single" w:sz="8" w:space="0" w:color="auto"/>
            </w:tcBorders>
            <w:shd w:val="clear" w:color="000000" w:fill="E3EED3"/>
            <w:vAlign w:val="center"/>
            <w:hideMark/>
          </w:tcPr>
          <w:p w:rsidR="00BE4A2A"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4 Years</w:t>
            </w:r>
          </w:p>
        </w:tc>
        <w:tc>
          <w:tcPr>
            <w:tcW w:w="1322" w:type="dxa"/>
            <w:tcBorders>
              <w:top w:val="nil"/>
              <w:left w:val="nil"/>
              <w:bottom w:val="single" w:sz="4" w:space="0" w:color="auto"/>
              <w:right w:val="nil"/>
            </w:tcBorders>
            <w:shd w:val="clear" w:color="000000" w:fill="E3EED3"/>
            <w:noWrap/>
            <w:vAlign w:val="bottom"/>
            <w:hideMark/>
          </w:tcPr>
          <w:p w:rsidR="00BE4A2A" w:rsidRPr="00BE4A2A" w:rsidRDefault="00E6354D" w:rsidP="00BE4A2A">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Review 2</w:t>
            </w:r>
          </w:p>
        </w:tc>
        <w:tc>
          <w:tcPr>
            <w:tcW w:w="1118" w:type="dxa"/>
            <w:tcBorders>
              <w:top w:val="nil"/>
              <w:left w:val="single" w:sz="8" w:space="0" w:color="auto"/>
              <w:bottom w:val="single" w:sz="4" w:space="0" w:color="auto"/>
              <w:right w:val="single" w:sz="8" w:space="0" w:color="auto"/>
            </w:tcBorders>
            <w:shd w:val="clear" w:color="000000" w:fill="E3EED3"/>
            <w:noWrap/>
            <w:vAlign w:val="bottom"/>
            <w:hideMark/>
          </w:tcPr>
          <w:p w:rsidR="00BE4A2A" w:rsidRPr="00BE4A2A" w:rsidRDefault="00BE4A2A"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47.3%</w:t>
            </w:r>
          </w:p>
        </w:tc>
        <w:tc>
          <w:tcPr>
            <w:tcW w:w="1220" w:type="dxa"/>
            <w:tcBorders>
              <w:top w:val="nil"/>
              <w:left w:val="nil"/>
              <w:bottom w:val="single" w:sz="4" w:space="0" w:color="auto"/>
              <w:right w:val="nil"/>
            </w:tcBorders>
            <w:shd w:val="clear" w:color="000000" w:fill="E3EED3"/>
            <w:noWrap/>
            <w:vAlign w:val="bottom"/>
            <w:hideMark/>
          </w:tcPr>
          <w:p w:rsidR="00BE4A2A" w:rsidRPr="00BE4A2A" w:rsidRDefault="00BE4A2A"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56.6%</w:t>
            </w:r>
          </w:p>
        </w:tc>
        <w:tc>
          <w:tcPr>
            <w:tcW w:w="1220" w:type="dxa"/>
            <w:tcBorders>
              <w:top w:val="nil"/>
              <w:left w:val="single" w:sz="8" w:space="0" w:color="auto"/>
              <w:bottom w:val="single" w:sz="4" w:space="0" w:color="auto"/>
              <w:right w:val="single" w:sz="8" w:space="0" w:color="auto"/>
            </w:tcBorders>
            <w:shd w:val="clear" w:color="000000" w:fill="E3EED3"/>
            <w:noWrap/>
            <w:vAlign w:val="bottom"/>
            <w:hideMark/>
          </w:tcPr>
          <w:p w:rsidR="00BE4A2A" w:rsidRPr="00BE4A2A" w:rsidRDefault="00BE4A2A"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59.7%</w:t>
            </w:r>
          </w:p>
        </w:tc>
        <w:tc>
          <w:tcPr>
            <w:tcW w:w="1220" w:type="dxa"/>
            <w:tcBorders>
              <w:top w:val="nil"/>
              <w:left w:val="nil"/>
              <w:bottom w:val="single" w:sz="4" w:space="0" w:color="auto"/>
              <w:right w:val="nil"/>
            </w:tcBorders>
            <w:shd w:val="clear" w:color="000000" w:fill="E3EED3"/>
            <w:noWrap/>
            <w:vAlign w:val="bottom"/>
            <w:hideMark/>
          </w:tcPr>
          <w:p w:rsidR="00BE4A2A" w:rsidRPr="00BE4A2A" w:rsidRDefault="00BE4A2A"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38.2%</w:t>
            </w:r>
          </w:p>
        </w:tc>
        <w:tc>
          <w:tcPr>
            <w:tcW w:w="1220" w:type="dxa"/>
            <w:tcBorders>
              <w:top w:val="nil"/>
              <w:left w:val="single" w:sz="8" w:space="0" w:color="auto"/>
              <w:bottom w:val="single" w:sz="4" w:space="0" w:color="auto"/>
              <w:right w:val="single" w:sz="8" w:space="0" w:color="auto"/>
            </w:tcBorders>
            <w:shd w:val="clear" w:color="000000" w:fill="E3EED3"/>
            <w:noWrap/>
            <w:vAlign w:val="bottom"/>
            <w:hideMark/>
          </w:tcPr>
          <w:p w:rsidR="00BE4A2A" w:rsidRPr="00BE4A2A" w:rsidRDefault="00BE4A2A"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26.7%</w:t>
            </w:r>
          </w:p>
        </w:tc>
      </w:tr>
      <w:tr w:rsidR="00BE4A2A" w:rsidRPr="00BE4A2A" w:rsidTr="006F2D9E">
        <w:trPr>
          <w:trHeight w:val="270"/>
        </w:trPr>
        <w:tc>
          <w:tcPr>
            <w:tcW w:w="1220" w:type="dxa"/>
            <w:tcBorders>
              <w:top w:val="nil"/>
              <w:left w:val="single" w:sz="8" w:space="0" w:color="auto"/>
              <w:bottom w:val="single" w:sz="8" w:space="0" w:color="000000"/>
              <w:right w:val="single" w:sz="8" w:space="0" w:color="auto"/>
            </w:tcBorders>
            <w:shd w:val="clear" w:color="000000" w:fill="E3EED3"/>
            <w:vAlign w:val="center"/>
            <w:hideMark/>
          </w:tcPr>
          <w:p w:rsidR="00BE4A2A"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4 Years</w:t>
            </w:r>
          </w:p>
        </w:tc>
        <w:tc>
          <w:tcPr>
            <w:tcW w:w="1322" w:type="dxa"/>
            <w:tcBorders>
              <w:top w:val="nil"/>
              <w:left w:val="nil"/>
              <w:bottom w:val="single" w:sz="4" w:space="0" w:color="auto"/>
              <w:right w:val="nil"/>
            </w:tcBorders>
            <w:shd w:val="clear" w:color="000000" w:fill="E3EED3"/>
            <w:noWrap/>
            <w:vAlign w:val="bottom"/>
            <w:hideMark/>
          </w:tcPr>
          <w:p w:rsidR="00BE4A2A" w:rsidRPr="00BE4A2A" w:rsidRDefault="00E6354D" w:rsidP="00BE4A2A">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Review 3</w:t>
            </w:r>
          </w:p>
        </w:tc>
        <w:tc>
          <w:tcPr>
            <w:tcW w:w="1118" w:type="dxa"/>
            <w:tcBorders>
              <w:top w:val="nil"/>
              <w:left w:val="single" w:sz="8" w:space="0" w:color="auto"/>
              <w:bottom w:val="single" w:sz="4" w:space="0" w:color="auto"/>
              <w:right w:val="single" w:sz="8" w:space="0" w:color="auto"/>
            </w:tcBorders>
            <w:shd w:val="clear" w:color="000000" w:fill="E3EED3"/>
            <w:noWrap/>
            <w:vAlign w:val="bottom"/>
            <w:hideMark/>
          </w:tcPr>
          <w:p w:rsidR="00BE4A2A" w:rsidRPr="00BE4A2A" w:rsidRDefault="00BE4A2A"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46.5%</w:t>
            </w:r>
          </w:p>
        </w:tc>
        <w:tc>
          <w:tcPr>
            <w:tcW w:w="1220" w:type="dxa"/>
            <w:tcBorders>
              <w:top w:val="nil"/>
              <w:left w:val="nil"/>
              <w:bottom w:val="single" w:sz="4" w:space="0" w:color="auto"/>
              <w:right w:val="nil"/>
            </w:tcBorders>
            <w:shd w:val="clear" w:color="000000" w:fill="E3EED3"/>
            <w:noWrap/>
            <w:vAlign w:val="bottom"/>
            <w:hideMark/>
          </w:tcPr>
          <w:p w:rsidR="00BE4A2A" w:rsidRPr="00BE4A2A" w:rsidRDefault="00BE4A2A"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53.9%</w:t>
            </w:r>
          </w:p>
        </w:tc>
        <w:tc>
          <w:tcPr>
            <w:tcW w:w="1220" w:type="dxa"/>
            <w:tcBorders>
              <w:top w:val="nil"/>
              <w:left w:val="single" w:sz="8" w:space="0" w:color="auto"/>
              <w:bottom w:val="single" w:sz="4" w:space="0" w:color="auto"/>
              <w:right w:val="single" w:sz="8" w:space="0" w:color="auto"/>
            </w:tcBorders>
            <w:shd w:val="clear" w:color="000000" w:fill="E3EED3"/>
            <w:noWrap/>
            <w:vAlign w:val="bottom"/>
            <w:hideMark/>
          </w:tcPr>
          <w:p w:rsidR="00BE4A2A" w:rsidRPr="00BE4A2A" w:rsidRDefault="00BE4A2A"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57.9%</w:t>
            </w:r>
          </w:p>
        </w:tc>
        <w:tc>
          <w:tcPr>
            <w:tcW w:w="1220" w:type="dxa"/>
            <w:tcBorders>
              <w:top w:val="nil"/>
              <w:left w:val="nil"/>
              <w:bottom w:val="single" w:sz="4" w:space="0" w:color="auto"/>
              <w:right w:val="nil"/>
            </w:tcBorders>
            <w:shd w:val="clear" w:color="000000" w:fill="E3EED3"/>
            <w:noWrap/>
            <w:vAlign w:val="bottom"/>
            <w:hideMark/>
          </w:tcPr>
          <w:p w:rsidR="00BE4A2A" w:rsidRPr="00BE4A2A" w:rsidRDefault="00BE4A2A"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38.3%</w:t>
            </w:r>
          </w:p>
        </w:tc>
        <w:tc>
          <w:tcPr>
            <w:tcW w:w="1220" w:type="dxa"/>
            <w:tcBorders>
              <w:top w:val="nil"/>
              <w:left w:val="single" w:sz="8" w:space="0" w:color="auto"/>
              <w:bottom w:val="single" w:sz="4" w:space="0" w:color="auto"/>
              <w:right w:val="single" w:sz="8" w:space="0" w:color="auto"/>
            </w:tcBorders>
            <w:shd w:val="clear" w:color="000000" w:fill="E3EED3"/>
            <w:noWrap/>
            <w:vAlign w:val="bottom"/>
            <w:hideMark/>
          </w:tcPr>
          <w:p w:rsidR="00BE4A2A" w:rsidRPr="00BE4A2A" w:rsidRDefault="00BE4A2A"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25.7%</w:t>
            </w:r>
          </w:p>
        </w:tc>
      </w:tr>
      <w:tr w:rsidR="00BE4A2A" w:rsidRPr="00BE4A2A" w:rsidTr="006F2D9E">
        <w:trPr>
          <w:trHeight w:val="278"/>
        </w:trPr>
        <w:tc>
          <w:tcPr>
            <w:tcW w:w="1220" w:type="dxa"/>
            <w:tcBorders>
              <w:top w:val="nil"/>
              <w:left w:val="single" w:sz="8" w:space="0" w:color="auto"/>
              <w:bottom w:val="single" w:sz="8" w:space="0" w:color="000000"/>
              <w:right w:val="single" w:sz="8" w:space="0" w:color="auto"/>
            </w:tcBorders>
            <w:shd w:val="clear" w:color="000000" w:fill="E3EED3"/>
            <w:vAlign w:val="center"/>
            <w:hideMark/>
          </w:tcPr>
          <w:p w:rsidR="00BE4A2A"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4 Years</w:t>
            </w:r>
          </w:p>
        </w:tc>
        <w:tc>
          <w:tcPr>
            <w:tcW w:w="1322" w:type="dxa"/>
            <w:tcBorders>
              <w:top w:val="nil"/>
              <w:left w:val="nil"/>
              <w:bottom w:val="single" w:sz="8" w:space="0" w:color="auto"/>
              <w:right w:val="nil"/>
            </w:tcBorders>
            <w:shd w:val="clear" w:color="000000" w:fill="E3EED3"/>
            <w:noWrap/>
            <w:vAlign w:val="bottom"/>
            <w:hideMark/>
          </w:tcPr>
          <w:p w:rsidR="00BE4A2A" w:rsidRPr="00BE4A2A" w:rsidRDefault="00E6354D" w:rsidP="00BE4A2A">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Review 4</w:t>
            </w:r>
          </w:p>
        </w:tc>
        <w:tc>
          <w:tcPr>
            <w:tcW w:w="1118" w:type="dxa"/>
            <w:tcBorders>
              <w:top w:val="nil"/>
              <w:left w:val="single" w:sz="8" w:space="0" w:color="auto"/>
              <w:bottom w:val="single" w:sz="8" w:space="0" w:color="auto"/>
              <w:right w:val="single" w:sz="8" w:space="0" w:color="auto"/>
            </w:tcBorders>
            <w:shd w:val="clear" w:color="000000" w:fill="E3EED3"/>
            <w:noWrap/>
            <w:vAlign w:val="bottom"/>
            <w:hideMark/>
          </w:tcPr>
          <w:p w:rsidR="00BE4A2A" w:rsidRPr="00BE4A2A" w:rsidRDefault="00BE4A2A"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44.8%</w:t>
            </w:r>
          </w:p>
        </w:tc>
        <w:tc>
          <w:tcPr>
            <w:tcW w:w="1220" w:type="dxa"/>
            <w:tcBorders>
              <w:top w:val="nil"/>
              <w:left w:val="nil"/>
              <w:bottom w:val="single" w:sz="8" w:space="0" w:color="auto"/>
              <w:right w:val="nil"/>
            </w:tcBorders>
            <w:shd w:val="clear" w:color="000000" w:fill="E3EED3"/>
            <w:noWrap/>
            <w:vAlign w:val="bottom"/>
            <w:hideMark/>
          </w:tcPr>
          <w:p w:rsidR="00BE4A2A" w:rsidRPr="00BE4A2A" w:rsidRDefault="00BE4A2A"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55.1%</w:t>
            </w:r>
          </w:p>
        </w:tc>
        <w:tc>
          <w:tcPr>
            <w:tcW w:w="1220" w:type="dxa"/>
            <w:tcBorders>
              <w:top w:val="nil"/>
              <w:left w:val="single" w:sz="8" w:space="0" w:color="auto"/>
              <w:bottom w:val="single" w:sz="8" w:space="0" w:color="auto"/>
              <w:right w:val="single" w:sz="8" w:space="0" w:color="auto"/>
            </w:tcBorders>
            <w:shd w:val="clear" w:color="000000" w:fill="E3EED3"/>
            <w:noWrap/>
            <w:vAlign w:val="bottom"/>
            <w:hideMark/>
          </w:tcPr>
          <w:p w:rsidR="00BE4A2A" w:rsidRPr="00BE4A2A" w:rsidRDefault="00BE4A2A"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55.8%</w:t>
            </w:r>
          </w:p>
        </w:tc>
        <w:tc>
          <w:tcPr>
            <w:tcW w:w="1220" w:type="dxa"/>
            <w:tcBorders>
              <w:top w:val="nil"/>
              <w:left w:val="nil"/>
              <w:bottom w:val="single" w:sz="8" w:space="0" w:color="auto"/>
              <w:right w:val="nil"/>
            </w:tcBorders>
            <w:shd w:val="clear" w:color="000000" w:fill="E3EED3"/>
            <w:noWrap/>
            <w:vAlign w:val="bottom"/>
            <w:hideMark/>
          </w:tcPr>
          <w:p w:rsidR="00BE4A2A" w:rsidRPr="00BE4A2A" w:rsidRDefault="00BE4A2A"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38.4%</w:t>
            </w:r>
          </w:p>
        </w:tc>
        <w:tc>
          <w:tcPr>
            <w:tcW w:w="1220" w:type="dxa"/>
            <w:tcBorders>
              <w:top w:val="nil"/>
              <w:left w:val="single" w:sz="8" w:space="0" w:color="auto"/>
              <w:bottom w:val="single" w:sz="8" w:space="0" w:color="auto"/>
              <w:right w:val="single" w:sz="8" w:space="0" w:color="auto"/>
            </w:tcBorders>
            <w:shd w:val="clear" w:color="000000" w:fill="E3EED3"/>
            <w:noWrap/>
            <w:vAlign w:val="bottom"/>
            <w:hideMark/>
          </w:tcPr>
          <w:p w:rsidR="00BE4A2A" w:rsidRPr="00BE4A2A" w:rsidRDefault="00BE4A2A"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25.5%</w:t>
            </w:r>
          </w:p>
        </w:tc>
      </w:tr>
      <w:tr w:rsidR="00BE4A2A" w:rsidRPr="00BE4A2A" w:rsidTr="006F2D9E">
        <w:trPr>
          <w:trHeight w:val="270"/>
        </w:trPr>
        <w:tc>
          <w:tcPr>
            <w:tcW w:w="1220" w:type="dxa"/>
            <w:tcBorders>
              <w:top w:val="nil"/>
              <w:left w:val="single" w:sz="8" w:space="0" w:color="auto"/>
              <w:bottom w:val="single" w:sz="8" w:space="0" w:color="000000"/>
              <w:right w:val="single" w:sz="8" w:space="0" w:color="auto"/>
            </w:tcBorders>
            <w:shd w:val="clear" w:color="000000" w:fill="FFE9CC"/>
            <w:noWrap/>
            <w:vAlign w:val="center"/>
            <w:hideMark/>
          </w:tcPr>
          <w:p w:rsidR="00BE4A2A" w:rsidRPr="00BE4A2A" w:rsidRDefault="00BE4A2A"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3 Years</w:t>
            </w:r>
          </w:p>
        </w:tc>
        <w:tc>
          <w:tcPr>
            <w:tcW w:w="1322" w:type="dxa"/>
            <w:tcBorders>
              <w:top w:val="nil"/>
              <w:left w:val="nil"/>
              <w:bottom w:val="single" w:sz="4" w:space="0" w:color="auto"/>
              <w:right w:val="nil"/>
            </w:tcBorders>
            <w:shd w:val="clear" w:color="000000" w:fill="FFE9CC"/>
            <w:noWrap/>
            <w:vAlign w:val="bottom"/>
            <w:hideMark/>
          </w:tcPr>
          <w:p w:rsidR="00BE4A2A" w:rsidRPr="00BE4A2A" w:rsidRDefault="00BE4A2A"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B</w:t>
            </w:r>
            <w:r w:rsidR="00E6354D">
              <w:rPr>
                <w:rFonts w:ascii="Arial" w:eastAsia="Times New Roman" w:hAnsi="Arial" w:cs="Arial"/>
                <w:color w:val="000000"/>
                <w:lang w:eastAsia="en-AU"/>
              </w:rPr>
              <w:t>aseline</w:t>
            </w:r>
          </w:p>
        </w:tc>
        <w:tc>
          <w:tcPr>
            <w:tcW w:w="1118" w:type="dxa"/>
            <w:tcBorders>
              <w:top w:val="nil"/>
              <w:left w:val="single" w:sz="8" w:space="0" w:color="auto"/>
              <w:bottom w:val="single" w:sz="4" w:space="0" w:color="auto"/>
              <w:right w:val="single" w:sz="8" w:space="0" w:color="auto"/>
            </w:tcBorders>
            <w:shd w:val="clear" w:color="000000" w:fill="FFE9CC"/>
            <w:noWrap/>
            <w:vAlign w:val="bottom"/>
            <w:hideMark/>
          </w:tcPr>
          <w:p w:rsidR="00BE4A2A" w:rsidRPr="00BE4A2A" w:rsidRDefault="00BE4A2A"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55.5%</w:t>
            </w:r>
          </w:p>
        </w:tc>
        <w:tc>
          <w:tcPr>
            <w:tcW w:w="1220" w:type="dxa"/>
            <w:tcBorders>
              <w:top w:val="nil"/>
              <w:left w:val="nil"/>
              <w:bottom w:val="single" w:sz="4" w:space="0" w:color="auto"/>
              <w:right w:val="nil"/>
            </w:tcBorders>
            <w:shd w:val="clear" w:color="000000" w:fill="FFE9CC"/>
            <w:noWrap/>
            <w:vAlign w:val="bottom"/>
            <w:hideMark/>
          </w:tcPr>
          <w:p w:rsidR="00BE4A2A" w:rsidRPr="00BE4A2A" w:rsidRDefault="00BE4A2A"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64.3%</w:t>
            </w:r>
          </w:p>
        </w:tc>
        <w:tc>
          <w:tcPr>
            <w:tcW w:w="1220" w:type="dxa"/>
            <w:tcBorders>
              <w:top w:val="nil"/>
              <w:left w:val="single" w:sz="8" w:space="0" w:color="auto"/>
              <w:bottom w:val="single" w:sz="4" w:space="0" w:color="auto"/>
              <w:right w:val="single" w:sz="8" w:space="0" w:color="auto"/>
            </w:tcBorders>
            <w:shd w:val="clear" w:color="000000" w:fill="FFE9CC"/>
            <w:noWrap/>
            <w:vAlign w:val="bottom"/>
            <w:hideMark/>
          </w:tcPr>
          <w:p w:rsidR="00BE4A2A" w:rsidRPr="00BE4A2A" w:rsidRDefault="00BE4A2A"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68.6%</w:t>
            </w:r>
          </w:p>
        </w:tc>
        <w:tc>
          <w:tcPr>
            <w:tcW w:w="1220" w:type="dxa"/>
            <w:tcBorders>
              <w:top w:val="nil"/>
              <w:left w:val="nil"/>
              <w:bottom w:val="single" w:sz="4" w:space="0" w:color="auto"/>
              <w:right w:val="nil"/>
            </w:tcBorders>
            <w:shd w:val="clear" w:color="000000" w:fill="FFE9CC"/>
            <w:noWrap/>
            <w:vAlign w:val="bottom"/>
            <w:hideMark/>
          </w:tcPr>
          <w:p w:rsidR="00BE4A2A" w:rsidRPr="00BE4A2A" w:rsidRDefault="00BE4A2A"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42.4%</w:t>
            </w:r>
          </w:p>
        </w:tc>
        <w:tc>
          <w:tcPr>
            <w:tcW w:w="1220" w:type="dxa"/>
            <w:tcBorders>
              <w:top w:val="nil"/>
              <w:left w:val="single" w:sz="8" w:space="0" w:color="auto"/>
              <w:bottom w:val="single" w:sz="4" w:space="0" w:color="auto"/>
              <w:right w:val="single" w:sz="8" w:space="0" w:color="auto"/>
            </w:tcBorders>
            <w:shd w:val="clear" w:color="000000" w:fill="FFE9CC"/>
            <w:noWrap/>
            <w:vAlign w:val="bottom"/>
            <w:hideMark/>
          </w:tcPr>
          <w:p w:rsidR="00BE4A2A" w:rsidRPr="00BE4A2A" w:rsidRDefault="00BE4A2A" w:rsidP="00BE4A2A">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29.1%</w:t>
            </w:r>
          </w:p>
        </w:tc>
      </w:tr>
      <w:tr w:rsidR="006F2D9E" w:rsidRPr="00BE4A2A" w:rsidTr="006F2D9E">
        <w:trPr>
          <w:trHeight w:val="270"/>
        </w:trPr>
        <w:tc>
          <w:tcPr>
            <w:tcW w:w="1220" w:type="dxa"/>
            <w:tcBorders>
              <w:top w:val="nil"/>
              <w:left w:val="single" w:sz="8" w:space="0" w:color="auto"/>
              <w:bottom w:val="single" w:sz="8" w:space="0" w:color="000000"/>
              <w:right w:val="single" w:sz="8" w:space="0" w:color="auto"/>
            </w:tcBorders>
            <w:shd w:val="clear" w:color="000000" w:fill="FFE9CC"/>
            <w:vAlign w:val="center"/>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3 Years</w:t>
            </w:r>
          </w:p>
        </w:tc>
        <w:tc>
          <w:tcPr>
            <w:tcW w:w="1322" w:type="dxa"/>
            <w:tcBorders>
              <w:top w:val="nil"/>
              <w:left w:val="nil"/>
              <w:bottom w:val="single" w:sz="4" w:space="0" w:color="auto"/>
              <w:right w:val="nil"/>
            </w:tcBorders>
            <w:shd w:val="clear" w:color="000000" w:fill="FFE9CC"/>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Review 1</w:t>
            </w:r>
          </w:p>
        </w:tc>
        <w:tc>
          <w:tcPr>
            <w:tcW w:w="1118" w:type="dxa"/>
            <w:tcBorders>
              <w:top w:val="nil"/>
              <w:left w:val="single" w:sz="8" w:space="0" w:color="auto"/>
              <w:bottom w:val="single" w:sz="4" w:space="0" w:color="auto"/>
              <w:right w:val="single" w:sz="8" w:space="0" w:color="auto"/>
            </w:tcBorders>
            <w:shd w:val="clear" w:color="000000" w:fill="FFE9CC"/>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54.1%</w:t>
            </w:r>
          </w:p>
        </w:tc>
        <w:tc>
          <w:tcPr>
            <w:tcW w:w="1220" w:type="dxa"/>
            <w:tcBorders>
              <w:top w:val="nil"/>
              <w:left w:val="nil"/>
              <w:bottom w:val="single" w:sz="4" w:space="0" w:color="auto"/>
              <w:right w:val="nil"/>
            </w:tcBorders>
            <w:shd w:val="clear" w:color="000000" w:fill="FFE9CC"/>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62.7%</w:t>
            </w:r>
          </w:p>
        </w:tc>
        <w:tc>
          <w:tcPr>
            <w:tcW w:w="1220" w:type="dxa"/>
            <w:tcBorders>
              <w:top w:val="nil"/>
              <w:left w:val="single" w:sz="8" w:space="0" w:color="auto"/>
              <w:bottom w:val="single" w:sz="4" w:space="0" w:color="auto"/>
              <w:right w:val="single" w:sz="8" w:space="0" w:color="auto"/>
            </w:tcBorders>
            <w:shd w:val="clear" w:color="000000" w:fill="FFE9CC"/>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66.4%</w:t>
            </w:r>
          </w:p>
        </w:tc>
        <w:tc>
          <w:tcPr>
            <w:tcW w:w="1220" w:type="dxa"/>
            <w:tcBorders>
              <w:top w:val="nil"/>
              <w:left w:val="nil"/>
              <w:bottom w:val="single" w:sz="4" w:space="0" w:color="auto"/>
              <w:right w:val="nil"/>
            </w:tcBorders>
            <w:shd w:val="clear" w:color="000000" w:fill="FFE9CC"/>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41.3%</w:t>
            </w:r>
          </w:p>
        </w:tc>
        <w:tc>
          <w:tcPr>
            <w:tcW w:w="1220" w:type="dxa"/>
            <w:tcBorders>
              <w:top w:val="nil"/>
              <w:left w:val="single" w:sz="8" w:space="0" w:color="auto"/>
              <w:bottom w:val="single" w:sz="4" w:space="0" w:color="auto"/>
              <w:right w:val="single" w:sz="8" w:space="0" w:color="auto"/>
            </w:tcBorders>
            <w:shd w:val="clear" w:color="000000" w:fill="FFE9CC"/>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28.1%</w:t>
            </w:r>
          </w:p>
        </w:tc>
      </w:tr>
      <w:tr w:rsidR="006F2D9E" w:rsidRPr="00BE4A2A" w:rsidTr="006F2D9E">
        <w:trPr>
          <w:trHeight w:val="270"/>
        </w:trPr>
        <w:tc>
          <w:tcPr>
            <w:tcW w:w="1220" w:type="dxa"/>
            <w:tcBorders>
              <w:top w:val="nil"/>
              <w:left w:val="single" w:sz="8" w:space="0" w:color="auto"/>
              <w:bottom w:val="single" w:sz="8" w:space="0" w:color="000000"/>
              <w:right w:val="single" w:sz="8" w:space="0" w:color="auto"/>
            </w:tcBorders>
            <w:shd w:val="clear" w:color="000000" w:fill="FFE9CC"/>
            <w:vAlign w:val="center"/>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3 Years</w:t>
            </w:r>
          </w:p>
        </w:tc>
        <w:tc>
          <w:tcPr>
            <w:tcW w:w="1322" w:type="dxa"/>
            <w:tcBorders>
              <w:top w:val="nil"/>
              <w:left w:val="nil"/>
              <w:bottom w:val="single" w:sz="4" w:space="0" w:color="auto"/>
              <w:right w:val="nil"/>
            </w:tcBorders>
            <w:shd w:val="clear" w:color="000000" w:fill="FFE9CC"/>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Review 2</w:t>
            </w:r>
          </w:p>
        </w:tc>
        <w:tc>
          <w:tcPr>
            <w:tcW w:w="1118" w:type="dxa"/>
            <w:tcBorders>
              <w:top w:val="nil"/>
              <w:left w:val="single" w:sz="8" w:space="0" w:color="auto"/>
              <w:bottom w:val="single" w:sz="4" w:space="0" w:color="auto"/>
              <w:right w:val="single" w:sz="8" w:space="0" w:color="auto"/>
            </w:tcBorders>
            <w:shd w:val="clear" w:color="000000" w:fill="FFE9CC"/>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52.3%</w:t>
            </w:r>
          </w:p>
        </w:tc>
        <w:tc>
          <w:tcPr>
            <w:tcW w:w="1220" w:type="dxa"/>
            <w:tcBorders>
              <w:top w:val="nil"/>
              <w:left w:val="nil"/>
              <w:bottom w:val="single" w:sz="4" w:space="0" w:color="auto"/>
              <w:right w:val="nil"/>
            </w:tcBorders>
            <w:shd w:val="clear" w:color="000000" w:fill="FFE9CC"/>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62.3%</w:t>
            </w:r>
          </w:p>
        </w:tc>
        <w:tc>
          <w:tcPr>
            <w:tcW w:w="1220" w:type="dxa"/>
            <w:tcBorders>
              <w:top w:val="nil"/>
              <w:left w:val="single" w:sz="8" w:space="0" w:color="auto"/>
              <w:bottom w:val="single" w:sz="4" w:space="0" w:color="auto"/>
              <w:right w:val="single" w:sz="8" w:space="0" w:color="auto"/>
            </w:tcBorders>
            <w:shd w:val="clear" w:color="000000" w:fill="FFE9CC"/>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63.3%</w:t>
            </w:r>
          </w:p>
        </w:tc>
        <w:tc>
          <w:tcPr>
            <w:tcW w:w="1220" w:type="dxa"/>
            <w:tcBorders>
              <w:top w:val="nil"/>
              <w:left w:val="nil"/>
              <w:bottom w:val="single" w:sz="4" w:space="0" w:color="auto"/>
              <w:right w:val="nil"/>
            </w:tcBorders>
            <w:shd w:val="clear" w:color="000000" w:fill="FFE9CC"/>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40.8%</w:t>
            </w:r>
          </w:p>
        </w:tc>
        <w:tc>
          <w:tcPr>
            <w:tcW w:w="1220" w:type="dxa"/>
            <w:tcBorders>
              <w:top w:val="nil"/>
              <w:left w:val="single" w:sz="8" w:space="0" w:color="auto"/>
              <w:bottom w:val="single" w:sz="4" w:space="0" w:color="auto"/>
              <w:right w:val="single" w:sz="8" w:space="0" w:color="auto"/>
            </w:tcBorders>
            <w:shd w:val="clear" w:color="000000" w:fill="FFE9CC"/>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26.3%</w:t>
            </w:r>
          </w:p>
        </w:tc>
      </w:tr>
      <w:tr w:rsidR="006F2D9E" w:rsidRPr="00BE4A2A" w:rsidTr="006F2D9E">
        <w:trPr>
          <w:trHeight w:val="278"/>
        </w:trPr>
        <w:tc>
          <w:tcPr>
            <w:tcW w:w="1220" w:type="dxa"/>
            <w:tcBorders>
              <w:top w:val="nil"/>
              <w:left w:val="single" w:sz="8" w:space="0" w:color="auto"/>
              <w:bottom w:val="single" w:sz="8" w:space="0" w:color="000000"/>
              <w:right w:val="single" w:sz="8" w:space="0" w:color="auto"/>
            </w:tcBorders>
            <w:shd w:val="clear" w:color="000000" w:fill="FFE9CC"/>
            <w:vAlign w:val="center"/>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3 Years</w:t>
            </w:r>
          </w:p>
        </w:tc>
        <w:tc>
          <w:tcPr>
            <w:tcW w:w="1322" w:type="dxa"/>
            <w:tcBorders>
              <w:top w:val="nil"/>
              <w:left w:val="nil"/>
              <w:bottom w:val="single" w:sz="8" w:space="0" w:color="auto"/>
              <w:right w:val="nil"/>
            </w:tcBorders>
            <w:shd w:val="clear" w:color="000000" w:fill="FFE9CC"/>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Review 3</w:t>
            </w:r>
          </w:p>
        </w:tc>
        <w:tc>
          <w:tcPr>
            <w:tcW w:w="1118" w:type="dxa"/>
            <w:tcBorders>
              <w:top w:val="nil"/>
              <w:left w:val="single" w:sz="8" w:space="0" w:color="auto"/>
              <w:bottom w:val="single" w:sz="8" w:space="0" w:color="auto"/>
              <w:right w:val="single" w:sz="8" w:space="0" w:color="auto"/>
            </w:tcBorders>
            <w:shd w:val="clear" w:color="000000" w:fill="FFE9CC"/>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50.6%</w:t>
            </w:r>
          </w:p>
        </w:tc>
        <w:tc>
          <w:tcPr>
            <w:tcW w:w="1220" w:type="dxa"/>
            <w:tcBorders>
              <w:top w:val="nil"/>
              <w:left w:val="nil"/>
              <w:bottom w:val="single" w:sz="8" w:space="0" w:color="auto"/>
              <w:right w:val="nil"/>
            </w:tcBorders>
            <w:shd w:val="clear" w:color="000000" w:fill="FFE9CC"/>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60.8%</w:t>
            </w:r>
          </w:p>
        </w:tc>
        <w:tc>
          <w:tcPr>
            <w:tcW w:w="1220" w:type="dxa"/>
            <w:tcBorders>
              <w:top w:val="nil"/>
              <w:left w:val="single" w:sz="8" w:space="0" w:color="auto"/>
              <w:bottom w:val="single" w:sz="8" w:space="0" w:color="auto"/>
              <w:right w:val="single" w:sz="8" w:space="0" w:color="auto"/>
            </w:tcBorders>
            <w:shd w:val="clear" w:color="000000" w:fill="FFE9CC"/>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61.4%</w:t>
            </w:r>
          </w:p>
        </w:tc>
        <w:tc>
          <w:tcPr>
            <w:tcW w:w="1220" w:type="dxa"/>
            <w:tcBorders>
              <w:top w:val="nil"/>
              <w:left w:val="nil"/>
              <w:bottom w:val="single" w:sz="8" w:space="0" w:color="auto"/>
              <w:right w:val="nil"/>
            </w:tcBorders>
            <w:shd w:val="clear" w:color="000000" w:fill="FFE9CC"/>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40.5%</w:t>
            </w:r>
          </w:p>
        </w:tc>
        <w:tc>
          <w:tcPr>
            <w:tcW w:w="1220" w:type="dxa"/>
            <w:tcBorders>
              <w:top w:val="nil"/>
              <w:left w:val="single" w:sz="8" w:space="0" w:color="auto"/>
              <w:bottom w:val="single" w:sz="8" w:space="0" w:color="auto"/>
              <w:right w:val="single" w:sz="8" w:space="0" w:color="auto"/>
            </w:tcBorders>
            <w:shd w:val="clear" w:color="000000" w:fill="FFE9CC"/>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26.5%</w:t>
            </w:r>
          </w:p>
        </w:tc>
      </w:tr>
      <w:tr w:rsidR="006F2D9E" w:rsidRPr="00BE4A2A" w:rsidTr="006F2D9E">
        <w:trPr>
          <w:trHeight w:val="270"/>
        </w:trPr>
        <w:tc>
          <w:tcPr>
            <w:tcW w:w="1220" w:type="dxa"/>
            <w:tcBorders>
              <w:top w:val="nil"/>
              <w:left w:val="single" w:sz="8" w:space="0" w:color="auto"/>
              <w:bottom w:val="single" w:sz="4" w:space="0" w:color="auto"/>
              <w:right w:val="single" w:sz="8" w:space="0" w:color="auto"/>
            </w:tcBorders>
            <w:shd w:val="clear" w:color="000000" w:fill="D1D3D4"/>
            <w:noWrap/>
            <w:vAlign w:val="center"/>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2 Years</w:t>
            </w:r>
          </w:p>
        </w:tc>
        <w:tc>
          <w:tcPr>
            <w:tcW w:w="1322" w:type="dxa"/>
            <w:tcBorders>
              <w:top w:val="nil"/>
              <w:left w:val="nil"/>
              <w:bottom w:val="single" w:sz="4" w:space="0" w:color="auto"/>
              <w:right w:val="nil"/>
            </w:tcBorders>
            <w:shd w:val="clear" w:color="000000" w:fill="D1D3D4"/>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B</w:t>
            </w:r>
            <w:r>
              <w:rPr>
                <w:rFonts w:ascii="Arial" w:eastAsia="Times New Roman" w:hAnsi="Arial" w:cs="Arial"/>
                <w:color w:val="000000"/>
                <w:lang w:eastAsia="en-AU"/>
              </w:rPr>
              <w:t>aseline</w:t>
            </w:r>
          </w:p>
        </w:tc>
        <w:tc>
          <w:tcPr>
            <w:tcW w:w="1118" w:type="dxa"/>
            <w:tcBorders>
              <w:top w:val="nil"/>
              <w:left w:val="single" w:sz="8" w:space="0" w:color="auto"/>
              <w:bottom w:val="single" w:sz="4" w:space="0" w:color="auto"/>
              <w:right w:val="single" w:sz="8" w:space="0" w:color="auto"/>
            </w:tcBorders>
            <w:shd w:val="clear" w:color="000000" w:fill="D1D3D4"/>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62.4%</w:t>
            </w:r>
          </w:p>
        </w:tc>
        <w:tc>
          <w:tcPr>
            <w:tcW w:w="1220" w:type="dxa"/>
            <w:tcBorders>
              <w:top w:val="nil"/>
              <w:left w:val="nil"/>
              <w:bottom w:val="single" w:sz="4" w:space="0" w:color="auto"/>
              <w:right w:val="nil"/>
            </w:tcBorders>
            <w:shd w:val="clear" w:color="000000" w:fill="D1D3D4"/>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68.2%</w:t>
            </w:r>
          </w:p>
        </w:tc>
        <w:tc>
          <w:tcPr>
            <w:tcW w:w="1220" w:type="dxa"/>
            <w:tcBorders>
              <w:top w:val="nil"/>
              <w:left w:val="single" w:sz="8" w:space="0" w:color="auto"/>
              <w:bottom w:val="single" w:sz="4" w:space="0" w:color="auto"/>
              <w:right w:val="single" w:sz="8" w:space="0" w:color="auto"/>
            </w:tcBorders>
            <w:shd w:val="clear" w:color="000000" w:fill="D1D3D4"/>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73.2%</w:t>
            </w:r>
          </w:p>
        </w:tc>
        <w:tc>
          <w:tcPr>
            <w:tcW w:w="1220" w:type="dxa"/>
            <w:tcBorders>
              <w:top w:val="nil"/>
              <w:left w:val="nil"/>
              <w:bottom w:val="single" w:sz="4" w:space="0" w:color="auto"/>
              <w:right w:val="nil"/>
            </w:tcBorders>
            <w:shd w:val="clear" w:color="000000" w:fill="D1D3D4"/>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48.4%</w:t>
            </w:r>
          </w:p>
        </w:tc>
        <w:tc>
          <w:tcPr>
            <w:tcW w:w="1220" w:type="dxa"/>
            <w:tcBorders>
              <w:top w:val="nil"/>
              <w:left w:val="single" w:sz="8" w:space="0" w:color="auto"/>
              <w:bottom w:val="single" w:sz="4" w:space="0" w:color="auto"/>
              <w:right w:val="single" w:sz="8" w:space="0" w:color="auto"/>
            </w:tcBorders>
            <w:shd w:val="clear" w:color="000000" w:fill="D1D3D4"/>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36.5%</w:t>
            </w:r>
          </w:p>
        </w:tc>
      </w:tr>
      <w:tr w:rsidR="006F2D9E" w:rsidRPr="00BE4A2A" w:rsidTr="006F2D9E">
        <w:trPr>
          <w:trHeight w:val="270"/>
        </w:trPr>
        <w:tc>
          <w:tcPr>
            <w:tcW w:w="1220" w:type="dxa"/>
            <w:tcBorders>
              <w:top w:val="single" w:sz="4" w:space="0" w:color="auto"/>
              <w:left w:val="single" w:sz="4" w:space="0" w:color="auto"/>
              <w:bottom w:val="single" w:sz="4" w:space="0" w:color="auto"/>
              <w:right w:val="single" w:sz="4" w:space="0" w:color="auto"/>
            </w:tcBorders>
            <w:shd w:val="clear" w:color="000000" w:fill="D1D3D4"/>
            <w:vAlign w:val="center"/>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2 Years</w:t>
            </w:r>
          </w:p>
        </w:tc>
        <w:tc>
          <w:tcPr>
            <w:tcW w:w="1322" w:type="dxa"/>
            <w:tcBorders>
              <w:top w:val="nil"/>
              <w:left w:val="single" w:sz="4" w:space="0" w:color="auto"/>
              <w:bottom w:val="single" w:sz="4" w:space="0" w:color="auto"/>
              <w:right w:val="nil"/>
            </w:tcBorders>
            <w:shd w:val="clear" w:color="000000" w:fill="D1D3D4"/>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Review 1</w:t>
            </w:r>
          </w:p>
        </w:tc>
        <w:tc>
          <w:tcPr>
            <w:tcW w:w="1118" w:type="dxa"/>
            <w:tcBorders>
              <w:top w:val="nil"/>
              <w:left w:val="single" w:sz="8" w:space="0" w:color="auto"/>
              <w:bottom w:val="single" w:sz="4" w:space="0" w:color="auto"/>
              <w:right w:val="single" w:sz="8" w:space="0" w:color="auto"/>
            </w:tcBorders>
            <w:shd w:val="clear" w:color="000000" w:fill="D1D3D4"/>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60.0%</w:t>
            </w:r>
          </w:p>
        </w:tc>
        <w:tc>
          <w:tcPr>
            <w:tcW w:w="1220" w:type="dxa"/>
            <w:tcBorders>
              <w:top w:val="nil"/>
              <w:left w:val="nil"/>
              <w:bottom w:val="single" w:sz="4" w:space="0" w:color="auto"/>
              <w:right w:val="nil"/>
            </w:tcBorders>
            <w:shd w:val="clear" w:color="000000" w:fill="D1D3D4"/>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66.6%</w:t>
            </w:r>
          </w:p>
        </w:tc>
        <w:tc>
          <w:tcPr>
            <w:tcW w:w="1220" w:type="dxa"/>
            <w:tcBorders>
              <w:top w:val="nil"/>
              <w:left w:val="single" w:sz="8" w:space="0" w:color="auto"/>
              <w:bottom w:val="single" w:sz="4" w:space="0" w:color="auto"/>
              <w:right w:val="single" w:sz="8" w:space="0" w:color="auto"/>
            </w:tcBorders>
            <w:shd w:val="clear" w:color="000000" w:fill="D1D3D4"/>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70.5%</w:t>
            </w:r>
          </w:p>
        </w:tc>
        <w:tc>
          <w:tcPr>
            <w:tcW w:w="1220" w:type="dxa"/>
            <w:tcBorders>
              <w:top w:val="nil"/>
              <w:left w:val="nil"/>
              <w:bottom w:val="single" w:sz="4" w:space="0" w:color="auto"/>
              <w:right w:val="nil"/>
            </w:tcBorders>
            <w:shd w:val="clear" w:color="000000" w:fill="D1D3D4"/>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47.0%</w:t>
            </w:r>
          </w:p>
        </w:tc>
        <w:tc>
          <w:tcPr>
            <w:tcW w:w="1220" w:type="dxa"/>
            <w:tcBorders>
              <w:top w:val="nil"/>
              <w:left w:val="single" w:sz="8" w:space="0" w:color="auto"/>
              <w:bottom w:val="single" w:sz="4" w:space="0" w:color="auto"/>
              <w:right w:val="single" w:sz="8" w:space="0" w:color="auto"/>
            </w:tcBorders>
            <w:shd w:val="clear" w:color="000000" w:fill="D1D3D4"/>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33.7%</w:t>
            </w:r>
          </w:p>
        </w:tc>
      </w:tr>
      <w:tr w:rsidR="006F2D9E" w:rsidRPr="00BE4A2A" w:rsidTr="006F2D9E">
        <w:trPr>
          <w:trHeight w:val="278"/>
        </w:trPr>
        <w:tc>
          <w:tcPr>
            <w:tcW w:w="1220" w:type="dxa"/>
            <w:tcBorders>
              <w:top w:val="single" w:sz="4" w:space="0" w:color="auto"/>
              <w:left w:val="single" w:sz="8" w:space="0" w:color="auto"/>
              <w:bottom w:val="single" w:sz="8" w:space="0" w:color="000000"/>
              <w:right w:val="single" w:sz="8" w:space="0" w:color="auto"/>
            </w:tcBorders>
            <w:shd w:val="clear" w:color="000000" w:fill="D1D3D4"/>
            <w:vAlign w:val="center"/>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2 Years</w:t>
            </w:r>
          </w:p>
        </w:tc>
        <w:tc>
          <w:tcPr>
            <w:tcW w:w="1322" w:type="dxa"/>
            <w:tcBorders>
              <w:top w:val="nil"/>
              <w:left w:val="nil"/>
              <w:bottom w:val="single" w:sz="8" w:space="0" w:color="auto"/>
              <w:right w:val="nil"/>
            </w:tcBorders>
            <w:shd w:val="clear" w:color="000000" w:fill="D1D3D4"/>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Review 2</w:t>
            </w:r>
          </w:p>
        </w:tc>
        <w:tc>
          <w:tcPr>
            <w:tcW w:w="1118" w:type="dxa"/>
            <w:tcBorders>
              <w:top w:val="nil"/>
              <w:left w:val="single" w:sz="8" w:space="0" w:color="auto"/>
              <w:bottom w:val="single" w:sz="8" w:space="0" w:color="auto"/>
              <w:right w:val="single" w:sz="8" w:space="0" w:color="auto"/>
            </w:tcBorders>
            <w:shd w:val="clear" w:color="000000" w:fill="D1D3D4"/>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58.1%</w:t>
            </w:r>
          </w:p>
        </w:tc>
        <w:tc>
          <w:tcPr>
            <w:tcW w:w="1220" w:type="dxa"/>
            <w:tcBorders>
              <w:top w:val="nil"/>
              <w:left w:val="nil"/>
              <w:bottom w:val="single" w:sz="8" w:space="0" w:color="auto"/>
              <w:right w:val="nil"/>
            </w:tcBorders>
            <w:shd w:val="clear" w:color="000000" w:fill="D1D3D4"/>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64.1%</w:t>
            </w:r>
          </w:p>
        </w:tc>
        <w:tc>
          <w:tcPr>
            <w:tcW w:w="1220" w:type="dxa"/>
            <w:tcBorders>
              <w:top w:val="nil"/>
              <w:left w:val="single" w:sz="8" w:space="0" w:color="auto"/>
              <w:bottom w:val="single" w:sz="8" w:space="0" w:color="auto"/>
              <w:right w:val="single" w:sz="8" w:space="0" w:color="auto"/>
            </w:tcBorders>
            <w:shd w:val="clear" w:color="000000" w:fill="D1D3D4"/>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67.6%</w:t>
            </w:r>
          </w:p>
        </w:tc>
        <w:tc>
          <w:tcPr>
            <w:tcW w:w="1220" w:type="dxa"/>
            <w:tcBorders>
              <w:top w:val="nil"/>
              <w:left w:val="nil"/>
              <w:bottom w:val="single" w:sz="8" w:space="0" w:color="auto"/>
              <w:right w:val="nil"/>
            </w:tcBorders>
            <w:shd w:val="clear" w:color="000000" w:fill="D1D3D4"/>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47.9%</w:t>
            </w:r>
          </w:p>
        </w:tc>
        <w:tc>
          <w:tcPr>
            <w:tcW w:w="1220" w:type="dxa"/>
            <w:tcBorders>
              <w:top w:val="nil"/>
              <w:left w:val="single" w:sz="8" w:space="0" w:color="auto"/>
              <w:bottom w:val="single" w:sz="8" w:space="0" w:color="auto"/>
              <w:right w:val="single" w:sz="8" w:space="0" w:color="auto"/>
            </w:tcBorders>
            <w:shd w:val="clear" w:color="000000" w:fill="D1D3D4"/>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34.2%</w:t>
            </w:r>
          </w:p>
        </w:tc>
      </w:tr>
      <w:tr w:rsidR="006F2D9E" w:rsidRPr="00BE4A2A" w:rsidTr="006F2D9E">
        <w:trPr>
          <w:trHeight w:val="270"/>
        </w:trPr>
        <w:tc>
          <w:tcPr>
            <w:tcW w:w="1220" w:type="dxa"/>
            <w:tcBorders>
              <w:top w:val="nil"/>
              <w:left w:val="single" w:sz="8" w:space="0" w:color="auto"/>
              <w:bottom w:val="single" w:sz="8" w:space="0" w:color="000000"/>
              <w:right w:val="single" w:sz="8" w:space="0" w:color="auto"/>
            </w:tcBorders>
            <w:shd w:val="clear" w:color="000000" w:fill="F7EEF7"/>
            <w:noWrap/>
            <w:vAlign w:val="center"/>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1 Year</w:t>
            </w:r>
          </w:p>
        </w:tc>
        <w:tc>
          <w:tcPr>
            <w:tcW w:w="1322" w:type="dxa"/>
            <w:tcBorders>
              <w:top w:val="nil"/>
              <w:left w:val="nil"/>
              <w:bottom w:val="single" w:sz="4" w:space="0" w:color="auto"/>
              <w:right w:val="nil"/>
            </w:tcBorders>
            <w:shd w:val="clear" w:color="000000" w:fill="F7EEF7"/>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B</w:t>
            </w:r>
            <w:r>
              <w:rPr>
                <w:rFonts w:ascii="Arial" w:eastAsia="Times New Roman" w:hAnsi="Arial" w:cs="Arial"/>
                <w:color w:val="000000"/>
                <w:lang w:eastAsia="en-AU"/>
              </w:rPr>
              <w:t>aseline</w:t>
            </w:r>
          </w:p>
        </w:tc>
        <w:tc>
          <w:tcPr>
            <w:tcW w:w="1118" w:type="dxa"/>
            <w:tcBorders>
              <w:top w:val="nil"/>
              <w:left w:val="single" w:sz="8" w:space="0" w:color="auto"/>
              <w:bottom w:val="single" w:sz="4" w:space="0" w:color="auto"/>
              <w:right w:val="single" w:sz="8" w:space="0" w:color="auto"/>
            </w:tcBorders>
            <w:shd w:val="clear" w:color="000000" w:fill="F7EEF7"/>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67.6%</w:t>
            </w:r>
          </w:p>
        </w:tc>
        <w:tc>
          <w:tcPr>
            <w:tcW w:w="1220" w:type="dxa"/>
            <w:tcBorders>
              <w:top w:val="nil"/>
              <w:left w:val="nil"/>
              <w:bottom w:val="single" w:sz="4" w:space="0" w:color="auto"/>
              <w:right w:val="nil"/>
            </w:tcBorders>
            <w:shd w:val="clear" w:color="000000" w:fill="F7EEF7"/>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72.1%</w:t>
            </w:r>
          </w:p>
        </w:tc>
        <w:tc>
          <w:tcPr>
            <w:tcW w:w="1220" w:type="dxa"/>
            <w:tcBorders>
              <w:top w:val="nil"/>
              <w:left w:val="single" w:sz="8" w:space="0" w:color="auto"/>
              <w:bottom w:val="single" w:sz="4" w:space="0" w:color="auto"/>
              <w:right w:val="single" w:sz="8" w:space="0" w:color="auto"/>
            </w:tcBorders>
            <w:shd w:val="clear" w:color="000000" w:fill="F7EEF7"/>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77.4%</w:t>
            </w:r>
          </w:p>
        </w:tc>
        <w:tc>
          <w:tcPr>
            <w:tcW w:w="1220" w:type="dxa"/>
            <w:tcBorders>
              <w:top w:val="nil"/>
              <w:left w:val="nil"/>
              <w:bottom w:val="single" w:sz="4" w:space="0" w:color="auto"/>
              <w:right w:val="nil"/>
            </w:tcBorders>
            <w:shd w:val="clear" w:color="000000" w:fill="F7EEF7"/>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57.6%</w:t>
            </w:r>
          </w:p>
        </w:tc>
        <w:tc>
          <w:tcPr>
            <w:tcW w:w="1220" w:type="dxa"/>
            <w:tcBorders>
              <w:top w:val="nil"/>
              <w:left w:val="single" w:sz="8" w:space="0" w:color="auto"/>
              <w:bottom w:val="single" w:sz="4" w:space="0" w:color="auto"/>
              <w:right w:val="single" w:sz="8" w:space="0" w:color="auto"/>
            </w:tcBorders>
            <w:shd w:val="clear" w:color="000000" w:fill="F7EEF7"/>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40.9%</w:t>
            </w:r>
          </w:p>
        </w:tc>
      </w:tr>
      <w:tr w:rsidR="006F2D9E" w:rsidRPr="00BE4A2A" w:rsidTr="006F2D9E">
        <w:trPr>
          <w:trHeight w:val="278"/>
        </w:trPr>
        <w:tc>
          <w:tcPr>
            <w:tcW w:w="1220" w:type="dxa"/>
            <w:tcBorders>
              <w:top w:val="nil"/>
              <w:left w:val="single" w:sz="8" w:space="0" w:color="auto"/>
              <w:bottom w:val="single" w:sz="8" w:space="0" w:color="000000"/>
              <w:right w:val="single" w:sz="8" w:space="0" w:color="auto"/>
            </w:tcBorders>
            <w:shd w:val="clear" w:color="000000" w:fill="F7EEF7"/>
            <w:vAlign w:val="center"/>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1 Year</w:t>
            </w:r>
          </w:p>
        </w:tc>
        <w:tc>
          <w:tcPr>
            <w:tcW w:w="1322" w:type="dxa"/>
            <w:tcBorders>
              <w:top w:val="nil"/>
              <w:left w:val="nil"/>
              <w:bottom w:val="single" w:sz="8" w:space="0" w:color="auto"/>
              <w:right w:val="nil"/>
            </w:tcBorders>
            <w:shd w:val="clear" w:color="000000" w:fill="F7EEF7"/>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Review 1</w:t>
            </w:r>
          </w:p>
        </w:tc>
        <w:tc>
          <w:tcPr>
            <w:tcW w:w="1118" w:type="dxa"/>
            <w:tcBorders>
              <w:top w:val="nil"/>
              <w:left w:val="single" w:sz="8" w:space="0" w:color="auto"/>
              <w:bottom w:val="single" w:sz="8" w:space="0" w:color="auto"/>
              <w:right w:val="single" w:sz="8" w:space="0" w:color="auto"/>
            </w:tcBorders>
            <w:shd w:val="clear" w:color="000000" w:fill="F7EEF7"/>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65.4%</w:t>
            </w:r>
          </w:p>
        </w:tc>
        <w:tc>
          <w:tcPr>
            <w:tcW w:w="1220" w:type="dxa"/>
            <w:tcBorders>
              <w:top w:val="nil"/>
              <w:left w:val="nil"/>
              <w:bottom w:val="single" w:sz="8" w:space="0" w:color="auto"/>
              <w:right w:val="nil"/>
            </w:tcBorders>
            <w:shd w:val="clear" w:color="000000" w:fill="F7EEF7"/>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69.5%</w:t>
            </w:r>
          </w:p>
        </w:tc>
        <w:tc>
          <w:tcPr>
            <w:tcW w:w="1220" w:type="dxa"/>
            <w:tcBorders>
              <w:top w:val="nil"/>
              <w:left w:val="single" w:sz="8" w:space="0" w:color="auto"/>
              <w:bottom w:val="single" w:sz="8" w:space="0" w:color="auto"/>
              <w:right w:val="single" w:sz="8" w:space="0" w:color="auto"/>
            </w:tcBorders>
            <w:shd w:val="clear" w:color="000000" w:fill="F7EEF7"/>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74.6%</w:t>
            </w:r>
          </w:p>
        </w:tc>
        <w:tc>
          <w:tcPr>
            <w:tcW w:w="1220" w:type="dxa"/>
            <w:tcBorders>
              <w:top w:val="nil"/>
              <w:left w:val="nil"/>
              <w:bottom w:val="single" w:sz="8" w:space="0" w:color="auto"/>
              <w:right w:val="nil"/>
            </w:tcBorders>
            <w:shd w:val="clear" w:color="000000" w:fill="F7EEF7"/>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58.8%</w:t>
            </w:r>
          </w:p>
        </w:tc>
        <w:tc>
          <w:tcPr>
            <w:tcW w:w="1220" w:type="dxa"/>
            <w:tcBorders>
              <w:top w:val="nil"/>
              <w:left w:val="single" w:sz="8" w:space="0" w:color="auto"/>
              <w:bottom w:val="single" w:sz="8" w:space="0" w:color="auto"/>
              <w:right w:val="single" w:sz="8" w:space="0" w:color="auto"/>
            </w:tcBorders>
            <w:shd w:val="clear" w:color="000000" w:fill="F7EEF7"/>
            <w:noWrap/>
            <w:vAlign w:val="bottom"/>
            <w:hideMark/>
          </w:tcPr>
          <w:p w:rsidR="006F2D9E" w:rsidRPr="00BE4A2A" w:rsidRDefault="006F2D9E" w:rsidP="006F2D9E">
            <w:pPr>
              <w:spacing w:after="0" w:line="240" w:lineRule="auto"/>
              <w:jc w:val="center"/>
              <w:rPr>
                <w:rFonts w:ascii="Arial" w:eastAsia="Times New Roman" w:hAnsi="Arial" w:cs="Arial"/>
                <w:color w:val="000000"/>
                <w:lang w:eastAsia="en-AU"/>
              </w:rPr>
            </w:pPr>
            <w:r w:rsidRPr="00BE4A2A">
              <w:rPr>
                <w:rFonts w:ascii="Arial" w:eastAsia="Times New Roman" w:hAnsi="Arial" w:cs="Arial"/>
                <w:color w:val="000000"/>
                <w:lang w:eastAsia="en-AU"/>
              </w:rPr>
              <w:t>39.7%</w:t>
            </w:r>
          </w:p>
        </w:tc>
      </w:tr>
    </w:tbl>
    <w:p w:rsidR="00BE4A2A" w:rsidRDefault="00BE4A2A" w:rsidP="009D751A"/>
    <w:p w:rsidR="006F2D9E" w:rsidRDefault="0080201D" w:rsidP="009D751A">
      <w:r>
        <w:lastRenderedPageBreak/>
        <w:t>Footnote 1</w:t>
      </w:r>
      <w:r w:rsidR="006F2D9E">
        <w:t xml:space="preserve">: </w:t>
      </w:r>
      <w:r w:rsidR="006F2D9E" w:rsidRPr="006F2D9E">
        <w:t>Note that this indicator includes responses from the School to 14 and 15 to 24 age group forms, so relates to children from school age to 24.</w:t>
      </w:r>
    </w:p>
    <w:p w:rsidR="00BE4A2A" w:rsidRDefault="00BE4A2A" w:rsidP="00BE4A2A">
      <w:pPr>
        <w:pStyle w:val="Heading2"/>
      </w:pPr>
      <w:bookmarkStart w:id="43" w:name="_Toc121151420"/>
      <w:r>
        <w:t>Slide 38: Participants aged 0 to 14</w:t>
      </w:r>
      <w:bookmarkEnd w:id="43"/>
    </w:p>
    <w:p w:rsidR="00BE4A2A" w:rsidRDefault="00BE4A2A" w:rsidP="00BE4A2A">
      <w:pPr>
        <w:pStyle w:val="Heading5"/>
      </w:pPr>
      <w:r>
        <w:t>Lifelong learning</w:t>
      </w:r>
    </w:p>
    <w:p w:rsidR="00BE4A2A" w:rsidRDefault="00BE4A2A" w:rsidP="00BE4A2A">
      <w:r>
        <w:rPr>
          <w:rFonts w:asciiTheme="majorHAnsi" w:eastAsiaTheme="majorEastAsia" w:hAnsiTheme="majorHAnsi" w:cstheme="majorBidi"/>
          <w:color w:val="2E74B5" w:themeColor="accent1" w:themeShade="BF"/>
        </w:rPr>
        <w:t>Goal at school</w:t>
      </w:r>
    </w:p>
    <w:p w:rsidR="00BE4A2A" w:rsidRPr="00BE4A2A" w:rsidRDefault="00BE4A2A" w:rsidP="00BE4A2A">
      <w:pPr>
        <w:pStyle w:val="Heading5"/>
        <w:rPr>
          <w:i/>
        </w:rPr>
      </w:pPr>
      <w:r w:rsidRPr="00BE4A2A">
        <w:rPr>
          <w:i/>
        </w:rPr>
        <w:t>% who know their child’s goals at school</w:t>
      </w:r>
    </w:p>
    <w:p w:rsidR="00BE4A2A" w:rsidRDefault="00BE4A2A" w:rsidP="00BE4A2A">
      <w:r>
        <w:t>Across all cohorts, there is an increasing trend in the percentage of parents/carers who know their child’s goals at school. There was an 18.4 percentage point increase bet</w:t>
      </w:r>
      <w:r w:rsidR="00A65EEE">
        <w:t>ween baseline and fourth review (footnote</w:t>
      </w:r>
      <w:r w:rsidR="00E2028A">
        <w:t xml:space="preserve"> </w:t>
      </w:r>
      <w:r w:rsidR="00A65EEE">
        <w:t>1)</w:t>
      </w:r>
      <w:r>
        <w:t xml:space="preserve"> for participants in the C4 cohort, and 8.3, 14.5 and 12.2 percentage point increases for those in the C1, C2 and C3 cohorts, respectively.</w:t>
      </w:r>
    </w:p>
    <w:p w:rsidR="00BE4A2A" w:rsidRDefault="00BE4A2A" w:rsidP="00BE4A2A">
      <w:r>
        <w:t>For the C4 cohort, 100% of parents/carers report knowing their child’s goals at school. The corresponding percentages for the C1, C2 and C3 cohorts are 84.4%, 87.5% and 89.2%, respectively.</w:t>
      </w:r>
    </w:p>
    <w:tbl>
      <w:tblPr>
        <w:tblW w:w="7560" w:type="dxa"/>
        <w:tblLook w:val="04A0" w:firstRow="1" w:lastRow="0" w:firstColumn="1" w:lastColumn="0" w:noHBand="0" w:noVBand="1"/>
      </w:tblPr>
      <w:tblGrid>
        <w:gridCol w:w="2460"/>
        <w:gridCol w:w="1121"/>
        <w:gridCol w:w="1020"/>
        <w:gridCol w:w="1020"/>
        <w:gridCol w:w="1020"/>
        <w:gridCol w:w="1020"/>
      </w:tblGrid>
      <w:tr w:rsidR="00BE4A2A" w:rsidRPr="00BE4A2A" w:rsidTr="00BE4A2A">
        <w:trPr>
          <w:trHeight w:val="285"/>
        </w:trPr>
        <w:tc>
          <w:tcPr>
            <w:tcW w:w="24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E4A2A" w:rsidRPr="00BE4A2A" w:rsidRDefault="00BE4A2A" w:rsidP="00BE4A2A">
            <w:pPr>
              <w:spacing w:after="0" w:line="240" w:lineRule="auto"/>
              <w:rPr>
                <w:rFonts w:ascii="Arial" w:eastAsia="Times New Roman" w:hAnsi="Arial" w:cs="Arial"/>
                <w:b/>
                <w:bCs/>
                <w:color w:val="000000"/>
                <w:lang w:eastAsia="en-AU"/>
              </w:rPr>
            </w:pPr>
            <w:r w:rsidRPr="00BE4A2A">
              <w:rPr>
                <w:rFonts w:ascii="Arial" w:eastAsia="Times New Roman" w:hAnsi="Arial" w:cs="Arial"/>
                <w:b/>
                <w:bCs/>
                <w:color w:val="000000"/>
                <w:lang w:eastAsia="en-AU"/>
              </w:rPr>
              <w:t>Cohort</w:t>
            </w:r>
          </w:p>
        </w:tc>
        <w:tc>
          <w:tcPr>
            <w:tcW w:w="1020" w:type="dxa"/>
            <w:tcBorders>
              <w:top w:val="single" w:sz="8" w:space="0" w:color="auto"/>
              <w:left w:val="nil"/>
              <w:bottom w:val="single" w:sz="8" w:space="0" w:color="auto"/>
              <w:right w:val="nil"/>
            </w:tcBorders>
            <w:shd w:val="clear" w:color="auto" w:fill="auto"/>
            <w:noWrap/>
            <w:vAlign w:val="bottom"/>
            <w:hideMark/>
          </w:tcPr>
          <w:p w:rsidR="00BE4A2A" w:rsidRPr="00BE4A2A" w:rsidRDefault="00BE4A2A" w:rsidP="00BE4A2A">
            <w:pPr>
              <w:spacing w:after="0" w:line="240" w:lineRule="auto"/>
              <w:rPr>
                <w:rFonts w:ascii="Arial" w:eastAsia="Times New Roman" w:hAnsi="Arial" w:cs="Arial"/>
                <w:b/>
                <w:bCs/>
                <w:color w:val="000000"/>
                <w:lang w:eastAsia="en-AU"/>
              </w:rPr>
            </w:pPr>
            <w:r w:rsidRPr="00BE4A2A">
              <w:rPr>
                <w:rFonts w:ascii="Arial" w:eastAsia="Times New Roman" w:hAnsi="Arial" w:cs="Arial"/>
                <w:b/>
                <w:bCs/>
                <w:color w:val="000000"/>
                <w:lang w:eastAsia="en-AU"/>
              </w:rPr>
              <w:t>B</w:t>
            </w:r>
            <w:r w:rsidR="00E6354D">
              <w:rPr>
                <w:rFonts w:ascii="Arial" w:eastAsia="Times New Roman" w:hAnsi="Arial" w:cs="Arial"/>
                <w:b/>
                <w:bCs/>
                <w:color w:val="000000"/>
                <w:lang w:eastAsia="en-AU"/>
              </w:rPr>
              <w:t>aseline</w:t>
            </w:r>
          </w:p>
        </w:tc>
        <w:tc>
          <w:tcPr>
            <w:tcW w:w="10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E4A2A" w:rsidRPr="00BE4A2A" w:rsidRDefault="00E6354D" w:rsidP="00BE4A2A">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1</w:t>
            </w:r>
          </w:p>
        </w:tc>
        <w:tc>
          <w:tcPr>
            <w:tcW w:w="1020" w:type="dxa"/>
            <w:tcBorders>
              <w:top w:val="single" w:sz="8" w:space="0" w:color="auto"/>
              <w:left w:val="nil"/>
              <w:bottom w:val="single" w:sz="8" w:space="0" w:color="auto"/>
              <w:right w:val="nil"/>
            </w:tcBorders>
            <w:shd w:val="clear" w:color="auto" w:fill="auto"/>
            <w:noWrap/>
            <w:vAlign w:val="bottom"/>
            <w:hideMark/>
          </w:tcPr>
          <w:p w:rsidR="00BE4A2A" w:rsidRPr="00BE4A2A" w:rsidRDefault="00E6354D" w:rsidP="00BE4A2A">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2</w:t>
            </w:r>
          </w:p>
        </w:tc>
        <w:tc>
          <w:tcPr>
            <w:tcW w:w="10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E4A2A" w:rsidRPr="00BE4A2A" w:rsidRDefault="00E6354D" w:rsidP="00BE4A2A">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3</w:t>
            </w:r>
          </w:p>
        </w:tc>
        <w:tc>
          <w:tcPr>
            <w:tcW w:w="1020" w:type="dxa"/>
            <w:tcBorders>
              <w:top w:val="single" w:sz="8" w:space="0" w:color="auto"/>
              <w:left w:val="nil"/>
              <w:bottom w:val="single" w:sz="8" w:space="0" w:color="auto"/>
              <w:right w:val="single" w:sz="8" w:space="0" w:color="auto"/>
            </w:tcBorders>
            <w:shd w:val="clear" w:color="auto" w:fill="auto"/>
            <w:noWrap/>
            <w:vAlign w:val="bottom"/>
            <w:hideMark/>
          </w:tcPr>
          <w:p w:rsidR="00BE4A2A" w:rsidRPr="00BE4A2A" w:rsidRDefault="00E6354D" w:rsidP="00BE4A2A">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4</w:t>
            </w:r>
          </w:p>
        </w:tc>
      </w:tr>
      <w:tr w:rsidR="00BE4A2A" w:rsidRPr="00BE4A2A" w:rsidTr="00BE4A2A">
        <w:trPr>
          <w:trHeight w:val="278"/>
        </w:trPr>
        <w:tc>
          <w:tcPr>
            <w:tcW w:w="2460" w:type="dxa"/>
            <w:tcBorders>
              <w:top w:val="nil"/>
              <w:left w:val="single" w:sz="8" w:space="0" w:color="auto"/>
              <w:bottom w:val="single" w:sz="4" w:space="0" w:color="auto"/>
              <w:right w:val="single" w:sz="8" w:space="0" w:color="auto"/>
            </w:tcBorders>
            <w:shd w:val="clear" w:color="auto" w:fill="auto"/>
            <w:noWrap/>
            <w:vAlign w:val="bottom"/>
            <w:hideMark/>
          </w:tcPr>
          <w:p w:rsidR="00BE4A2A" w:rsidRPr="00BE4A2A" w:rsidRDefault="00BE4A2A" w:rsidP="00BE4A2A">
            <w:pPr>
              <w:spacing w:after="0" w:line="240" w:lineRule="auto"/>
              <w:rPr>
                <w:rFonts w:ascii="Arial" w:eastAsia="Times New Roman" w:hAnsi="Arial" w:cs="Arial"/>
                <w:b/>
                <w:bCs/>
                <w:color w:val="000000"/>
                <w:lang w:eastAsia="en-AU"/>
              </w:rPr>
            </w:pPr>
            <w:r w:rsidRPr="00BE4A2A">
              <w:rPr>
                <w:rFonts w:ascii="Arial" w:eastAsia="Times New Roman" w:hAnsi="Arial" w:cs="Arial"/>
                <w:b/>
                <w:bCs/>
                <w:color w:val="000000"/>
                <w:lang w:eastAsia="en-AU"/>
              </w:rPr>
              <w:t>4 years</w:t>
            </w:r>
          </w:p>
        </w:tc>
        <w:tc>
          <w:tcPr>
            <w:tcW w:w="1020" w:type="dxa"/>
            <w:tcBorders>
              <w:top w:val="nil"/>
              <w:left w:val="nil"/>
              <w:bottom w:val="single" w:sz="4" w:space="0" w:color="auto"/>
              <w:right w:val="nil"/>
            </w:tcBorders>
            <w:shd w:val="clear" w:color="auto" w:fill="auto"/>
            <w:noWrap/>
            <w:vAlign w:val="bottom"/>
            <w:hideMark/>
          </w:tcPr>
          <w:p w:rsidR="00BE4A2A" w:rsidRPr="00BE4A2A" w:rsidRDefault="00BE4A2A" w:rsidP="00BE4A2A">
            <w:pPr>
              <w:spacing w:after="0" w:line="240" w:lineRule="auto"/>
              <w:jc w:val="right"/>
              <w:rPr>
                <w:rFonts w:ascii="Arial" w:eastAsia="Times New Roman" w:hAnsi="Arial" w:cs="Arial"/>
                <w:color w:val="000000"/>
                <w:lang w:eastAsia="en-AU"/>
              </w:rPr>
            </w:pPr>
            <w:r w:rsidRPr="00BE4A2A">
              <w:rPr>
                <w:rFonts w:ascii="Arial" w:eastAsia="Times New Roman" w:hAnsi="Arial" w:cs="Arial"/>
                <w:color w:val="000000"/>
                <w:lang w:eastAsia="en-AU"/>
              </w:rPr>
              <w:t>81.6%</w:t>
            </w:r>
          </w:p>
        </w:tc>
        <w:tc>
          <w:tcPr>
            <w:tcW w:w="1020" w:type="dxa"/>
            <w:tcBorders>
              <w:top w:val="nil"/>
              <w:left w:val="single" w:sz="8" w:space="0" w:color="auto"/>
              <w:bottom w:val="single" w:sz="4" w:space="0" w:color="auto"/>
              <w:right w:val="single" w:sz="8" w:space="0" w:color="auto"/>
            </w:tcBorders>
            <w:shd w:val="clear" w:color="auto" w:fill="auto"/>
            <w:noWrap/>
            <w:vAlign w:val="bottom"/>
            <w:hideMark/>
          </w:tcPr>
          <w:p w:rsidR="00BE4A2A" w:rsidRPr="00BE4A2A" w:rsidRDefault="00BE4A2A" w:rsidP="00BE4A2A">
            <w:pPr>
              <w:spacing w:after="0" w:line="240" w:lineRule="auto"/>
              <w:jc w:val="right"/>
              <w:rPr>
                <w:rFonts w:ascii="Arial" w:eastAsia="Times New Roman" w:hAnsi="Arial" w:cs="Arial"/>
                <w:color w:val="000000"/>
                <w:lang w:eastAsia="en-AU"/>
              </w:rPr>
            </w:pPr>
            <w:r w:rsidRPr="00BE4A2A">
              <w:rPr>
                <w:rFonts w:ascii="Arial" w:eastAsia="Times New Roman" w:hAnsi="Arial" w:cs="Arial"/>
                <w:color w:val="000000"/>
                <w:lang w:eastAsia="en-AU"/>
              </w:rPr>
              <w:t>86.8%</w:t>
            </w:r>
          </w:p>
        </w:tc>
        <w:tc>
          <w:tcPr>
            <w:tcW w:w="1020" w:type="dxa"/>
            <w:tcBorders>
              <w:top w:val="nil"/>
              <w:left w:val="nil"/>
              <w:bottom w:val="single" w:sz="4" w:space="0" w:color="auto"/>
              <w:right w:val="nil"/>
            </w:tcBorders>
            <w:shd w:val="clear" w:color="auto" w:fill="auto"/>
            <w:noWrap/>
            <w:vAlign w:val="bottom"/>
            <w:hideMark/>
          </w:tcPr>
          <w:p w:rsidR="00BE4A2A" w:rsidRPr="00BE4A2A" w:rsidRDefault="00BE4A2A" w:rsidP="00BE4A2A">
            <w:pPr>
              <w:spacing w:after="0" w:line="240" w:lineRule="auto"/>
              <w:jc w:val="right"/>
              <w:rPr>
                <w:rFonts w:ascii="Arial" w:eastAsia="Times New Roman" w:hAnsi="Arial" w:cs="Arial"/>
                <w:color w:val="000000"/>
                <w:lang w:eastAsia="en-AU"/>
              </w:rPr>
            </w:pPr>
            <w:r w:rsidRPr="00BE4A2A">
              <w:rPr>
                <w:rFonts w:ascii="Arial" w:eastAsia="Times New Roman" w:hAnsi="Arial" w:cs="Arial"/>
                <w:color w:val="000000"/>
                <w:lang w:eastAsia="en-AU"/>
              </w:rPr>
              <w:t>81.6%</w:t>
            </w:r>
          </w:p>
        </w:tc>
        <w:tc>
          <w:tcPr>
            <w:tcW w:w="1020" w:type="dxa"/>
            <w:tcBorders>
              <w:top w:val="nil"/>
              <w:left w:val="single" w:sz="8" w:space="0" w:color="auto"/>
              <w:bottom w:val="single" w:sz="4" w:space="0" w:color="auto"/>
              <w:right w:val="single" w:sz="8" w:space="0" w:color="auto"/>
            </w:tcBorders>
            <w:shd w:val="clear" w:color="auto" w:fill="auto"/>
            <w:noWrap/>
            <w:vAlign w:val="bottom"/>
            <w:hideMark/>
          </w:tcPr>
          <w:p w:rsidR="00BE4A2A" w:rsidRPr="00BE4A2A" w:rsidRDefault="00BE4A2A" w:rsidP="00BE4A2A">
            <w:pPr>
              <w:spacing w:after="0" w:line="240" w:lineRule="auto"/>
              <w:jc w:val="right"/>
              <w:rPr>
                <w:rFonts w:ascii="Arial" w:eastAsia="Times New Roman" w:hAnsi="Arial" w:cs="Arial"/>
                <w:color w:val="000000"/>
                <w:lang w:eastAsia="en-AU"/>
              </w:rPr>
            </w:pPr>
            <w:r w:rsidRPr="00BE4A2A">
              <w:rPr>
                <w:rFonts w:ascii="Arial" w:eastAsia="Times New Roman" w:hAnsi="Arial" w:cs="Arial"/>
                <w:color w:val="000000"/>
                <w:lang w:eastAsia="en-AU"/>
              </w:rPr>
              <w:t>94.7%</w:t>
            </w:r>
          </w:p>
        </w:tc>
        <w:tc>
          <w:tcPr>
            <w:tcW w:w="1020" w:type="dxa"/>
            <w:tcBorders>
              <w:top w:val="nil"/>
              <w:left w:val="nil"/>
              <w:bottom w:val="single" w:sz="4" w:space="0" w:color="auto"/>
              <w:right w:val="single" w:sz="8" w:space="0" w:color="auto"/>
            </w:tcBorders>
            <w:shd w:val="clear" w:color="auto" w:fill="auto"/>
            <w:noWrap/>
            <w:vAlign w:val="bottom"/>
            <w:hideMark/>
          </w:tcPr>
          <w:p w:rsidR="00BE4A2A" w:rsidRPr="00BE4A2A" w:rsidRDefault="00BE4A2A" w:rsidP="00BE4A2A">
            <w:pPr>
              <w:spacing w:after="0" w:line="240" w:lineRule="auto"/>
              <w:jc w:val="right"/>
              <w:rPr>
                <w:rFonts w:ascii="Arial" w:eastAsia="Times New Roman" w:hAnsi="Arial" w:cs="Arial"/>
                <w:color w:val="000000"/>
                <w:lang w:eastAsia="en-AU"/>
              </w:rPr>
            </w:pPr>
            <w:r w:rsidRPr="00BE4A2A">
              <w:rPr>
                <w:rFonts w:ascii="Arial" w:eastAsia="Times New Roman" w:hAnsi="Arial" w:cs="Arial"/>
                <w:color w:val="000000"/>
                <w:lang w:eastAsia="en-AU"/>
              </w:rPr>
              <w:t>100.0%</w:t>
            </w:r>
          </w:p>
        </w:tc>
      </w:tr>
      <w:tr w:rsidR="00BE4A2A" w:rsidRPr="00BE4A2A" w:rsidTr="00BE4A2A">
        <w:trPr>
          <w:trHeight w:val="278"/>
        </w:trPr>
        <w:tc>
          <w:tcPr>
            <w:tcW w:w="2460" w:type="dxa"/>
            <w:tcBorders>
              <w:top w:val="nil"/>
              <w:left w:val="single" w:sz="8" w:space="0" w:color="auto"/>
              <w:bottom w:val="single" w:sz="4" w:space="0" w:color="auto"/>
              <w:right w:val="single" w:sz="8" w:space="0" w:color="auto"/>
            </w:tcBorders>
            <w:shd w:val="clear" w:color="auto" w:fill="auto"/>
            <w:noWrap/>
            <w:vAlign w:val="bottom"/>
            <w:hideMark/>
          </w:tcPr>
          <w:p w:rsidR="00BE4A2A" w:rsidRPr="00BE4A2A" w:rsidRDefault="00BE4A2A" w:rsidP="00BE4A2A">
            <w:pPr>
              <w:spacing w:after="0" w:line="240" w:lineRule="auto"/>
              <w:rPr>
                <w:rFonts w:ascii="Arial" w:eastAsia="Times New Roman" w:hAnsi="Arial" w:cs="Arial"/>
                <w:b/>
                <w:bCs/>
                <w:color w:val="000000"/>
                <w:lang w:eastAsia="en-AU"/>
              </w:rPr>
            </w:pPr>
            <w:r w:rsidRPr="00BE4A2A">
              <w:rPr>
                <w:rFonts w:ascii="Arial" w:eastAsia="Times New Roman" w:hAnsi="Arial" w:cs="Arial"/>
                <w:b/>
                <w:bCs/>
                <w:color w:val="000000"/>
                <w:lang w:eastAsia="en-AU"/>
              </w:rPr>
              <w:t>3 years</w:t>
            </w:r>
          </w:p>
        </w:tc>
        <w:tc>
          <w:tcPr>
            <w:tcW w:w="1020" w:type="dxa"/>
            <w:tcBorders>
              <w:top w:val="nil"/>
              <w:left w:val="nil"/>
              <w:bottom w:val="single" w:sz="4" w:space="0" w:color="auto"/>
              <w:right w:val="nil"/>
            </w:tcBorders>
            <w:shd w:val="clear" w:color="auto" w:fill="auto"/>
            <w:noWrap/>
            <w:vAlign w:val="bottom"/>
            <w:hideMark/>
          </w:tcPr>
          <w:p w:rsidR="00BE4A2A" w:rsidRPr="00BE4A2A" w:rsidRDefault="00BE4A2A" w:rsidP="00BE4A2A">
            <w:pPr>
              <w:spacing w:after="0" w:line="240" w:lineRule="auto"/>
              <w:jc w:val="right"/>
              <w:rPr>
                <w:rFonts w:ascii="Arial" w:eastAsia="Times New Roman" w:hAnsi="Arial" w:cs="Arial"/>
                <w:color w:val="000000"/>
                <w:lang w:eastAsia="en-AU"/>
              </w:rPr>
            </w:pPr>
            <w:r w:rsidRPr="00BE4A2A">
              <w:rPr>
                <w:rFonts w:ascii="Arial" w:eastAsia="Times New Roman" w:hAnsi="Arial" w:cs="Arial"/>
                <w:color w:val="000000"/>
                <w:lang w:eastAsia="en-AU"/>
              </w:rPr>
              <w:t>77.0%</w:t>
            </w:r>
          </w:p>
        </w:tc>
        <w:tc>
          <w:tcPr>
            <w:tcW w:w="1020" w:type="dxa"/>
            <w:tcBorders>
              <w:top w:val="nil"/>
              <w:left w:val="single" w:sz="8" w:space="0" w:color="auto"/>
              <w:bottom w:val="single" w:sz="4" w:space="0" w:color="auto"/>
              <w:right w:val="single" w:sz="8" w:space="0" w:color="auto"/>
            </w:tcBorders>
            <w:shd w:val="clear" w:color="auto" w:fill="auto"/>
            <w:noWrap/>
            <w:vAlign w:val="bottom"/>
            <w:hideMark/>
          </w:tcPr>
          <w:p w:rsidR="00BE4A2A" w:rsidRPr="00BE4A2A" w:rsidRDefault="00BE4A2A" w:rsidP="00BE4A2A">
            <w:pPr>
              <w:spacing w:after="0" w:line="240" w:lineRule="auto"/>
              <w:jc w:val="right"/>
              <w:rPr>
                <w:rFonts w:ascii="Arial" w:eastAsia="Times New Roman" w:hAnsi="Arial" w:cs="Arial"/>
                <w:color w:val="000000"/>
                <w:lang w:eastAsia="en-AU"/>
              </w:rPr>
            </w:pPr>
            <w:r w:rsidRPr="00BE4A2A">
              <w:rPr>
                <w:rFonts w:ascii="Arial" w:eastAsia="Times New Roman" w:hAnsi="Arial" w:cs="Arial"/>
                <w:color w:val="000000"/>
                <w:lang w:eastAsia="en-AU"/>
              </w:rPr>
              <w:t>89.0%</w:t>
            </w:r>
          </w:p>
        </w:tc>
        <w:tc>
          <w:tcPr>
            <w:tcW w:w="1020" w:type="dxa"/>
            <w:tcBorders>
              <w:top w:val="nil"/>
              <w:left w:val="nil"/>
              <w:bottom w:val="single" w:sz="4" w:space="0" w:color="auto"/>
              <w:right w:val="nil"/>
            </w:tcBorders>
            <w:shd w:val="clear" w:color="auto" w:fill="auto"/>
            <w:noWrap/>
            <w:vAlign w:val="bottom"/>
            <w:hideMark/>
          </w:tcPr>
          <w:p w:rsidR="00BE4A2A" w:rsidRPr="00BE4A2A" w:rsidRDefault="00BE4A2A" w:rsidP="00BE4A2A">
            <w:pPr>
              <w:spacing w:after="0" w:line="240" w:lineRule="auto"/>
              <w:jc w:val="right"/>
              <w:rPr>
                <w:rFonts w:ascii="Arial" w:eastAsia="Times New Roman" w:hAnsi="Arial" w:cs="Arial"/>
                <w:color w:val="000000"/>
                <w:lang w:eastAsia="en-AU"/>
              </w:rPr>
            </w:pPr>
            <w:r w:rsidRPr="00BE4A2A">
              <w:rPr>
                <w:rFonts w:ascii="Arial" w:eastAsia="Times New Roman" w:hAnsi="Arial" w:cs="Arial"/>
                <w:color w:val="000000"/>
                <w:lang w:eastAsia="en-AU"/>
              </w:rPr>
              <w:t>84.7%</w:t>
            </w:r>
          </w:p>
        </w:tc>
        <w:tc>
          <w:tcPr>
            <w:tcW w:w="1020" w:type="dxa"/>
            <w:tcBorders>
              <w:top w:val="nil"/>
              <w:left w:val="single" w:sz="8" w:space="0" w:color="auto"/>
              <w:bottom w:val="single" w:sz="4" w:space="0" w:color="auto"/>
              <w:right w:val="single" w:sz="8" w:space="0" w:color="auto"/>
            </w:tcBorders>
            <w:shd w:val="clear" w:color="auto" w:fill="auto"/>
            <w:noWrap/>
            <w:vAlign w:val="bottom"/>
            <w:hideMark/>
          </w:tcPr>
          <w:p w:rsidR="00BE4A2A" w:rsidRPr="00BE4A2A" w:rsidRDefault="00BE4A2A" w:rsidP="00BE4A2A">
            <w:pPr>
              <w:spacing w:after="0" w:line="240" w:lineRule="auto"/>
              <w:jc w:val="right"/>
              <w:rPr>
                <w:rFonts w:ascii="Arial" w:eastAsia="Times New Roman" w:hAnsi="Arial" w:cs="Arial"/>
                <w:color w:val="000000"/>
                <w:lang w:eastAsia="en-AU"/>
              </w:rPr>
            </w:pPr>
            <w:r w:rsidRPr="00BE4A2A">
              <w:rPr>
                <w:rFonts w:ascii="Arial" w:eastAsia="Times New Roman" w:hAnsi="Arial" w:cs="Arial"/>
                <w:color w:val="000000"/>
                <w:lang w:eastAsia="en-AU"/>
              </w:rPr>
              <w:t>89.2%</w:t>
            </w:r>
          </w:p>
        </w:tc>
        <w:tc>
          <w:tcPr>
            <w:tcW w:w="1020" w:type="dxa"/>
            <w:tcBorders>
              <w:top w:val="nil"/>
              <w:left w:val="nil"/>
              <w:bottom w:val="single" w:sz="4" w:space="0" w:color="auto"/>
              <w:right w:val="single" w:sz="8" w:space="0" w:color="auto"/>
            </w:tcBorders>
            <w:shd w:val="clear" w:color="auto" w:fill="auto"/>
            <w:noWrap/>
            <w:vAlign w:val="bottom"/>
            <w:hideMark/>
          </w:tcPr>
          <w:p w:rsidR="00BE4A2A" w:rsidRPr="00BE4A2A" w:rsidRDefault="00BE4A2A" w:rsidP="00BE4A2A">
            <w:pPr>
              <w:spacing w:after="0" w:line="240" w:lineRule="auto"/>
              <w:rPr>
                <w:rFonts w:ascii="Arial" w:eastAsia="Times New Roman" w:hAnsi="Arial" w:cs="Arial"/>
                <w:color w:val="000000"/>
                <w:lang w:eastAsia="en-AU"/>
              </w:rPr>
            </w:pPr>
            <w:r w:rsidRPr="00BE4A2A">
              <w:rPr>
                <w:rFonts w:ascii="Arial" w:eastAsia="Times New Roman" w:hAnsi="Arial" w:cs="Arial"/>
                <w:color w:val="000000"/>
                <w:lang w:eastAsia="en-AU"/>
              </w:rPr>
              <w:t> </w:t>
            </w:r>
          </w:p>
        </w:tc>
      </w:tr>
      <w:tr w:rsidR="00BE4A2A" w:rsidRPr="00BE4A2A" w:rsidTr="00BE4A2A">
        <w:trPr>
          <w:trHeight w:val="278"/>
        </w:trPr>
        <w:tc>
          <w:tcPr>
            <w:tcW w:w="2460" w:type="dxa"/>
            <w:tcBorders>
              <w:top w:val="nil"/>
              <w:left w:val="single" w:sz="8" w:space="0" w:color="auto"/>
              <w:bottom w:val="single" w:sz="4" w:space="0" w:color="auto"/>
              <w:right w:val="single" w:sz="8" w:space="0" w:color="auto"/>
            </w:tcBorders>
            <w:shd w:val="clear" w:color="auto" w:fill="auto"/>
            <w:noWrap/>
            <w:vAlign w:val="bottom"/>
            <w:hideMark/>
          </w:tcPr>
          <w:p w:rsidR="00BE4A2A" w:rsidRPr="00BE4A2A" w:rsidRDefault="00BE4A2A" w:rsidP="00BE4A2A">
            <w:pPr>
              <w:spacing w:after="0" w:line="240" w:lineRule="auto"/>
              <w:rPr>
                <w:rFonts w:ascii="Arial" w:eastAsia="Times New Roman" w:hAnsi="Arial" w:cs="Arial"/>
                <w:b/>
                <w:bCs/>
                <w:color w:val="000000"/>
                <w:lang w:eastAsia="en-AU"/>
              </w:rPr>
            </w:pPr>
            <w:r w:rsidRPr="00BE4A2A">
              <w:rPr>
                <w:rFonts w:ascii="Arial" w:eastAsia="Times New Roman" w:hAnsi="Arial" w:cs="Arial"/>
                <w:b/>
                <w:bCs/>
                <w:color w:val="000000"/>
                <w:lang w:eastAsia="en-AU"/>
              </w:rPr>
              <w:t>2 years</w:t>
            </w:r>
          </w:p>
        </w:tc>
        <w:tc>
          <w:tcPr>
            <w:tcW w:w="1020" w:type="dxa"/>
            <w:tcBorders>
              <w:top w:val="nil"/>
              <w:left w:val="nil"/>
              <w:bottom w:val="single" w:sz="4" w:space="0" w:color="auto"/>
              <w:right w:val="nil"/>
            </w:tcBorders>
            <w:shd w:val="clear" w:color="auto" w:fill="auto"/>
            <w:noWrap/>
            <w:vAlign w:val="bottom"/>
            <w:hideMark/>
          </w:tcPr>
          <w:p w:rsidR="00BE4A2A" w:rsidRPr="00BE4A2A" w:rsidRDefault="00BE4A2A" w:rsidP="00BE4A2A">
            <w:pPr>
              <w:spacing w:after="0" w:line="240" w:lineRule="auto"/>
              <w:jc w:val="right"/>
              <w:rPr>
                <w:rFonts w:ascii="Arial" w:eastAsia="Times New Roman" w:hAnsi="Arial" w:cs="Arial"/>
                <w:color w:val="000000"/>
                <w:lang w:eastAsia="en-AU"/>
              </w:rPr>
            </w:pPr>
            <w:r w:rsidRPr="00BE4A2A">
              <w:rPr>
                <w:rFonts w:ascii="Arial" w:eastAsia="Times New Roman" w:hAnsi="Arial" w:cs="Arial"/>
                <w:color w:val="000000"/>
                <w:lang w:eastAsia="en-AU"/>
              </w:rPr>
              <w:t>72.9%</w:t>
            </w:r>
          </w:p>
        </w:tc>
        <w:tc>
          <w:tcPr>
            <w:tcW w:w="1020" w:type="dxa"/>
            <w:tcBorders>
              <w:top w:val="nil"/>
              <w:left w:val="single" w:sz="8" w:space="0" w:color="auto"/>
              <w:bottom w:val="single" w:sz="4" w:space="0" w:color="auto"/>
              <w:right w:val="single" w:sz="8" w:space="0" w:color="auto"/>
            </w:tcBorders>
            <w:shd w:val="clear" w:color="auto" w:fill="auto"/>
            <w:noWrap/>
            <w:vAlign w:val="bottom"/>
            <w:hideMark/>
          </w:tcPr>
          <w:p w:rsidR="00BE4A2A" w:rsidRPr="00BE4A2A" w:rsidRDefault="00BE4A2A" w:rsidP="00BE4A2A">
            <w:pPr>
              <w:spacing w:after="0" w:line="240" w:lineRule="auto"/>
              <w:jc w:val="right"/>
              <w:rPr>
                <w:rFonts w:ascii="Arial" w:eastAsia="Times New Roman" w:hAnsi="Arial" w:cs="Arial"/>
                <w:color w:val="000000"/>
                <w:lang w:eastAsia="en-AU"/>
              </w:rPr>
            </w:pPr>
            <w:r w:rsidRPr="00BE4A2A">
              <w:rPr>
                <w:rFonts w:ascii="Arial" w:eastAsia="Times New Roman" w:hAnsi="Arial" w:cs="Arial"/>
                <w:color w:val="000000"/>
                <w:lang w:eastAsia="en-AU"/>
              </w:rPr>
              <w:t>80.8%</w:t>
            </w:r>
          </w:p>
        </w:tc>
        <w:tc>
          <w:tcPr>
            <w:tcW w:w="1020" w:type="dxa"/>
            <w:tcBorders>
              <w:top w:val="nil"/>
              <w:left w:val="nil"/>
              <w:bottom w:val="single" w:sz="4" w:space="0" w:color="auto"/>
              <w:right w:val="nil"/>
            </w:tcBorders>
            <w:shd w:val="clear" w:color="auto" w:fill="auto"/>
            <w:noWrap/>
            <w:vAlign w:val="bottom"/>
            <w:hideMark/>
          </w:tcPr>
          <w:p w:rsidR="00BE4A2A" w:rsidRPr="00BE4A2A" w:rsidRDefault="00BE4A2A" w:rsidP="00BE4A2A">
            <w:pPr>
              <w:spacing w:after="0" w:line="240" w:lineRule="auto"/>
              <w:jc w:val="right"/>
              <w:rPr>
                <w:rFonts w:ascii="Arial" w:eastAsia="Times New Roman" w:hAnsi="Arial" w:cs="Arial"/>
                <w:color w:val="000000"/>
                <w:lang w:eastAsia="en-AU"/>
              </w:rPr>
            </w:pPr>
            <w:r w:rsidRPr="00BE4A2A">
              <w:rPr>
                <w:rFonts w:ascii="Arial" w:eastAsia="Times New Roman" w:hAnsi="Arial" w:cs="Arial"/>
                <w:color w:val="000000"/>
                <w:lang w:eastAsia="en-AU"/>
              </w:rPr>
              <w:t>87.5%</w:t>
            </w:r>
          </w:p>
        </w:tc>
        <w:tc>
          <w:tcPr>
            <w:tcW w:w="1020" w:type="dxa"/>
            <w:tcBorders>
              <w:top w:val="nil"/>
              <w:left w:val="single" w:sz="8" w:space="0" w:color="auto"/>
              <w:bottom w:val="single" w:sz="4" w:space="0" w:color="auto"/>
              <w:right w:val="single" w:sz="8" w:space="0" w:color="auto"/>
            </w:tcBorders>
            <w:shd w:val="clear" w:color="auto" w:fill="auto"/>
            <w:noWrap/>
            <w:vAlign w:val="bottom"/>
            <w:hideMark/>
          </w:tcPr>
          <w:p w:rsidR="00BE4A2A" w:rsidRPr="00BE4A2A" w:rsidRDefault="00BE4A2A" w:rsidP="00BE4A2A">
            <w:pPr>
              <w:spacing w:after="0" w:line="240" w:lineRule="auto"/>
              <w:rPr>
                <w:rFonts w:ascii="Arial" w:eastAsia="Times New Roman" w:hAnsi="Arial" w:cs="Arial"/>
                <w:color w:val="000000"/>
                <w:lang w:eastAsia="en-AU"/>
              </w:rPr>
            </w:pPr>
            <w:r w:rsidRPr="00BE4A2A">
              <w:rPr>
                <w:rFonts w:ascii="Arial" w:eastAsia="Times New Roman" w:hAnsi="Arial" w:cs="Arial"/>
                <w:color w:val="000000"/>
                <w:lang w:eastAsia="en-AU"/>
              </w:rPr>
              <w:t> </w:t>
            </w:r>
          </w:p>
        </w:tc>
        <w:tc>
          <w:tcPr>
            <w:tcW w:w="1020" w:type="dxa"/>
            <w:tcBorders>
              <w:top w:val="nil"/>
              <w:left w:val="nil"/>
              <w:bottom w:val="single" w:sz="4" w:space="0" w:color="auto"/>
              <w:right w:val="single" w:sz="8" w:space="0" w:color="auto"/>
            </w:tcBorders>
            <w:shd w:val="clear" w:color="auto" w:fill="auto"/>
            <w:noWrap/>
            <w:vAlign w:val="bottom"/>
            <w:hideMark/>
          </w:tcPr>
          <w:p w:rsidR="00BE4A2A" w:rsidRPr="00BE4A2A" w:rsidRDefault="00BE4A2A" w:rsidP="00BE4A2A">
            <w:pPr>
              <w:spacing w:after="0" w:line="240" w:lineRule="auto"/>
              <w:rPr>
                <w:rFonts w:ascii="Arial" w:eastAsia="Times New Roman" w:hAnsi="Arial" w:cs="Arial"/>
                <w:color w:val="000000"/>
                <w:lang w:eastAsia="en-AU"/>
              </w:rPr>
            </w:pPr>
            <w:r w:rsidRPr="00BE4A2A">
              <w:rPr>
                <w:rFonts w:ascii="Arial" w:eastAsia="Times New Roman" w:hAnsi="Arial" w:cs="Arial"/>
                <w:color w:val="000000"/>
                <w:lang w:eastAsia="en-AU"/>
              </w:rPr>
              <w:t> </w:t>
            </w:r>
          </w:p>
        </w:tc>
      </w:tr>
      <w:tr w:rsidR="00BE4A2A" w:rsidRPr="00BE4A2A" w:rsidTr="00BE4A2A">
        <w:trPr>
          <w:trHeight w:val="285"/>
        </w:trPr>
        <w:tc>
          <w:tcPr>
            <w:tcW w:w="2460" w:type="dxa"/>
            <w:tcBorders>
              <w:top w:val="nil"/>
              <w:left w:val="single" w:sz="8" w:space="0" w:color="auto"/>
              <w:bottom w:val="single" w:sz="8" w:space="0" w:color="auto"/>
              <w:right w:val="single" w:sz="8" w:space="0" w:color="auto"/>
            </w:tcBorders>
            <w:shd w:val="clear" w:color="auto" w:fill="auto"/>
            <w:noWrap/>
            <w:vAlign w:val="bottom"/>
            <w:hideMark/>
          </w:tcPr>
          <w:p w:rsidR="00BE4A2A" w:rsidRPr="00BE4A2A" w:rsidRDefault="00BE4A2A" w:rsidP="00BE4A2A">
            <w:pPr>
              <w:spacing w:after="0" w:line="240" w:lineRule="auto"/>
              <w:rPr>
                <w:rFonts w:ascii="Arial" w:eastAsia="Times New Roman" w:hAnsi="Arial" w:cs="Arial"/>
                <w:b/>
                <w:bCs/>
                <w:color w:val="000000"/>
                <w:lang w:eastAsia="en-AU"/>
              </w:rPr>
            </w:pPr>
            <w:r w:rsidRPr="00BE4A2A">
              <w:rPr>
                <w:rFonts w:ascii="Arial" w:eastAsia="Times New Roman" w:hAnsi="Arial" w:cs="Arial"/>
                <w:b/>
                <w:bCs/>
                <w:color w:val="000000"/>
                <w:lang w:eastAsia="en-AU"/>
              </w:rPr>
              <w:t>1 year</w:t>
            </w:r>
          </w:p>
        </w:tc>
        <w:tc>
          <w:tcPr>
            <w:tcW w:w="1020" w:type="dxa"/>
            <w:tcBorders>
              <w:top w:val="nil"/>
              <w:left w:val="nil"/>
              <w:bottom w:val="single" w:sz="8" w:space="0" w:color="auto"/>
              <w:right w:val="nil"/>
            </w:tcBorders>
            <w:shd w:val="clear" w:color="auto" w:fill="auto"/>
            <w:noWrap/>
            <w:vAlign w:val="bottom"/>
            <w:hideMark/>
          </w:tcPr>
          <w:p w:rsidR="00BE4A2A" w:rsidRPr="00BE4A2A" w:rsidRDefault="00BE4A2A" w:rsidP="00BE4A2A">
            <w:pPr>
              <w:spacing w:after="0" w:line="240" w:lineRule="auto"/>
              <w:jc w:val="right"/>
              <w:rPr>
                <w:rFonts w:ascii="Arial" w:eastAsia="Times New Roman" w:hAnsi="Arial" w:cs="Arial"/>
                <w:color w:val="000000"/>
                <w:lang w:eastAsia="en-AU"/>
              </w:rPr>
            </w:pPr>
            <w:r w:rsidRPr="00BE4A2A">
              <w:rPr>
                <w:rFonts w:ascii="Arial" w:eastAsia="Times New Roman" w:hAnsi="Arial" w:cs="Arial"/>
                <w:color w:val="000000"/>
                <w:lang w:eastAsia="en-AU"/>
              </w:rPr>
              <w:t>76.1%</w:t>
            </w:r>
          </w:p>
        </w:tc>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BE4A2A" w:rsidRPr="00BE4A2A" w:rsidRDefault="00BE4A2A" w:rsidP="00BE4A2A">
            <w:pPr>
              <w:spacing w:after="0" w:line="240" w:lineRule="auto"/>
              <w:jc w:val="right"/>
              <w:rPr>
                <w:rFonts w:ascii="Arial" w:eastAsia="Times New Roman" w:hAnsi="Arial" w:cs="Arial"/>
                <w:color w:val="000000"/>
                <w:lang w:eastAsia="en-AU"/>
              </w:rPr>
            </w:pPr>
            <w:r w:rsidRPr="00BE4A2A">
              <w:rPr>
                <w:rFonts w:ascii="Arial" w:eastAsia="Times New Roman" w:hAnsi="Arial" w:cs="Arial"/>
                <w:color w:val="000000"/>
                <w:lang w:eastAsia="en-AU"/>
              </w:rPr>
              <w:t>84.4%</w:t>
            </w:r>
          </w:p>
        </w:tc>
        <w:tc>
          <w:tcPr>
            <w:tcW w:w="1020" w:type="dxa"/>
            <w:tcBorders>
              <w:top w:val="nil"/>
              <w:left w:val="nil"/>
              <w:bottom w:val="single" w:sz="8" w:space="0" w:color="auto"/>
              <w:right w:val="nil"/>
            </w:tcBorders>
            <w:shd w:val="clear" w:color="auto" w:fill="auto"/>
            <w:noWrap/>
            <w:vAlign w:val="bottom"/>
            <w:hideMark/>
          </w:tcPr>
          <w:p w:rsidR="00BE4A2A" w:rsidRPr="00BE4A2A" w:rsidRDefault="00BE4A2A" w:rsidP="00BE4A2A">
            <w:pPr>
              <w:spacing w:after="0" w:line="240" w:lineRule="auto"/>
              <w:rPr>
                <w:rFonts w:ascii="Arial" w:eastAsia="Times New Roman" w:hAnsi="Arial" w:cs="Arial"/>
                <w:color w:val="000000"/>
                <w:lang w:eastAsia="en-AU"/>
              </w:rPr>
            </w:pPr>
            <w:r w:rsidRPr="00BE4A2A">
              <w:rPr>
                <w:rFonts w:ascii="Arial" w:eastAsia="Times New Roman" w:hAnsi="Arial" w:cs="Arial"/>
                <w:color w:val="000000"/>
                <w:lang w:eastAsia="en-AU"/>
              </w:rPr>
              <w:t> </w:t>
            </w:r>
          </w:p>
        </w:tc>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BE4A2A" w:rsidRPr="00BE4A2A" w:rsidRDefault="00BE4A2A" w:rsidP="00BE4A2A">
            <w:pPr>
              <w:spacing w:after="0" w:line="240" w:lineRule="auto"/>
              <w:rPr>
                <w:rFonts w:ascii="Arial" w:eastAsia="Times New Roman" w:hAnsi="Arial" w:cs="Arial"/>
                <w:color w:val="000000"/>
                <w:lang w:eastAsia="en-AU"/>
              </w:rPr>
            </w:pPr>
            <w:r w:rsidRPr="00BE4A2A">
              <w:rPr>
                <w:rFonts w:ascii="Arial" w:eastAsia="Times New Roman" w:hAnsi="Arial" w:cs="Arial"/>
                <w:color w:val="000000"/>
                <w:lang w:eastAsia="en-AU"/>
              </w:rPr>
              <w:t> </w:t>
            </w:r>
          </w:p>
        </w:tc>
        <w:tc>
          <w:tcPr>
            <w:tcW w:w="1020" w:type="dxa"/>
            <w:tcBorders>
              <w:top w:val="nil"/>
              <w:left w:val="nil"/>
              <w:bottom w:val="single" w:sz="8" w:space="0" w:color="auto"/>
              <w:right w:val="single" w:sz="8" w:space="0" w:color="auto"/>
            </w:tcBorders>
            <w:shd w:val="clear" w:color="auto" w:fill="auto"/>
            <w:noWrap/>
            <w:vAlign w:val="bottom"/>
            <w:hideMark/>
          </w:tcPr>
          <w:p w:rsidR="00BE4A2A" w:rsidRPr="00BE4A2A" w:rsidRDefault="00BE4A2A" w:rsidP="00BE4A2A">
            <w:pPr>
              <w:spacing w:after="0" w:line="240" w:lineRule="auto"/>
              <w:rPr>
                <w:rFonts w:ascii="Arial" w:eastAsia="Times New Roman" w:hAnsi="Arial" w:cs="Arial"/>
                <w:color w:val="000000"/>
                <w:lang w:eastAsia="en-AU"/>
              </w:rPr>
            </w:pPr>
            <w:r w:rsidRPr="00BE4A2A">
              <w:rPr>
                <w:rFonts w:ascii="Arial" w:eastAsia="Times New Roman" w:hAnsi="Arial" w:cs="Arial"/>
                <w:color w:val="000000"/>
                <w:lang w:eastAsia="en-AU"/>
              </w:rPr>
              <w:t> </w:t>
            </w:r>
          </w:p>
        </w:tc>
      </w:tr>
    </w:tbl>
    <w:p w:rsidR="00BE4A2A" w:rsidRDefault="00BE4A2A" w:rsidP="009D751A"/>
    <w:p w:rsidR="00A65EEE" w:rsidRDefault="0080201D" w:rsidP="009D751A">
      <w:r>
        <w:t>Footnote 1</w:t>
      </w:r>
      <w:r w:rsidR="00A65EEE">
        <w:t xml:space="preserve">: </w:t>
      </w:r>
      <w:r w:rsidR="00A65EEE" w:rsidRPr="00A65EEE">
        <w:t>Note that due to small numbers for this LF indicator, the goals indicator is not available for participants in the Scheme for five years.</w:t>
      </w:r>
    </w:p>
    <w:p w:rsidR="00B83265" w:rsidRDefault="00B83265" w:rsidP="009D751A"/>
    <w:p w:rsidR="00B83265" w:rsidRPr="002817DE" w:rsidRDefault="00B83265" w:rsidP="002817DE">
      <w:pPr>
        <w:pStyle w:val="Heading2"/>
      </w:pPr>
      <w:bookmarkStart w:id="44" w:name="_Toc119919450"/>
      <w:bookmarkStart w:id="45" w:name="_Toc121151421"/>
      <w:r w:rsidRPr="002817DE">
        <w:t xml:space="preserve">Slide 39: The adult years: Participants aged 15 </w:t>
      </w:r>
      <w:bookmarkEnd w:id="44"/>
      <w:r w:rsidRPr="002817DE">
        <w:t>and over</w:t>
      </w:r>
      <w:bookmarkEnd w:id="45"/>
    </w:p>
    <w:p w:rsidR="00B83265" w:rsidRPr="00715092" w:rsidRDefault="00B83265" w:rsidP="00B83265">
      <w:pPr>
        <w:spacing w:after="240"/>
        <w:rPr>
          <w:rFonts w:cstheme="minorHAnsi"/>
        </w:rPr>
      </w:pPr>
      <w:r w:rsidRPr="00715092">
        <w:rPr>
          <w:rFonts w:cstheme="minorHAnsi"/>
        </w:rPr>
        <w:t>This slide is the cover slide for the outcomes of participants aged 15 and over.</w:t>
      </w:r>
    </w:p>
    <w:p w:rsidR="00B83265" w:rsidRPr="002817DE" w:rsidRDefault="00B83265" w:rsidP="002817DE">
      <w:pPr>
        <w:pStyle w:val="Heading2"/>
      </w:pPr>
      <w:bookmarkStart w:id="46" w:name="_Toc119919451"/>
      <w:bookmarkStart w:id="47" w:name="_Toc121151422"/>
      <w:r w:rsidRPr="002817DE">
        <w:t xml:space="preserve">Slide 40: Participants aged 15 </w:t>
      </w:r>
      <w:bookmarkEnd w:id="46"/>
      <w:r w:rsidRPr="002817DE">
        <w:t>and over – Domains and outcomes</w:t>
      </w:r>
      <w:bookmarkEnd w:id="47"/>
    </w:p>
    <w:p w:rsidR="00B83265" w:rsidRPr="00715092" w:rsidRDefault="00B83265" w:rsidP="00B83265">
      <w:pPr>
        <w:spacing w:after="240"/>
        <w:rPr>
          <w:rFonts w:cstheme="minorHAnsi"/>
        </w:rPr>
      </w:pPr>
      <w:r w:rsidRPr="00715092">
        <w:rPr>
          <w:rFonts w:cstheme="minorHAnsi"/>
        </w:rPr>
        <w:t>The participant group aged 15 years and over comprises the following.</w:t>
      </w:r>
    </w:p>
    <w:tbl>
      <w:tblPr>
        <w:tblW w:w="8901" w:type="dxa"/>
        <w:tblLook w:val="04A0" w:firstRow="1" w:lastRow="0" w:firstColumn="1" w:lastColumn="0" w:noHBand="0" w:noVBand="1"/>
      </w:tblPr>
      <w:tblGrid>
        <w:gridCol w:w="2168"/>
        <w:gridCol w:w="6733"/>
      </w:tblGrid>
      <w:tr w:rsidR="00B83265" w:rsidRPr="00F11B7A" w:rsidTr="00407DCE">
        <w:trPr>
          <w:trHeight w:val="187"/>
        </w:trPr>
        <w:tc>
          <w:tcPr>
            <w:tcW w:w="2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3265" w:rsidRPr="00F11B7A" w:rsidRDefault="00B83265" w:rsidP="00407DCE">
            <w:pPr>
              <w:spacing w:after="240" w:line="240" w:lineRule="auto"/>
              <w:rPr>
                <w:rFonts w:eastAsia="Times New Roman" w:cstheme="minorHAnsi"/>
                <w:b/>
                <w:color w:val="000000"/>
                <w:lang w:eastAsia="zh-CN"/>
              </w:rPr>
            </w:pPr>
            <w:r w:rsidRPr="00F11B7A">
              <w:rPr>
                <w:rFonts w:eastAsia="Times New Roman" w:cstheme="minorHAnsi"/>
                <w:b/>
                <w:color w:val="000000"/>
                <w:lang w:eastAsia="zh-CN"/>
              </w:rPr>
              <w:t>Age group</w:t>
            </w:r>
          </w:p>
        </w:tc>
        <w:tc>
          <w:tcPr>
            <w:tcW w:w="6733" w:type="dxa"/>
            <w:tcBorders>
              <w:top w:val="single" w:sz="4" w:space="0" w:color="auto"/>
              <w:left w:val="nil"/>
              <w:bottom w:val="single" w:sz="4" w:space="0" w:color="auto"/>
              <w:right w:val="single" w:sz="4" w:space="0" w:color="auto"/>
            </w:tcBorders>
            <w:shd w:val="clear" w:color="auto" w:fill="auto"/>
            <w:noWrap/>
            <w:vAlign w:val="center"/>
            <w:hideMark/>
          </w:tcPr>
          <w:p w:rsidR="00B83265" w:rsidRPr="00F11B7A" w:rsidRDefault="00B83265" w:rsidP="00407DCE">
            <w:pPr>
              <w:spacing w:after="240" w:line="240" w:lineRule="auto"/>
              <w:rPr>
                <w:rFonts w:eastAsia="Times New Roman" w:cstheme="minorHAnsi"/>
                <w:b/>
                <w:color w:val="000000"/>
                <w:lang w:eastAsia="zh-CN"/>
              </w:rPr>
            </w:pPr>
            <w:r w:rsidRPr="00F11B7A">
              <w:rPr>
                <w:rFonts w:eastAsia="Times New Roman" w:cstheme="minorHAnsi"/>
                <w:b/>
                <w:color w:val="000000"/>
                <w:lang w:eastAsia="zh-CN"/>
              </w:rPr>
              <w:t>Participant characteristics</w:t>
            </w:r>
          </w:p>
        </w:tc>
      </w:tr>
      <w:tr w:rsidR="00B83265" w:rsidRPr="00715092" w:rsidTr="00407DCE">
        <w:trPr>
          <w:trHeight w:val="187"/>
        </w:trPr>
        <w:tc>
          <w:tcPr>
            <w:tcW w:w="2168" w:type="dxa"/>
            <w:tcBorders>
              <w:top w:val="nil"/>
              <w:left w:val="single" w:sz="4" w:space="0" w:color="auto"/>
              <w:bottom w:val="single" w:sz="4" w:space="0" w:color="auto"/>
              <w:right w:val="single" w:sz="4" w:space="0" w:color="auto"/>
            </w:tcBorders>
            <w:shd w:val="clear" w:color="auto" w:fill="auto"/>
            <w:noWrap/>
            <w:vAlign w:val="center"/>
            <w:hideMark/>
          </w:tcPr>
          <w:p w:rsidR="00B83265" w:rsidRPr="00715092" w:rsidRDefault="00B83265" w:rsidP="00407DCE">
            <w:pPr>
              <w:spacing w:after="240" w:line="240" w:lineRule="auto"/>
              <w:rPr>
                <w:rFonts w:eastAsia="Times New Roman" w:cstheme="minorHAnsi"/>
                <w:color w:val="000000"/>
                <w:lang w:eastAsia="zh-CN"/>
              </w:rPr>
            </w:pPr>
            <w:r w:rsidRPr="00715092">
              <w:rPr>
                <w:rFonts w:eastAsia="Times New Roman" w:cstheme="minorHAnsi"/>
                <w:color w:val="000000"/>
                <w:lang w:eastAsia="zh-CN"/>
              </w:rPr>
              <w:t>15 to 24</w:t>
            </w:r>
          </w:p>
        </w:tc>
        <w:tc>
          <w:tcPr>
            <w:tcW w:w="6733" w:type="dxa"/>
            <w:tcBorders>
              <w:top w:val="nil"/>
              <w:left w:val="nil"/>
              <w:bottom w:val="single" w:sz="4" w:space="0" w:color="auto"/>
              <w:right w:val="single" w:sz="4" w:space="0" w:color="auto"/>
            </w:tcBorders>
            <w:shd w:val="clear" w:color="auto" w:fill="auto"/>
            <w:noWrap/>
            <w:vAlign w:val="center"/>
            <w:hideMark/>
          </w:tcPr>
          <w:p w:rsidR="00B83265" w:rsidRPr="00715092" w:rsidRDefault="00B83265" w:rsidP="00407DCE">
            <w:pPr>
              <w:spacing w:after="240" w:line="240" w:lineRule="auto"/>
              <w:rPr>
                <w:rFonts w:eastAsia="Times New Roman" w:cstheme="minorHAnsi"/>
                <w:color w:val="000000"/>
                <w:lang w:eastAsia="zh-CN"/>
              </w:rPr>
            </w:pPr>
            <w:r w:rsidRPr="00715092">
              <w:rPr>
                <w:rFonts w:eastAsia="Times New Roman" w:cstheme="minorHAnsi"/>
                <w:color w:val="000000"/>
                <w:lang w:eastAsia="zh-CN"/>
              </w:rPr>
              <w:t>Young adults characterised by increasing levels of independence and participation in community, with some individuals moving out of the family home, and transitioning from school to employment or further study.</w:t>
            </w:r>
          </w:p>
        </w:tc>
      </w:tr>
      <w:tr w:rsidR="00B83265" w:rsidRPr="00715092" w:rsidTr="00407DCE">
        <w:trPr>
          <w:trHeight w:val="187"/>
        </w:trPr>
        <w:tc>
          <w:tcPr>
            <w:tcW w:w="2168" w:type="dxa"/>
            <w:tcBorders>
              <w:top w:val="nil"/>
              <w:left w:val="single" w:sz="4" w:space="0" w:color="auto"/>
              <w:bottom w:val="single" w:sz="4" w:space="0" w:color="auto"/>
              <w:right w:val="single" w:sz="4" w:space="0" w:color="auto"/>
            </w:tcBorders>
            <w:shd w:val="clear" w:color="auto" w:fill="auto"/>
            <w:noWrap/>
            <w:vAlign w:val="center"/>
            <w:hideMark/>
          </w:tcPr>
          <w:p w:rsidR="00B83265" w:rsidRPr="00715092" w:rsidRDefault="00B83265" w:rsidP="00407DCE">
            <w:pPr>
              <w:spacing w:after="240" w:line="240" w:lineRule="auto"/>
              <w:rPr>
                <w:rFonts w:eastAsia="Times New Roman" w:cstheme="minorHAnsi"/>
                <w:color w:val="000000"/>
                <w:lang w:eastAsia="zh-CN"/>
              </w:rPr>
            </w:pPr>
            <w:r w:rsidRPr="00715092">
              <w:rPr>
                <w:rFonts w:eastAsia="Times New Roman" w:cstheme="minorHAnsi"/>
                <w:color w:val="000000"/>
                <w:lang w:eastAsia="zh-CN"/>
              </w:rPr>
              <w:t>25 and over</w:t>
            </w:r>
          </w:p>
        </w:tc>
        <w:tc>
          <w:tcPr>
            <w:tcW w:w="6733" w:type="dxa"/>
            <w:tcBorders>
              <w:top w:val="nil"/>
              <w:left w:val="nil"/>
              <w:bottom w:val="single" w:sz="4" w:space="0" w:color="auto"/>
              <w:right w:val="single" w:sz="4" w:space="0" w:color="auto"/>
            </w:tcBorders>
            <w:shd w:val="clear" w:color="auto" w:fill="auto"/>
            <w:noWrap/>
            <w:vAlign w:val="center"/>
            <w:hideMark/>
          </w:tcPr>
          <w:p w:rsidR="00B83265" w:rsidRPr="00715092" w:rsidRDefault="00B83265" w:rsidP="00407DCE">
            <w:pPr>
              <w:spacing w:after="240" w:line="240" w:lineRule="auto"/>
              <w:rPr>
                <w:rFonts w:eastAsia="Times New Roman" w:cstheme="minorHAnsi"/>
                <w:color w:val="000000"/>
                <w:lang w:eastAsia="zh-CN"/>
              </w:rPr>
            </w:pPr>
            <w:r w:rsidRPr="00715092">
              <w:rPr>
                <w:rFonts w:eastAsia="Times New Roman" w:cstheme="minorHAnsi"/>
                <w:color w:val="000000"/>
                <w:lang w:eastAsia="zh-CN"/>
              </w:rPr>
              <w:t>Older adults, where employment is an important area. The older members of this cohort are also starting to transition to retirement. For both young and older adults, choice and control is a normal part of everyday life.</w:t>
            </w:r>
          </w:p>
        </w:tc>
      </w:tr>
    </w:tbl>
    <w:p w:rsidR="00B83265" w:rsidRDefault="00B83265" w:rsidP="00B83265">
      <w:pPr>
        <w:spacing w:after="240"/>
        <w:rPr>
          <w:rFonts w:cstheme="minorHAnsi"/>
        </w:rPr>
      </w:pPr>
    </w:p>
    <w:p w:rsidR="00B83265" w:rsidRPr="00715092" w:rsidRDefault="00B83265" w:rsidP="00B83265">
      <w:pPr>
        <w:spacing w:after="240"/>
        <w:rPr>
          <w:rFonts w:cstheme="minorHAnsi"/>
        </w:rPr>
      </w:pPr>
      <w:r w:rsidRPr="00715092">
        <w:rPr>
          <w:rFonts w:cstheme="minorHAnsi"/>
        </w:rPr>
        <w:t>The eight outcome domains for participants aged 15 and over are:</w:t>
      </w:r>
    </w:p>
    <w:p w:rsidR="00B83265" w:rsidRPr="00715092" w:rsidRDefault="00B83265" w:rsidP="00B83265">
      <w:pPr>
        <w:pStyle w:val="ListParagraph"/>
        <w:numPr>
          <w:ilvl w:val="0"/>
          <w:numId w:val="3"/>
        </w:numPr>
        <w:spacing w:after="240"/>
        <w:rPr>
          <w:rFonts w:cstheme="minorHAnsi"/>
        </w:rPr>
      </w:pPr>
      <w:r w:rsidRPr="00715092">
        <w:rPr>
          <w:rFonts w:cstheme="minorHAnsi"/>
        </w:rPr>
        <w:t>Choice and control</w:t>
      </w:r>
    </w:p>
    <w:p w:rsidR="00B83265" w:rsidRPr="00715092" w:rsidRDefault="00B83265" w:rsidP="00B83265">
      <w:pPr>
        <w:numPr>
          <w:ilvl w:val="0"/>
          <w:numId w:val="3"/>
        </w:numPr>
        <w:spacing w:after="240"/>
        <w:rPr>
          <w:rFonts w:cstheme="minorHAnsi"/>
        </w:rPr>
      </w:pPr>
      <w:r w:rsidRPr="00715092">
        <w:rPr>
          <w:rFonts w:cstheme="minorHAnsi"/>
        </w:rPr>
        <w:lastRenderedPageBreak/>
        <w:t>Daily living</w:t>
      </w:r>
    </w:p>
    <w:p w:rsidR="00B83265" w:rsidRPr="00715092" w:rsidRDefault="00B83265" w:rsidP="00B83265">
      <w:pPr>
        <w:numPr>
          <w:ilvl w:val="0"/>
          <w:numId w:val="3"/>
        </w:numPr>
        <w:spacing w:after="240"/>
        <w:rPr>
          <w:rFonts w:cstheme="minorHAnsi"/>
        </w:rPr>
      </w:pPr>
      <w:r w:rsidRPr="00715092">
        <w:rPr>
          <w:rFonts w:cstheme="minorHAnsi"/>
        </w:rPr>
        <w:t>Relationships</w:t>
      </w:r>
    </w:p>
    <w:p w:rsidR="00B83265" w:rsidRPr="00715092" w:rsidRDefault="00B83265" w:rsidP="00B83265">
      <w:pPr>
        <w:numPr>
          <w:ilvl w:val="0"/>
          <w:numId w:val="3"/>
        </w:numPr>
        <w:spacing w:after="240"/>
        <w:rPr>
          <w:rFonts w:cstheme="minorHAnsi"/>
        </w:rPr>
      </w:pPr>
      <w:r w:rsidRPr="00715092">
        <w:rPr>
          <w:rFonts w:cstheme="minorHAnsi"/>
        </w:rPr>
        <w:t>Home</w:t>
      </w:r>
    </w:p>
    <w:p w:rsidR="00B83265" w:rsidRPr="00715092" w:rsidRDefault="00B83265" w:rsidP="00B83265">
      <w:pPr>
        <w:numPr>
          <w:ilvl w:val="0"/>
          <w:numId w:val="3"/>
        </w:numPr>
        <w:spacing w:after="240"/>
        <w:rPr>
          <w:rFonts w:cstheme="minorHAnsi"/>
        </w:rPr>
      </w:pPr>
      <w:r w:rsidRPr="00715092">
        <w:rPr>
          <w:rFonts w:cstheme="minorHAnsi"/>
        </w:rPr>
        <w:t>Health and wellbeing</w:t>
      </w:r>
    </w:p>
    <w:p w:rsidR="00B83265" w:rsidRPr="00715092" w:rsidRDefault="00B83265" w:rsidP="00B83265">
      <w:pPr>
        <w:numPr>
          <w:ilvl w:val="0"/>
          <w:numId w:val="3"/>
        </w:numPr>
        <w:spacing w:after="240"/>
        <w:rPr>
          <w:rFonts w:cstheme="minorHAnsi"/>
        </w:rPr>
      </w:pPr>
      <w:r w:rsidRPr="00715092">
        <w:rPr>
          <w:rFonts w:cstheme="minorHAnsi"/>
        </w:rPr>
        <w:t>Lifelong learning</w:t>
      </w:r>
    </w:p>
    <w:p w:rsidR="00B83265" w:rsidRPr="00715092" w:rsidRDefault="00B83265" w:rsidP="00B83265">
      <w:pPr>
        <w:numPr>
          <w:ilvl w:val="0"/>
          <w:numId w:val="3"/>
        </w:numPr>
        <w:spacing w:after="240"/>
        <w:rPr>
          <w:rFonts w:cstheme="minorHAnsi"/>
        </w:rPr>
      </w:pPr>
      <w:r w:rsidRPr="00715092">
        <w:rPr>
          <w:rFonts w:cstheme="minorHAnsi"/>
        </w:rPr>
        <w:t>Work</w:t>
      </w:r>
    </w:p>
    <w:p w:rsidR="00B83265" w:rsidRPr="00715092" w:rsidRDefault="00B83265" w:rsidP="00B83265">
      <w:pPr>
        <w:numPr>
          <w:ilvl w:val="0"/>
          <w:numId w:val="3"/>
        </w:numPr>
        <w:spacing w:after="240"/>
        <w:rPr>
          <w:rFonts w:cstheme="minorHAnsi"/>
        </w:rPr>
      </w:pPr>
      <w:r w:rsidRPr="00715092">
        <w:rPr>
          <w:rFonts w:cstheme="minorHAnsi"/>
        </w:rPr>
        <w:t>Social, community and civic participation</w:t>
      </w:r>
    </w:p>
    <w:p w:rsidR="00B83265" w:rsidRPr="002817DE" w:rsidRDefault="00B83265" w:rsidP="002817DE">
      <w:pPr>
        <w:pStyle w:val="Heading2"/>
      </w:pPr>
      <w:bookmarkStart w:id="48" w:name="_Toc119919452"/>
      <w:bookmarkStart w:id="49" w:name="_Toc121151423"/>
      <w:r w:rsidRPr="002817DE">
        <w:t>Slide 41: Participants aged 15 and over – Number of indicators with significant and material overall change by domain</w:t>
      </w:r>
      <w:bookmarkEnd w:id="48"/>
      <w:bookmarkEnd w:id="49"/>
    </w:p>
    <w:p w:rsidR="00B83265" w:rsidRPr="00715092" w:rsidRDefault="00B83265" w:rsidP="00B83265">
      <w:pPr>
        <w:spacing w:after="240"/>
        <w:rPr>
          <w:rFonts w:cstheme="minorHAnsi"/>
        </w:rPr>
      </w:pPr>
      <w:r w:rsidRPr="00715092">
        <w:rPr>
          <w:rFonts w:cstheme="minorHAnsi"/>
        </w:rPr>
        <w:t>Number of indicators with significant and material overall change by domain</w:t>
      </w:r>
    </w:p>
    <w:tbl>
      <w:tblPr>
        <w:tblW w:w="9340" w:type="dxa"/>
        <w:tblLook w:val="04A0" w:firstRow="1" w:lastRow="0" w:firstColumn="1" w:lastColumn="0" w:noHBand="0" w:noVBand="1"/>
      </w:tblPr>
      <w:tblGrid>
        <w:gridCol w:w="3860"/>
        <w:gridCol w:w="1620"/>
        <w:gridCol w:w="2200"/>
        <w:gridCol w:w="1660"/>
      </w:tblGrid>
      <w:tr w:rsidR="00B83265" w:rsidRPr="00715092" w:rsidTr="00407DCE">
        <w:trPr>
          <w:trHeight w:val="300"/>
        </w:trPr>
        <w:tc>
          <w:tcPr>
            <w:tcW w:w="3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3265" w:rsidRPr="00715092" w:rsidRDefault="00B83265" w:rsidP="00407DCE">
            <w:pPr>
              <w:spacing w:after="240" w:line="240" w:lineRule="auto"/>
              <w:rPr>
                <w:rFonts w:eastAsia="Times New Roman" w:cstheme="minorHAnsi"/>
                <w:b/>
                <w:bCs/>
                <w:color w:val="000000"/>
                <w:lang w:eastAsia="en-AU"/>
              </w:rPr>
            </w:pPr>
            <w:r w:rsidRPr="00715092">
              <w:rPr>
                <w:rFonts w:eastAsia="Times New Roman" w:cstheme="minorHAnsi"/>
                <w:b/>
                <w:bCs/>
                <w:color w:val="000000"/>
                <w:lang w:eastAsia="en-AU"/>
              </w:rPr>
              <w:t>Domain</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B83265" w:rsidRPr="00715092" w:rsidRDefault="00B83265" w:rsidP="00407DCE">
            <w:pPr>
              <w:spacing w:after="240" w:line="240" w:lineRule="auto"/>
              <w:rPr>
                <w:rFonts w:eastAsia="Times New Roman" w:cstheme="minorHAnsi"/>
                <w:b/>
                <w:bCs/>
                <w:color w:val="000000"/>
                <w:lang w:eastAsia="en-AU"/>
              </w:rPr>
            </w:pPr>
            <w:r w:rsidRPr="00715092">
              <w:rPr>
                <w:rFonts w:eastAsia="Times New Roman" w:cstheme="minorHAnsi"/>
                <w:b/>
                <w:bCs/>
                <w:color w:val="000000"/>
                <w:lang w:eastAsia="en-AU"/>
              </w:rPr>
              <w:t>Improvement</w:t>
            </w:r>
          </w:p>
        </w:tc>
        <w:tc>
          <w:tcPr>
            <w:tcW w:w="2200" w:type="dxa"/>
            <w:tcBorders>
              <w:top w:val="single" w:sz="4" w:space="0" w:color="auto"/>
              <w:left w:val="nil"/>
              <w:bottom w:val="single" w:sz="4" w:space="0" w:color="auto"/>
              <w:right w:val="single" w:sz="4" w:space="0" w:color="auto"/>
            </w:tcBorders>
            <w:shd w:val="clear" w:color="auto" w:fill="auto"/>
            <w:noWrap/>
            <w:vAlign w:val="center"/>
            <w:hideMark/>
          </w:tcPr>
          <w:p w:rsidR="00B83265" w:rsidRPr="00715092" w:rsidRDefault="00B83265" w:rsidP="00407DCE">
            <w:pPr>
              <w:spacing w:after="240" w:line="240" w:lineRule="auto"/>
              <w:rPr>
                <w:rFonts w:eastAsia="Times New Roman" w:cstheme="minorHAnsi"/>
                <w:b/>
                <w:bCs/>
                <w:color w:val="000000"/>
                <w:lang w:eastAsia="en-AU"/>
              </w:rPr>
            </w:pPr>
            <w:r w:rsidRPr="00715092">
              <w:rPr>
                <w:rFonts w:eastAsia="Times New Roman" w:cstheme="minorHAnsi"/>
                <w:b/>
                <w:bCs/>
                <w:color w:val="000000"/>
                <w:lang w:eastAsia="en-AU"/>
              </w:rPr>
              <w:t>Context Dependent</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83265" w:rsidRPr="00715092" w:rsidRDefault="00B83265" w:rsidP="00407DCE">
            <w:pPr>
              <w:spacing w:after="240" w:line="240" w:lineRule="auto"/>
              <w:rPr>
                <w:rFonts w:eastAsia="Times New Roman" w:cstheme="minorHAnsi"/>
                <w:b/>
                <w:bCs/>
                <w:color w:val="000000"/>
                <w:lang w:eastAsia="en-AU"/>
              </w:rPr>
            </w:pPr>
            <w:r w:rsidRPr="00715092">
              <w:rPr>
                <w:rFonts w:eastAsia="Times New Roman" w:cstheme="minorHAnsi"/>
                <w:b/>
                <w:bCs/>
                <w:color w:val="000000"/>
                <w:lang w:eastAsia="en-AU"/>
              </w:rPr>
              <w:t>Deterioration</w:t>
            </w:r>
          </w:p>
        </w:tc>
      </w:tr>
      <w:tr w:rsidR="00B83265" w:rsidRPr="00715092" w:rsidTr="00407DCE">
        <w:trPr>
          <w:trHeight w:val="300"/>
        </w:trPr>
        <w:tc>
          <w:tcPr>
            <w:tcW w:w="3860" w:type="dxa"/>
            <w:tcBorders>
              <w:top w:val="nil"/>
              <w:left w:val="single" w:sz="4" w:space="0" w:color="auto"/>
              <w:bottom w:val="single" w:sz="4" w:space="0" w:color="auto"/>
              <w:right w:val="single" w:sz="4" w:space="0" w:color="auto"/>
            </w:tcBorders>
            <w:shd w:val="clear" w:color="auto" w:fill="auto"/>
            <w:noWrap/>
            <w:vAlign w:val="center"/>
            <w:hideMark/>
          </w:tcPr>
          <w:p w:rsidR="00B83265" w:rsidRPr="00715092" w:rsidRDefault="00B83265" w:rsidP="00407DCE">
            <w:pPr>
              <w:spacing w:after="240"/>
              <w:rPr>
                <w:rFonts w:cstheme="minorHAnsi"/>
              </w:rPr>
            </w:pPr>
            <w:r w:rsidRPr="00715092">
              <w:rPr>
                <w:rFonts w:cstheme="minorHAnsi"/>
              </w:rPr>
              <w:t>Choice and control</w:t>
            </w:r>
          </w:p>
        </w:tc>
        <w:tc>
          <w:tcPr>
            <w:tcW w:w="1620" w:type="dxa"/>
            <w:tcBorders>
              <w:top w:val="nil"/>
              <w:left w:val="nil"/>
              <w:bottom w:val="single" w:sz="4" w:space="0" w:color="auto"/>
              <w:right w:val="single" w:sz="4" w:space="0" w:color="auto"/>
            </w:tcBorders>
            <w:shd w:val="clear" w:color="auto" w:fill="auto"/>
            <w:noWrap/>
            <w:vAlign w:val="center"/>
            <w:hideMark/>
          </w:tcPr>
          <w:p w:rsidR="00B83265" w:rsidRPr="00715092" w:rsidRDefault="00B83265" w:rsidP="00407DCE">
            <w:pPr>
              <w:spacing w:after="240"/>
              <w:rPr>
                <w:rFonts w:cstheme="minorHAnsi"/>
              </w:rPr>
            </w:pPr>
            <w:r>
              <w:rPr>
                <w:rFonts w:cstheme="minorHAnsi"/>
              </w:rPr>
              <w:t>5</w:t>
            </w:r>
          </w:p>
        </w:tc>
        <w:tc>
          <w:tcPr>
            <w:tcW w:w="2200" w:type="dxa"/>
            <w:tcBorders>
              <w:top w:val="nil"/>
              <w:left w:val="nil"/>
              <w:bottom w:val="single" w:sz="4" w:space="0" w:color="auto"/>
              <w:right w:val="single" w:sz="4" w:space="0" w:color="auto"/>
            </w:tcBorders>
            <w:shd w:val="clear" w:color="auto" w:fill="auto"/>
            <w:noWrap/>
            <w:vAlign w:val="center"/>
            <w:hideMark/>
          </w:tcPr>
          <w:p w:rsidR="00B83265" w:rsidRPr="00715092" w:rsidRDefault="00B83265" w:rsidP="00407DCE">
            <w:pPr>
              <w:spacing w:after="240"/>
              <w:rPr>
                <w:rFonts w:cstheme="minorHAnsi"/>
              </w:rPr>
            </w:pPr>
            <w:r w:rsidRPr="00715092">
              <w:rPr>
                <w:rFonts w:cstheme="minorHAnsi"/>
              </w:rPr>
              <w:t>1</w:t>
            </w:r>
          </w:p>
        </w:tc>
        <w:tc>
          <w:tcPr>
            <w:tcW w:w="1660" w:type="dxa"/>
            <w:tcBorders>
              <w:top w:val="nil"/>
              <w:left w:val="nil"/>
              <w:bottom w:val="single" w:sz="4" w:space="0" w:color="auto"/>
              <w:right w:val="single" w:sz="4" w:space="0" w:color="auto"/>
            </w:tcBorders>
            <w:shd w:val="clear" w:color="auto" w:fill="auto"/>
            <w:noWrap/>
            <w:vAlign w:val="center"/>
            <w:hideMark/>
          </w:tcPr>
          <w:p w:rsidR="00B83265" w:rsidRPr="00715092" w:rsidRDefault="00B83265" w:rsidP="00407DCE">
            <w:pPr>
              <w:spacing w:after="240"/>
              <w:rPr>
                <w:rFonts w:cstheme="minorHAnsi"/>
              </w:rPr>
            </w:pPr>
            <w:r w:rsidRPr="00715092">
              <w:rPr>
                <w:rFonts w:cstheme="minorHAnsi"/>
              </w:rPr>
              <w:t>1</w:t>
            </w:r>
          </w:p>
        </w:tc>
      </w:tr>
      <w:tr w:rsidR="00B83265" w:rsidRPr="00715092" w:rsidTr="00407DCE">
        <w:trPr>
          <w:trHeight w:val="285"/>
        </w:trPr>
        <w:tc>
          <w:tcPr>
            <w:tcW w:w="3860" w:type="dxa"/>
            <w:tcBorders>
              <w:top w:val="nil"/>
              <w:left w:val="single" w:sz="4" w:space="0" w:color="auto"/>
              <w:bottom w:val="single" w:sz="4" w:space="0" w:color="auto"/>
              <w:right w:val="single" w:sz="4" w:space="0" w:color="auto"/>
            </w:tcBorders>
            <w:shd w:val="clear" w:color="auto" w:fill="auto"/>
            <w:noWrap/>
            <w:vAlign w:val="center"/>
            <w:hideMark/>
          </w:tcPr>
          <w:p w:rsidR="00B83265" w:rsidRPr="00715092" w:rsidRDefault="00B83265" w:rsidP="00407DCE">
            <w:pPr>
              <w:spacing w:after="240"/>
              <w:rPr>
                <w:rFonts w:cstheme="minorHAnsi"/>
              </w:rPr>
            </w:pPr>
            <w:r w:rsidRPr="00715092">
              <w:rPr>
                <w:rFonts w:cstheme="minorHAnsi"/>
              </w:rPr>
              <w:t>Daily living</w:t>
            </w:r>
          </w:p>
        </w:tc>
        <w:tc>
          <w:tcPr>
            <w:tcW w:w="1620" w:type="dxa"/>
            <w:tcBorders>
              <w:top w:val="nil"/>
              <w:left w:val="nil"/>
              <w:bottom w:val="single" w:sz="4" w:space="0" w:color="auto"/>
              <w:right w:val="single" w:sz="4" w:space="0" w:color="auto"/>
            </w:tcBorders>
            <w:shd w:val="clear" w:color="auto" w:fill="auto"/>
            <w:noWrap/>
            <w:vAlign w:val="center"/>
            <w:hideMark/>
          </w:tcPr>
          <w:p w:rsidR="00B83265" w:rsidRPr="00715092" w:rsidRDefault="00B83265" w:rsidP="00407DCE">
            <w:pPr>
              <w:spacing w:after="240"/>
              <w:rPr>
                <w:rFonts w:cstheme="minorHAnsi"/>
              </w:rPr>
            </w:pPr>
            <w:r>
              <w:rPr>
                <w:rFonts w:cstheme="minorHAnsi"/>
              </w:rPr>
              <w:t>1</w:t>
            </w:r>
          </w:p>
        </w:tc>
        <w:tc>
          <w:tcPr>
            <w:tcW w:w="2200" w:type="dxa"/>
            <w:tcBorders>
              <w:top w:val="nil"/>
              <w:left w:val="nil"/>
              <w:bottom w:val="single" w:sz="4" w:space="0" w:color="auto"/>
              <w:right w:val="single" w:sz="4" w:space="0" w:color="auto"/>
            </w:tcBorders>
            <w:shd w:val="clear" w:color="auto" w:fill="auto"/>
            <w:noWrap/>
            <w:vAlign w:val="center"/>
            <w:hideMark/>
          </w:tcPr>
          <w:p w:rsidR="00B83265" w:rsidRPr="00715092" w:rsidRDefault="00B83265" w:rsidP="00407DCE">
            <w:pPr>
              <w:spacing w:after="240"/>
              <w:rPr>
                <w:rFonts w:cstheme="minorHAnsi"/>
              </w:rPr>
            </w:pPr>
            <w:r w:rsidRPr="00715092">
              <w:rPr>
                <w:rFonts w:cstheme="minorHAnsi"/>
              </w:rPr>
              <w:t>0</w:t>
            </w:r>
          </w:p>
        </w:tc>
        <w:tc>
          <w:tcPr>
            <w:tcW w:w="1660" w:type="dxa"/>
            <w:tcBorders>
              <w:top w:val="nil"/>
              <w:left w:val="nil"/>
              <w:bottom w:val="single" w:sz="4" w:space="0" w:color="auto"/>
              <w:right w:val="single" w:sz="4" w:space="0" w:color="auto"/>
            </w:tcBorders>
            <w:shd w:val="clear" w:color="auto" w:fill="auto"/>
            <w:noWrap/>
            <w:vAlign w:val="center"/>
            <w:hideMark/>
          </w:tcPr>
          <w:p w:rsidR="00B83265" w:rsidRPr="00715092" w:rsidRDefault="00B83265" w:rsidP="00407DCE">
            <w:pPr>
              <w:spacing w:after="240"/>
              <w:rPr>
                <w:rFonts w:cstheme="minorHAnsi"/>
              </w:rPr>
            </w:pPr>
            <w:r>
              <w:rPr>
                <w:rFonts w:cstheme="minorHAnsi"/>
              </w:rPr>
              <w:t>1</w:t>
            </w:r>
          </w:p>
        </w:tc>
      </w:tr>
      <w:tr w:rsidR="00B83265" w:rsidRPr="00715092" w:rsidTr="00407DCE">
        <w:trPr>
          <w:trHeight w:val="285"/>
        </w:trPr>
        <w:tc>
          <w:tcPr>
            <w:tcW w:w="3860" w:type="dxa"/>
            <w:tcBorders>
              <w:top w:val="nil"/>
              <w:left w:val="single" w:sz="4" w:space="0" w:color="auto"/>
              <w:bottom w:val="single" w:sz="4" w:space="0" w:color="auto"/>
              <w:right w:val="single" w:sz="4" w:space="0" w:color="auto"/>
            </w:tcBorders>
            <w:shd w:val="clear" w:color="auto" w:fill="auto"/>
            <w:noWrap/>
            <w:vAlign w:val="center"/>
            <w:hideMark/>
          </w:tcPr>
          <w:p w:rsidR="00B83265" w:rsidRPr="00715092" w:rsidRDefault="00B83265" w:rsidP="00407DCE">
            <w:pPr>
              <w:spacing w:after="240"/>
              <w:rPr>
                <w:rFonts w:cstheme="minorHAnsi"/>
              </w:rPr>
            </w:pPr>
            <w:r>
              <w:rPr>
                <w:rFonts w:cstheme="minorHAnsi"/>
              </w:rPr>
              <w:t>Employment</w:t>
            </w:r>
          </w:p>
        </w:tc>
        <w:tc>
          <w:tcPr>
            <w:tcW w:w="1620" w:type="dxa"/>
            <w:tcBorders>
              <w:top w:val="nil"/>
              <w:left w:val="nil"/>
              <w:bottom w:val="single" w:sz="4" w:space="0" w:color="auto"/>
              <w:right w:val="single" w:sz="4" w:space="0" w:color="auto"/>
            </w:tcBorders>
            <w:shd w:val="clear" w:color="auto" w:fill="auto"/>
            <w:noWrap/>
            <w:vAlign w:val="center"/>
            <w:hideMark/>
          </w:tcPr>
          <w:p w:rsidR="00B83265" w:rsidRPr="00715092" w:rsidRDefault="00C079F1" w:rsidP="00407DCE">
            <w:pPr>
              <w:spacing w:after="240"/>
              <w:rPr>
                <w:rFonts w:cstheme="minorHAnsi"/>
              </w:rPr>
            </w:pPr>
            <w:r>
              <w:rPr>
                <w:rFonts w:cstheme="minorHAnsi"/>
              </w:rPr>
              <w:t>3</w:t>
            </w:r>
          </w:p>
        </w:tc>
        <w:tc>
          <w:tcPr>
            <w:tcW w:w="2200" w:type="dxa"/>
            <w:tcBorders>
              <w:top w:val="nil"/>
              <w:left w:val="nil"/>
              <w:bottom w:val="single" w:sz="4" w:space="0" w:color="auto"/>
              <w:right w:val="single" w:sz="4" w:space="0" w:color="auto"/>
            </w:tcBorders>
            <w:shd w:val="clear" w:color="auto" w:fill="auto"/>
            <w:noWrap/>
            <w:vAlign w:val="center"/>
            <w:hideMark/>
          </w:tcPr>
          <w:p w:rsidR="00B83265" w:rsidRPr="00715092" w:rsidRDefault="00B83265" w:rsidP="00407DCE">
            <w:pPr>
              <w:spacing w:after="240"/>
              <w:rPr>
                <w:rFonts w:cstheme="minorHAnsi"/>
              </w:rPr>
            </w:pPr>
            <w:r>
              <w:rPr>
                <w:rFonts w:cstheme="minorHAnsi"/>
              </w:rPr>
              <w:t>1</w:t>
            </w:r>
          </w:p>
        </w:tc>
        <w:tc>
          <w:tcPr>
            <w:tcW w:w="1660" w:type="dxa"/>
            <w:tcBorders>
              <w:top w:val="nil"/>
              <w:left w:val="nil"/>
              <w:bottom w:val="single" w:sz="4" w:space="0" w:color="auto"/>
              <w:right w:val="single" w:sz="4" w:space="0" w:color="auto"/>
            </w:tcBorders>
            <w:shd w:val="clear" w:color="auto" w:fill="auto"/>
            <w:noWrap/>
            <w:vAlign w:val="center"/>
            <w:hideMark/>
          </w:tcPr>
          <w:p w:rsidR="00B83265" w:rsidRPr="00715092" w:rsidRDefault="00B83265" w:rsidP="00407DCE">
            <w:pPr>
              <w:spacing w:after="240"/>
              <w:rPr>
                <w:rFonts w:cstheme="minorHAnsi"/>
              </w:rPr>
            </w:pPr>
            <w:r>
              <w:rPr>
                <w:rFonts w:cstheme="minorHAnsi"/>
              </w:rPr>
              <w:t>1</w:t>
            </w:r>
          </w:p>
        </w:tc>
      </w:tr>
      <w:tr w:rsidR="00B83265" w:rsidRPr="00715092" w:rsidTr="00407DCE">
        <w:trPr>
          <w:trHeight w:val="285"/>
        </w:trPr>
        <w:tc>
          <w:tcPr>
            <w:tcW w:w="3860" w:type="dxa"/>
            <w:tcBorders>
              <w:top w:val="nil"/>
              <w:left w:val="single" w:sz="4" w:space="0" w:color="auto"/>
              <w:bottom w:val="single" w:sz="4" w:space="0" w:color="auto"/>
              <w:right w:val="single" w:sz="4" w:space="0" w:color="auto"/>
            </w:tcBorders>
            <w:shd w:val="clear" w:color="auto" w:fill="auto"/>
            <w:noWrap/>
            <w:vAlign w:val="center"/>
            <w:hideMark/>
          </w:tcPr>
          <w:p w:rsidR="00B83265" w:rsidRPr="00715092" w:rsidRDefault="00B83265" w:rsidP="00407DCE">
            <w:pPr>
              <w:spacing w:after="240"/>
              <w:rPr>
                <w:rFonts w:cstheme="minorHAnsi"/>
              </w:rPr>
            </w:pPr>
            <w:r>
              <w:rPr>
                <w:rFonts w:cstheme="minorHAnsi"/>
              </w:rPr>
              <w:t>Health and wellbeing</w:t>
            </w:r>
          </w:p>
        </w:tc>
        <w:tc>
          <w:tcPr>
            <w:tcW w:w="1620" w:type="dxa"/>
            <w:tcBorders>
              <w:top w:val="nil"/>
              <w:left w:val="nil"/>
              <w:bottom w:val="single" w:sz="4" w:space="0" w:color="auto"/>
              <w:right w:val="single" w:sz="4" w:space="0" w:color="auto"/>
            </w:tcBorders>
            <w:shd w:val="clear" w:color="auto" w:fill="auto"/>
            <w:noWrap/>
            <w:vAlign w:val="center"/>
            <w:hideMark/>
          </w:tcPr>
          <w:p w:rsidR="00B83265" w:rsidRPr="00715092" w:rsidRDefault="00B83265" w:rsidP="00407DCE">
            <w:pPr>
              <w:spacing w:after="240"/>
              <w:rPr>
                <w:rFonts w:cstheme="minorHAnsi"/>
              </w:rPr>
            </w:pPr>
            <w:r>
              <w:rPr>
                <w:rFonts w:cstheme="minorHAnsi"/>
              </w:rPr>
              <w:t>5</w:t>
            </w:r>
          </w:p>
        </w:tc>
        <w:tc>
          <w:tcPr>
            <w:tcW w:w="2200" w:type="dxa"/>
            <w:tcBorders>
              <w:top w:val="nil"/>
              <w:left w:val="nil"/>
              <w:bottom w:val="single" w:sz="4" w:space="0" w:color="auto"/>
              <w:right w:val="single" w:sz="4" w:space="0" w:color="auto"/>
            </w:tcBorders>
            <w:shd w:val="clear" w:color="auto" w:fill="auto"/>
            <w:noWrap/>
            <w:vAlign w:val="center"/>
            <w:hideMark/>
          </w:tcPr>
          <w:p w:rsidR="00B83265" w:rsidRPr="00715092" w:rsidRDefault="00B83265" w:rsidP="00407DCE">
            <w:pPr>
              <w:spacing w:after="240"/>
              <w:rPr>
                <w:rFonts w:cstheme="minorHAnsi"/>
              </w:rPr>
            </w:pPr>
            <w:r>
              <w:rPr>
                <w:rFonts w:cstheme="minorHAnsi"/>
              </w:rPr>
              <w:t>0</w:t>
            </w:r>
          </w:p>
        </w:tc>
        <w:tc>
          <w:tcPr>
            <w:tcW w:w="1660" w:type="dxa"/>
            <w:tcBorders>
              <w:top w:val="nil"/>
              <w:left w:val="nil"/>
              <w:bottom w:val="single" w:sz="4" w:space="0" w:color="auto"/>
              <w:right w:val="single" w:sz="4" w:space="0" w:color="auto"/>
            </w:tcBorders>
            <w:shd w:val="clear" w:color="auto" w:fill="auto"/>
            <w:noWrap/>
            <w:vAlign w:val="center"/>
            <w:hideMark/>
          </w:tcPr>
          <w:p w:rsidR="00B83265" w:rsidRPr="00715092" w:rsidRDefault="00B83265" w:rsidP="00407DCE">
            <w:pPr>
              <w:spacing w:after="240"/>
              <w:rPr>
                <w:rFonts w:cstheme="minorHAnsi"/>
              </w:rPr>
            </w:pPr>
            <w:r>
              <w:rPr>
                <w:rFonts w:cstheme="minorHAnsi"/>
              </w:rPr>
              <w:t>4</w:t>
            </w:r>
          </w:p>
        </w:tc>
      </w:tr>
      <w:tr w:rsidR="00B83265" w:rsidRPr="00715092" w:rsidTr="00407DCE">
        <w:trPr>
          <w:trHeight w:val="285"/>
        </w:trPr>
        <w:tc>
          <w:tcPr>
            <w:tcW w:w="3860" w:type="dxa"/>
            <w:tcBorders>
              <w:top w:val="nil"/>
              <w:left w:val="single" w:sz="4" w:space="0" w:color="auto"/>
              <w:bottom w:val="single" w:sz="4" w:space="0" w:color="auto"/>
              <w:right w:val="single" w:sz="4" w:space="0" w:color="auto"/>
            </w:tcBorders>
            <w:shd w:val="clear" w:color="auto" w:fill="auto"/>
            <w:noWrap/>
            <w:vAlign w:val="center"/>
            <w:hideMark/>
          </w:tcPr>
          <w:p w:rsidR="00B83265" w:rsidRPr="00715092" w:rsidRDefault="00B83265" w:rsidP="00407DCE">
            <w:pPr>
              <w:spacing w:after="240"/>
              <w:rPr>
                <w:rFonts w:cstheme="minorHAnsi"/>
              </w:rPr>
            </w:pPr>
            <w:r>
              <w:rPr>
                <w:rFonts w:cstheme="minorHAnsi"/>
              </w:rPr>
              <w:t>Home</w:t>
            </w:r>
          </w:p>
        </w:tc>
        <w:tc>
          <w:tcPr>
            <w:tcW w:w="1620" w:type="dxa"/>
            <w:tcBorders>
              <w:top w:val="nil"/>
              <w:left w:val="nil"/>
              <w:bottom w:val="single" w:sz="4" w:space="0" w:color="auto"/>
              <w:right w:val="single" w:sz="4" w:space="0" w:color="auto"/>
            </w:tcBorders>
            <w:shd w:val="clear" w:color="auto" w:fill="auto"/>
            <w:noWrap/>
            <w:vAlign w:val="center"/>
            <w:hideMark/>
          </w:tcPr>
          <w:p w:rsidR="00B83265" w:rsidRPr="00715092" w:rsidRDefault="00B83265" w:rsidP="00407DCE">
            <w:pPr>
              <w:spacing w:after="240"/>
              <w:rPr>
                <w:rFonts w:cstheme="minorHAnsi"/>
              </w:rPr>
            </w:pPr>
            <w:r>
              <w:rPr>
                <w:rFonts w:cstheme="minorHAnsi"/>
              </w:rPr>
              <w:t>1</w:t>
            </w:r>
          </w:p>
        </w:tc>
        <w:tc>
          <w:tcPr>
            <w:tcW w:w="2200" w:type="dxa"/>
            <w:tcBorders>
              <w:top w:val="nil"/>
              <w:left w:val="nil"/>
              <w:bottom w:val="single" w:sz="4" w:space="0" w:color="auto"/>
              <w:right w:val="single" w:sz="4" w:space="0" w:color="auto"/>
            </w:tcBorders>
            <w:shd w:val="clear" w:color="auto" w:fill="auto"/>
            <w:noWrap/>
            <w:vAlign w:val="center"/>
            <w:hideMark/>
          </w:tcPr>
          <w:p w:rsidR="00B83265" w:rsidRPr="00715092" w:rsidRDefault="00B83265" w:rsidP="00407DCE">
            <w:pPr>
              <w:spacing w:after="240"/>
              <w:rPr>
                <w:rFonts w:cstheme="minorHAnsi"/>
              </w:rPr>
            </w:pPr>
            <w:r>
              <w:rPr>
                <w:rFonts w:cstheme="minorHAnsi"/>
              </w:rPr>
              <w:t>1</w:t>
            </w:r>
          </w:p>
        </w:tc>
        <w:tc>
          <w:tcPr>
            <w:tcW w:w="1660" w:type="dxa"/>
            <w:tcBorders>
              <w:top w:val="nil"/>
              <w:left w:val="nil"/>
              <w:bottom w:val="single" w:sz="4" w:space="0" w:color="auto"/>
              <w:right w:val="single" w:sz="4" w:space="0" w:color="auto"/>
            </w:tcBorders>
            <w:shd w:val="clear" w:color="auto" w:fill="auto"/>
            <w:noWrap/>
            <w:vAlign w:val="center"/>
            <w:hideMark/>
          </w:tcPr>
          <w:p w:rsidR="00B83265" w:rsidRPr="00715092" w:rsidRDefault="00B83265" w:rsidP="00407DCE">
            <w:pPr>
              <w:spacing w:after="240"/>
              <w:rPr>
                <w:rFonts w:cstheme="minorHAnsi"/>
              </w:rPr>
            </w:pPr>
            <w:r>
              <w:rPr>
                <w:rFonts w:cstheme="minorHAnsi"/>
              </w:rPr>
              <w:t>0</w:t>
            </w:r>
          </w:p>
        </w:tc>
      </w:tr>
      <w:tr w:rsidR="00B83265" w:rsidRPr="00715092" w:rsidTr="00407DCE">
        <w:trPr>
          <w:trHeight w:val="285"/>
        </w:trPr>
        <w:tc>
          <w:tcPr>
            <w:tcW w:w="3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3265" w:rsidRPr="00715092" w:rsidRDefault="00B83265" w:rsidP="00407DCE">
            <w:pPr>
              <w:spacing w:after="240"/>
              <w:rPr>
                <w:rFonts w:cstheme="minorHAnsi"/>
              </w:rPr>
            </w:pPr>
            <w:r w:rsidRPr="00715092">
              <w:rPr>
                <w:rFonts w:cstheme="minorHAnsi"/>
              </w:rPr>
              <w:t>Lifelong learning</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B83265" w:rsidRPr="00715092" w:rsidRDefault="00B83265" w:rsidP="00407DCE">
            <w:pPr>
              <w:spacing w:after="240"/>
              <w:rPr>
                <w:rFonts w:cstheme="minorHAnsi"/>
              </w:rPr>
            </w:pPr>
            <w:r>
              <w:rPr>
                <w:rFonts w:cstheme="minorHAnsi"/>
              </w:rPr>
              <w:t>6</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B83265" w:rsidRPr="00715092" w:rsidRDefault="00B83265" w:rsidP="00407DCE">
            <w:pPr>
              <w:spacing w:after="240"/>
              <w:rPr>
                <w:rFonts w:cstheme="minorHAnsi"/>
              </w:rPr>
            </w:pPr>
            <w:r>
              <w:rPr>
                <w:rFonts w:cstheme="minorHAnsi"/>
              </w:rPr>
              <w:t>1</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B83265" w:rsidRPr="00715092" w:rsidRDefault="00B83265" w:rsidP="00407DCE">
            <w:pPr>
              <w:spacing w:after="240"/>
              <w:rPr>
                <w:rFonts w:cstheme="minorHAnsi"/>
              </w:rPr>
            </w:pPr>
            <w:r>
              <w:rPr>
                <w:rFonts w:cstheme="minorHAnsi"/>
              </w:rPr>
              <w:t>3</w:t>
            </w:r>
          </w:p>
        </w:tc>
      </w:tr>
      <w:tr w:rsidR="00B83265" w:rsidRPr="00715092" w:rsidTr="00407DCE">
        <w:trPr>
          <w:trHeight w:val="285"/>
        </w:trPr>
        <w:tc>
          <w:tcPr>
            <w:tcW w:w="3860" w:type="dxa"/>
            <w:tcBorders>
              <w:top w:val="nil"/>
              <w:left w:val="single" w:sz="4" w:space="0" w:color="auto"/>
              <w:bottom w:val="single" w:sz="4" w:space="0" w:color="auto"/>
              <w:right w:val="single" w:sz="4" w:space="0" w:color="auto"/>
            </w:tcBorders>
            <w:shd w:val="clear" w:color="auto" w:fill="auto"/>
            <w:noWrap/>
            <w:vAlign w:val="center"/>
          </w:tcPr>
          <w:p w:rsidR="00B83265" w:rsidRPr="00715092" w:rsidRDefault="00B83265" w:rsidP="00407DCE">
            <w:pPr>
              <w:spacing w:after="240"/>
              <w:rPr>
                <w:rFonts w:cstheme="minorHAnsi"/>
              </w:rPr>
            </w:pPr>
            <w:r>
              <w:rPr>
                <w:rFonts w:cstheme="minorHAnsi"/>
              </w:rPr>
              <w:t>Relationships</w:t>
            </w:r>
          </w:p>
        </w:tc>
        <w:tc>
          <w:tcPr>
            <w:tcW w:w="1620" w:type="dxa"/>
            <w:tcBorders>
              <w:top w:val="nil"/>
              <w:left w:val="nil"/>
              <w:bottom w:val="single" w:sz="4" w:space="0" w:color="auto"/>
              <w:right w:val="single" w:sz="4" w:space="0" w:color="auto"/>
            </w:tcBorders>
            <w:shd w:val="clear" w:color="auto" w:fill="auto"/>
            <w:noWrap/>
            <w:vAlign w:val="center"/>
          </w:tcPr>
          <w:p w:rsidR="00B83265" w:rsidRPr="00715092" w:rsidRDefault="00B83265" w:rsidP="00407DCE">
            <w:pPr>
              <w:spacing w:after="240"/>
              <w:rPr>
                <w:rFonts w:cstheme="minorHAnsi"/>
              </w:rPr>
            </w:pPr>
            <w:r>
              <w:rPr>
                <w:rFonts w:cstheme="minorHAnsi"/>
              </w:rPr>
              <w:t>3</w:t>
            </w:r>
          </w:p>
        </w:tc>
        <w:tc>
          <w:tcPr>
            <w:tcW w:w="2200" w:type="dxa"/>
            <w:tcBorders>
              <w:top w:val="nil"/>
              <w:left w:val="nil"/>
              <w:bottom w:val="single" w:sz="4" w:space="0" w:color="auto"/>
              <w:right w:val="single" w:sz="4" w:space="0" w:color="auto"/>
            </w:tcBorders>
            <w:shd w:val="clear" w:color="auto" w:fill="auto"/>
            <w:noWrap/>
            <w:vAlign w:val="center"/>
          </w:tcPr>
          <w:p w:rsidR="00B83265" w:rsidRPr="00715092" w:rsidRDefault="00B83265" w:rsidP="00407DCE">
            <w:pPr>
              <w:spacing w:after="240"/>
              <w:rPr>
                <w:rFonts w:cstheme="minorHAnsi"/>
              </w:rPr>
            </w:pPr>
            <w:r>
              <w:rPr>
                <w:rFonts w:cstheme="minorHAnsi"/>
              </w:rPr>
              <w:t>2</w:t>
            </w:r>
          </w:p>
        </w:tc>
        <w:tc>
          <w:tcPr>
            <w:tcW w:w="1660" w:type="dxa"/>
            <w:tcBorders>
              <w:top w:val="nil"/>
              <w:left w:val="nil"/>
              <w:bottom w:val="single" w:sz="4" w:space="0" w:color="auto"/>
              <w:right w:val="single" w:sz="4" w:space="0" w:color="auto"/>
            </w:tcBorders>
            <w:shd w:val="clear" w:color="auto" w:fill="auto"/>
            <w:noWrap/>
            <w:vAlign w:val="center"/>
          </w:tcPr>
          <w:p w:rsidR="00B83265" w:rsidRPr="00715092" w:rsidRDefault="00B83265" w:rsidP="00407DCE">
            <w:pPr>
              <w:spacing w:after="240"/>
              <w:rPr>
                <w:rFonts w:cstheme="minorHAnsi"/>
              </w:rPr>
            </w:pPr>
            <w:r>
              <w:rPr>
                <w:rFonts w:cstheme="minorHAnsi"/>
              </w:rPr>
              <w:t>2</w:t>
            </w:r>
          </w:p>
        </w:tc>
      </w:tr>
      <w:tr w:rsidR="00B83265" w:rsidRPr="00715092" w:rsidTr="00407DCE">
        <w:trPr>
          <w:trHeight w:val="285"/>
        </w:trPr>
        <w:tc>
          <w:tcPr>
            <w:tcW w:w="3860" w:type="dxa"/>
            <w:tcBorders>
              <w:top w:val="nil"/>
              <w:left w:val="single" w:sz="4" w:space="0" w:color="auto"/>
              <w:bottom w:val="single" w:sz="4" w:space="0" w:color="auto"/>
              <w:right w:val="single" w:sz="4" w:space="0" w:color="auto"/>
            </w:tcBorders>
            <w:shd w:val="clear" w:color="auto" w:fill="auto"/>
            <w:noWrap/>
            <w:vAlign w:val="center"/>
          </w:tcPr>
          <w:p w:rsidR="00B83265" w:rsidRPr="00715092" w:rsidRDefault="00B83265" w:rsidP="00407DCE">
            <w:pPr>
              <w:spacing w:after="240"/>
              <w:rPr>
                <w:rFonts w:cstheme="minorHAnsi"/>
              </w:rPr>
            </w:pPr>
            <w:r w:rsidRPr="00715092">
              <w:rPr>
                <w:rFonts w:cstheme="minorHAnsi"/>
              </w:rPr>
              <w:t>Social and community participation</w:t>
            </w:r>
          </w:p>
        </w:tc>
        <w:tc>
          <w:tcPr>
            <w:tcW w:w="1620" w:type="dxa"/>
            <w:tcBorders>
              <w:top w:val="nil"/>
              <w:left w:val="nil"/>
              <w:bottom w:val="single" w:sz="4" w:space="0" w:color="auto"/>
              <w:right w:val="single" w:sz="4" w:space="0" w:color="auto"/>
            </w:tcBorders>
            <w:shd w:val="clear" w:color="auto" w:fill="auto"/>
            <w:noWrap/>
            <w:vAlign w:val="center"/>
          </w:tcPr>
          <w:p w:rsidR="00B83265" w:rsidRPr="00715092" w:rsidRDefault="00B83265" w:rsidP="00407DCE">
            <w:pPr>
              <w:spacing w:after="240"/>
              <w:rPr>
                <w:rFonts w:cstheme="minorHAnsi"/>
              </w:rPr>
            </w:pPr>
            <w:r>
              <w:rPr>
                <w:rFonts w:cstheme="minorHAnsi"/>
              </w:rPr>
              <w:t>9</w:t>
            </w:r>
          </w:p>
        </w:tc>
        <w:tc>
          <w:tcPr>
            <w:tcW w:w="2200" w:type="dxa"/>
            <w:tcBorders>
              <w:top w:val="nil"/>
              <w:left w:val="nil"/>
              <w:bottom w:val="single" w:sz="4" w:space="0" w:color="auto"/>
              <w:right w:val="single" w:sz="4" w:space="0" w:color="auto"/>
            </w:tcBorders>
            <w:shd w:val="clear" w:color="auto" w:fill="auto"/>
            <w:noWrap/>
            <w:vAlign w:val="center"/>
          </w:tcPr>
          <w:p w:rsidR="00B83265" w:rsidRPr="00715092" w:rsidRDefault="00B83265" w:rsidP="00407DCE">
            <w:pPr>
              <w:spacing w:after="240"/>
              <w:rPr>
                <w:rFonts w:cstheme="minorHAnsi"/>
              </w:rPr>
            </w:pPr>
            <w:r>
              <w:rPr>
                <w:rFonts w:cstheme="minorHAnsi"/>
              </w:rPr>
              <w:t>1</w:t>
            </w:r>
          </w:p>
        </w:tc>
        <w:tc>
          <w:tcPr>
            <w:tcW w:w="1660" w:type="dxa"/>
            <w:tcBorders>
              <w:top w:val="nil"/>
              <w:left w:val="nil"/>
              <w:bottom w:val="single" w:sz="4" w:space="0" w:color="auto"/>
              <w:right w:val="single" w:sz="4" w:space="0" w:color="auto"/>
            </w:tcBorders>
            <w:shd w:val="clear" w:color="auto" w:fill="auto"/>
            <w:noWrap/>
            <w:vAlign w:val="center"/>
          </w:tcPr>
          <w:p w:rsidR="00B83265" w:rsidRPr="00715092" w:rsidRDefault="00B83265" w:rsidP="00407DCE">
            <w:pPr>
              <w:spacing w:after="240"/>
              <w:rPr>
                <w:rFonts w:cstheme="minorHAnsi"/>
              </w:rPr>
            </w:pPr>
            <w:r>
              <w:rPr>
                <w:rFonts w:cstheme="minorHAnsi"/>
              </w:rPr>
              <w:t>1</w:t>
            </w:r>
          </w:p>
        </w:tc>
      </w:tr>
      <w:tr w:rsidR="00B83265" w:rsidRPr="00715092" w:rsidTr="00407DCE">
        <w:trPr>
          <w:trHeight w:val="285"/>
        </w:trPr>
        <w:tc>
          <w:tcPr>
            <w:tcW w:w="3860" w:type="dxa"/>
            <w:tcBorders>
              <w:top w:val="nil"/>
              <w:left w:val="single" w:sz="4" w:space="0" w:color="auto"/>
              <w:bottom w:val="single" w:sz="4" w:space="0" w:color="auto"/>
              <w:right w:val="single" w:sz="4" w:space="0" w:color="auto"/>
            </w:tcBorders>
            <w:shd w:val="clear" w:color="auto" w:fill="auto"/>
            <w:noWrap/>
            <w:vAlign w:val="center"/>
          </w:tcPr>
          <w:p w:rsidR="00B83265" w:rsidRPr="00715092" w:rsidRDefault="00B83265" w:rsidP="00407DCE">
            <w:pPr>
              <w:spacing w:after="240"/>
              <w:rPr>
                <w:rFonts w:cstheme="minorHAnsi"/>
                <w:color w:val="000000"/>
              </w:rPr>
            </w:pPr>
            <w:r w:rsidRPr="00715092">
              <w:rPr>
                <w:rFonts w:cstheme="minorHAnsi"/>
                <w:color w:val="000000"/>
              </w:rPr>
              <w:t>Overall</w:t>
            </w:r>
          </w:p>
        </w:tc>
        <w:tc>
          <w:tcPr>
            <w:tcW w:w="1620" w:type="dxa"/>
            <w:tcBorders>
              <w:top w:val="nil"/>
              <w:left w:val="nil"/>
              <w:bottom w:val="single" w:sz="4" w:space="0" w:color="auto"/>
              <w:right w:val="single" w:sz="4" w:space="0" w:color="auto"/>
            </w:tcBorders>
            <w:shd w:val="clear" w:color="auto" w:fill="auto"/>
            <w:noWrap/>
            <w:vAlign w:val="center"/>
          </w:tcPr>
          <w:p w:rsidR="00B83265" w:rsidRPr="00715092" w:rsidRDefault="00B83265" w:rsidP="00C079F1">
            <w:pPr>
              <w:spacing w:after="240"/>
              <w:rPr>
                <w:rFonts w:cstheme="minorHAnsi"/>
              </w:rPr>
            </w:pPr>
            <w:r>
              <w:rPr>
                <w:rFonts w:cstheme="minorHAnsi"/>
              </w:rPr>
              <w:t>3</w:t>
            </w:r>
            <w:r w:rsidR="00C079F1">
              <w:rPr>
                <w:rFonts w:cstheme="minorHAnsi"/>
              </w:rPr>
              <w:t>3</w:t>
            </w:r>
          </w:p>
        </w:tc>
        <w:tc>
          <w:tcPr>
            <w:tcW w:w="2200" w:type="dxa"/>
            <w:tcBorders>
              <w:top w:val="nil"/>
              <w:left w:val="nil"/>
              <w:bottom w:val="single" w:sz="4" w:space="0" w:color="auto"/>
              <w:right w:val="single" w:sz="4" w:space="0" w:color="auto"/>
            </w:tcBorders>
            <w:shd w:val="clear" w:color="auto" w:fill="auto"/>
            <w:noWrap/>
            <w:vAlign w:val="center"/>
          </w:tcPr>
          <w:p w:rsidR="00B83265" w:rsidRPr="00715092" w:rsidRDefault="00B83265" w:rsidP="00407DCE">
            <w:pPr>
              <w:spacing w:after="240"/>
              <w:rPr>
                <w:rFonts w:cstheme="minorHAnsi"/>
              </w:rPr>
            </w:pPr>
            <w:r>
              <w:rPr>
                <w:rFonts w:cstheme="minorHAnsi"/>
              </w:rPr>
              <w:t>7</w:t>
            </w:r>
          </w:p>
        </w:tc>
        <w:tc>
          <w:tcPr>
            <w:tcW w:w="1660" w:type="dxa"/>
            <w:tcBorders>
              <w:top w:val="nil"/>
              <w:left w:val="nil"/>
              <w:bottom w:val="single" w:sz="4" w:space="0" w:color="auto"/>
              <w:right w:val="single" w:sz="4" w:space="0" w:color="auto"/>
            </w:tcBorders>
            <w:shd w:val="clear" w:color="auto" w:fill="auto"/>
            <w:noWrap/>
            <w:vAlign w:val="center"/>
          </w:tcPr>
          <w:p w:rsidR="00B83265" w:rsidRPr="00715092" w:rsidRDefault="00B83265" w:rsidP="00407DCE">
            <w:pPr>
              <w:spacing w:after="240"/>
              <w:rPr>
                <w:rFonts w:cstheme="minorHAnsi"/>
              </w:rPr>
            </w:pPr>
            <w:r>
              <w:rPr>
                <w:rFonts w:cstheme="minorHAnsi"/>
              </w:rPr>
              <w:t>13</w:t>
            </w:r>
          </w:p>
        </w:tc>
      </w:tr>
    </w:tbl>
    <w:p w:rsidR="00B83265" w:rsidRPr="00715092" w:rsidRDefault="00B83265" w:rsidP="00B83265">
      <w:pPr>
        <w:spacing w:after="240"/>
        <w:rPr>
          <w:rFonts w:cstheme="minorHAnsi"/>
        </w:rPr>
      </w:pPr>
    </w:p>
    <w:p w:rsidR="00B83265" w:rsidRPr="00715092" w:rsidRDefault="00B83265" w:rsidP="00B83265">
      <w:pPr>
        <w:spacing w:after="240"/>
        <w:rPr>
          <w:rFonts w:cstheme="minorHAnsi"/>
        </w:rPr>
      </w:pPr>
      <w:r w:rsidRPr="00715092">
        <w:rPr>
          <w:rFonts w:cstheme="minorHAnsi"/>
        </w:rPr>
        <w:t xml:space="preserve">Indicators are deemed to show “significant and material overall change” if they meet the following criteria: </w:t>
      </w:r>
    </w:p>
    <w:p w:rsidR="00B83265" w:rsidRPr="00715092" w:rsidRDefault="00B83265" w:rsidP="00B83265">
      <w:pPr>
        <w:pStyle w:val="ListParagraph"/>
        <w:numPr>
          <w:ilvl w:val="0"/>
          <w:numId w:val="4"/>
        </w:numPr>
        <w:spacing w:after="240"/>
        <w:rPr>
          <w:rFonts w:cstheme="minorHAnsi"/>
        </w:rPr>
      </w:pPr>
      <w:r w:rsidRPr="00715092">
        <w:rPr>
          <w:rFonts w:cstheme="minorHAnsi"/>
        </w:rPr>
        <w:t>McNemar test for change from baseline significant at the 5% level</w:t>
      </w:r>
    </w:p>
    <w:p w:rsidR="00B83265" w:rsidRPr="00715092" w:rsidRDefault="00B83265" w:rsidP="00B83265">
      <w:pPr>
        <w:pStyle w:val="ListParagraph"/>
        <w:numPr>
          <w:ilvl w:val="0"/>
          <w:numId w:val="4"/>
        </w:numPr>
        <w:spacing w:after="240"/>
        <w:rPr>
          <w:rFonts w:cstheme="minorHAnsi"/>
        </w:rPr>
      </w:pPr>
      <w:r w:rsidRPr="00715092">
        <w:rPr>
          <w:rFonts w:cstheme="minorHAnsi"/>
        </w:rPr>
        <w:t>Absolute value of change from baseline greater than 0.02</w:t>
      </w:r>
    </w:p>
    <w:p w:rsidR="00B83265" w:rsidRPr="00715092" w:rsidRDefault="00B83265" w:rsidP="00B83265">
      <w:pPr>
        <w:pStyle w:val="ListParagraph"/>
        <w:numPr>
          <w:ilvl w:val="0"/>
          <w:numId w:val="4"/>
        </w:numPr>
        <w:spacing w:after="240"/>
        <w:rPr>
          <w:rFonts w:cstheme="minorHAnsi"/>
        </w:rPr>
      </w:pPr>
      <w:r w:rsidRPr="00715092">
        <w:rPr>
          <w:rFonts w:cstheme="minorHAnsi"/>
        </w:rPr>
        <w:t>The above criteria hold for at least two of the longitudinal cohorts.</w:t>
      </w:r>
    </w:p>
    <w:p w:rsidR="00B83265" w:rsidRPr="00715092" w:rsidRDefault="00B83265" w:rsidP="00B83265">
      <w:pPr>
        <w:spacing w:after="240"/>
        <w:rPr>
          <w:rFonts w:cstheme="minorHAnsi"/>
        </w:rPr>
      </w:pPr>
      <w:r w:rsidRPr="00715092">
        <w:rPr>
          <w:rFonts w:cstheme="minorHAnsi"/>
        </w:rPr>
        <w:t xml:space="preserve">Numbers of indicators meeting the above criteria are presented. A total of </w:t>
      </w:r>
      <w:r w:rsidR="00E2028A">
        <w:rPr>
          <w:rFonts w:cstheme="minorHAnsi"/>
        </w:rPr>
        <w:t>181</w:t>
      </w:r>
      <w:r w:rsidRPr="00715092">
        <w:rPr>
          <w:rFonts w:cstheme="minorHAnsi"/>
        </w:rPr>
        <w:t xml:space="preserve"> indicators were considered.</w:t>
      </w:r>
    </w:p>
    <w:p w:rsidR="00B83265" w:rsidRPr="002817DE" w:rsidRDefault="00B83265" w:rsidP="002817DE">
      <w:pPr>
        <w:pStyle w:val="Heading2"/>
      </w:pPr>
      <w:bookmarkStart w:id="50" w:name="_Toc119919453"/>
      <w:bookmarkStart w:id="51" w:name="_Toc121151424"/>
      <w:r w:rsidRPr="002817DE">
        <w:lastRenderedPageBreak/>
        <w:t>Slide 42: Participants aged 15 and over – Summary of trend by selected indicators</w:t>
      </w:r>
      <w:bookmarkEnd w:id="50"/>
      <w:bookmarkEnd w:id="51"/>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1278"/>
        <w:gridCol w:w="5386"/>
        <w:gridCol w:w="1559"/>
      </w:tblGrid>
      <w:tr w:rsidR="00B83265" w:rsidRPr="00715092" w:rsidTr="009B241D">
        <w:trPr>
          <w:trHeight w:val="347"/>
        </w:trPr>
        <w:tc>
          <w:tcPr>
            <w:tcW w:w="1411" w:type="dxa"/>
            <w:noWrap/>
            <w:vAlign w:val="center"/>
            <w:hideMark/>
          </w:tcPr>
          <w:p w:rsidR="00B83265" w:rsidRPr="00715092" w:rsidRDefault="00B83265" w:rsidP="00407DCE">
            <w:pPr>
              <w:spacing w:after="240"/>
              <w:rPr>
                <w:rFonts w:eastAsia="Times New Roman" w:cstheme="minorHAnsi"/>
                <w:b/>
                <w:bCs/>
                <w:color w:val="000000"/>
                <w:lang w:eastAsia="en-AU"/>
              </w:rPr>
            </w:pPr>
            <w:r w:rsidRPr="00715092">
              <w:rPr>
                <w:rFonts w:eastAsia="Times New Roman" w:cstheme="minorHAnsi"/>
                <w:b/>
                <w:bCs/>
                <w:color w:val="000000"/>
                <w:lang w:eastAsia="en-AU"/>
              </w:rPr>
              <w:t>Domain</w:t>
            </w:r>
          </w:p>
        </w:tc>
        <w:tc>
          <w:tcPr>
            <w:tcW w:w="1278" w:type="dxa"/>
            <w:noWrap/>
            <w:vAlign w:val="center"/>
            <w:hideMark/>
          </w:tcPr>
          <w:p w:rsidR="00B83265" w:rsidRPr="00715092" w:rsidRDefault="00B83265" w:rsidP="00407DCE">
            <w:pPr>
              <w:spacing w:after="240"/>
              <w:rPr>
                <w:rFonts w:eastAsia="Times New Roman" w:cstheme="minorHAnsi"/>
                <w:b/>
                <w:bCs/>
                <w:color w:val="000000"/>
                <w:lang w:eastAsia="en-AU"/>
              </w:rPr>
            </w:pPr>
            <w:r>
              <w:rPr>
                <w:rFonts w:eastAsia="Times New Roman" w:cstheme="minorHAnsi"/>
                <w:b/>
                <w:bCs/>
                <w:color w:val="000000"/>
                <w:lang w:eastAsia="en-AU"/>
              </w:rPr>
              <w:t>Age Group</w:t>
            </w:r>
          </w:p>
        </w:tc>
        <w:tc>
          <w:tcPr>
            <w:tcW w:w="5386" w:type="dxa"/>
            <w:noWrap/>
            <w:vAlign w:val="center"/>
            <w:hideMark/>
          </w:tcPr>
          <w:p w:rsidR="00B83265" w:rsidRPr="00715092" w:rsidRDefault="00B83265" w:rsidP="00407DCE">
            <w:pPr>
              <w:spacing w:after="240"/>
              <w:rPr>
                <w:rFonts w:eastAsia="Times New Roman" w:cstheme="minorHAnsi"/>
                <w:b/>
                <w:bCs/>
                <w:color w:val="000000"/>
                <w:lang w:eastAsia="en-AU"/>
              </w:rPr>
            </w:pPr>
            <w:r>
              <w:rPr>
                <w:rFonts w:eastAsia="Times New Roman" w:cstheme="minorHAnsi"/>
                <w:b/>
                <w:bCs/>
                <w:color w:val="000000"/>
                <w:lang w:eastAsia="en-AU"/>
              </w:rPr>
              <w:t>Indicator</w:t>
            </w:r>
          </w:p>
        </w:tc>
        <w:tc>
          <w:tcPr>
            <w:tcW w:w="1559" w:type="dxa"/>
            <w:noWrap/>
            <w:vAlign w:val="center"/>
            <w:hideMark/>
          </w:tcPr>
          <w:p w:rsidR="00B83265" w:rsidRPr="00715092" w:rsidRDefault="00B83265" w:rsidP="00407DCE">
            <w:pPr>
              <w:spacing w:after="240"/>
              <w:rPr>
                <w:rFonts w:eastAsia="Times New Roman" w:cstheme="minorHAnsi"/>
                <w:b/>
                <w:bCs/>
                <w:color w:val="000000"/>
                <w:lang w:eastAsia="en-AU"/>
              </w:rPr>
            </w:pPr>
            <w:r>
              <w:rPr>
                <w:rFonts w:eastAsia="Times New Roman" w:cstheme="minorHAnsi"/>
                <w:b/>
                <w:bCs/>
                <w:color w:val="000000"/>
                <w:lang w:eastAsia="en-AU"/>
              </w:rPr>
              <w:t>Change</w:t>
            </w:r>
          </w:p>
        </w:tc>
      </w:tr>
      <w:tr w:rsidR="00B83265" w:rsidRPr="00715092" w:rsidTr="009B241D">
        <w:trPr>
          <w:trHeight w:val="356"/>
        </w:trPr>
        <w:tc>
          <w:tcPr>
            <w:tcW w:w="1411" w:type="dxa"/>
            <w:noWrap/>
            <w:vAlign w:val="center"/>
            <w:hideMark/>
          </w:tcPr>
          <w:p w:rsidR="00B83265" w:rsidRPr="00715092" w:rsidRDefault="00B83265" w:rsidP="00407DCE">
            <w:pPr>
              <w:spacing w:after="240"/>
              <w:rPr>
                <w:rFonts w:cstheme="minorHAnsi"/>
              </w:rPr>
            </w:pPr>
            <w:r>
              <w:rPr>
                <w:rFonts w:cstheme="minorHAnsi"/>
              </w:rPr>
              <w:t>Lifelong learning</w:t>
            </w:r>
          </w:p>
        </w:tc>
        <w:tc>
          <w:tcPr>
            <w:tcW w:w="1278" w:type="dxa"/>
            <w:noWrap/>
            <w:vAlign w:val="center"/>
            <w:hideMark/>
          </w:tcPr>
          <w:p w:rsidR="00B83265" w:rsidRPr="00715092" w:rsidRDefault="00B83265" w:rsidP="00407DCE">
            <w:pPr>
              <w:spacing w:after="240"/>
              <w:rPr>
                <w:rFonts w:cstheme="minorHAnsi"/>
              </w:rPr>
            </w:pPr>
            <w:r>
              <w:rPr>
                <w:rFonts w:cstheme="minorHAnsi"/>
              </w:rPr>
              <w:t>15 and over</w:t>
            </w:r>
          </w:p>
        </w:tc>
        <w:tc>
          <w:tcPr>
            <w:tcW w:w="5386" w:type="dxa"/>
            <w:noWrap/>
            <w:vAlign w:val="center"/>
            <w:hideMark/>
          </w:tcPr>
          <w:p w:rsidR="00B83265" w:rsidRPr="00E23B37" w:rsidRDefault="00B83265" w:rsidP="00407DCE">
            <w:pPr>
              <w:spacing w:after="240"/>
              <w:rPr>
                <w:rFonts w:cstheme="minorHAnsi"/>
                <w:color w:val="000000"/>
              </w:rPr>
            </w:pPr>
            <w:r w:rsidRPr="00E23B37">
              <w:rPr>
                <w:rFonts w:cstheme="minorHAnsi"/>
                <w:color w:val="000000"/>
              </w:rPr>
              <w:t>% who get op</w:t>
            </w:r>
            <w:r>
              <w:rPr>
                <w:rFonts w:cstheme="minorHAnsi"/>
                <w:color w:val="000000"/>
              </w:rPr>
              <w:t>portunities to learn new things</w:t>
            </w:r>
          </w:p>
        </w:tc>
        <w:tc>
          <w:tcPr>
            <w:tcW w:w="1559" w:type="dxa"/>
            <w:noWrap/>
            <w:vAlign w:val="center"/>
            <w:hideMark/>
          </w:tcPr>
          <w:p w:rsidR="00B83265" w:rsidRPr="00715092" w:rsidRDefault="00B83265" w:rsidP="00407DCE">
            <w:pPr>
              <w:spacing w:after="240"/>
              <w:rPr>
                <w:rFonts w:cstheme="minorHAnsi"/>
              </w:rPr>
            </w:pPr>
            <w:r>
              <w:rPr>
                <w:rFonts w:cstheme="minorHAnsi"/>
              </w:rPr>
              <w:t>Improvement</w:t>
            </w:r>
          </w:p>
        </w:tc>
      </w:tr>
      <w:tr w:rsidR="00B83265" w:rsidRPr="00715092" w:rsidTr="009B241D">
        <w:trPr>
          <w:trHeight w:val="160"/>
        </w:trPr>
        <w:tc>
          <w:tcPr>
            <w:tcW w:w="1411" w:type="dxa"/>
            <w:noWrap/>
            <w:vAlign w:val="center"/>
            <w:hideMark/>
          </w:tcPr>
          <w:p w:rsidR="00B83265" w:rsidRPr="00715092" w:rsidRDefault="00E7613D" w:rsidP="00407DCE">
            <w:pPr>
              <w:spacing w:after="240"/>
              <w:rPr>
                <w:rFonts w:cstheme="minorHAnsi"/>
              </w:rPr>
            </w:pPr>
            <w:r>
              <w:rPr>
                <w:rFonts w:cstheme="minorHAnsi"/>
              </w:rPr>
              <w:t>Lifelong learning</w:t>
            </w:r>
          </w:p>
        </w:tc>
        <w:tc>
          <w:tcPr>
            <w:tcW w:w="1278" w:type="dxa"/>
            <w:noWrap/>
            <w:vAlign w:val="center"/>
            <w:hideMark/>
          </w:tcPr>
          <w:p w:rsidR="00B83265" w:rsidRPr="00715092" w:rsidRDefault="00E7613D" w:rsidP="00407DCE">
            <w:pPr>
              <w:spacing w:after="240"/>
              <w:rPr>
                <w:rFonts w:cstheme="minorHAnsi"/>
              </w:rPr>
            </w:pPr>
            <w:r>
              <w:rPr>
                <w:rFonts w:cstheme="minorHAnsi"/>
              </w:rPr>
              <w:t>15 and over</w:t>
            </w:r>
          </w:p>
        </w:tc>
        <w:tc>
          <w:tcPr>
            <w:tcW w:w="5386" w:type="dxa"/>
            <w:noWrap/>
            <w:vAlign w:val="center"/>
            <w:hideMark/>
          </w:tcPr>
          <w:p w:rsidR="00B83265" w:rsidRPr="00E23B37" w:rsidRDefault="00B83265" w:rsidP="00407DCE">
            <w:pPr>
              <w:spacing w:after="240"/>
              <w:rPr>
                <w:rFonts w:cstheme="minorHAnsi"/>
                <w:color w:val="000000"/>
              </w:rPr>
            </w:pPr>
            <w:r w:rsidRPr="00E23B37">
              <w:rPr>
                <w:rFonts w:cstheme="minorHAnsi"/>
                <w:color w:val="000000"/>
              </w:rPr>
              <w:t>% who wanted to do a course or training in t</w:t>
            </w:r>
            <w:r>
              <w:rPr>
                <w:rFonts w:cstheme="minorHAnsi"/>
                <w:color w:val="000000"/>
              </w:rPr>
              <w:t>he last 12 months but could not</w:t>
            </w:r>
          </w:p>
        </w:tc>
        <w:tc>
          <w:tcPr>
            <w:tcW w:w="1559" w:type="dxa"/>
            <w:noWrap/>
            <w:vAlign w:val="center"/>
            <w:hideMark/>
          </w:tcPr>
          <w:p w:rsidR="00B83265" w:rsidRPr="00715092" w:rsidRDefault="00B83265" w:rsidP="00407DCE">
            <w:pPr>
              <w:spacing w:after="240"/>
              <w:rPr>
                <w:rFonts w:cstheme="minorHAnsi"/>
              </w:rPr>
            </w:pPr>
            <w:r>
              <w:rPr>
                <w:rFonts w:cstheme="minorHAnsi"/>
              </w:rPr>
              <w:t>Improvement</w:t>
            </w:r>
          </w:p>
        </w:tc>
      </w:tr>
      <w:tr w:rsidR="00B83265" w:rsidRPr="00715092" w:rsidTr="009B241D">
        <w:trPr>
          <w:trHeight w:val="160"/>
        </w:trPr>
        <w:tc>
          <w:tcPr>
            <w:tcW w:w="1411" w:type="dxa"/>
            <w:noWrap/>
            <w:vAlign w:val="center"/>
            <w:hideMark/>
          </w:tcPr>
          <w:p w:rsidR="00B83265" w:rsidRPr="00715092" w:rsidRDefault="00E7613D" w:rsidP="00407DCE">
            <w:pPr>
              <w:spacing w:after="240"/>
              <w:rPr>
                <w:rFonts w:cstheme="minorHAnsi"/>
              </w:rPr>
            </w:pPr>
            <w:r>
              <w:rPr>
                <w:rFonts w:cstheme="minorHAnsi"/>
              </w:rPr>
              <w:t>Lifelong learning</w:t>
            </w:r>
          </w:p>
        </w:tc>
        <w:tc>
          <w:tcPr>
            <w:tcW w:w="1278" w:type="dxa"/>
            <w:noWrap/>
            <w:vAlign w:val="center"/>
            <w:hideMark/>
          </w:tcPr>
          <w:p w:rsidR="00B83265" w:rsidRPr="00715092" w:rsidRDefault="00E7613D" w:rsidP="00407DCE">
            <w:pPr>
              <w:spacing w:after="240"/>
              <w:rPr>
                <w:rFonts w:cstheme="minorHAnsi"/>
              </w:rPr>
            </w:pPr>
            <w:r>
              <w:rPr>
                <w:rFonts w:cstheme="minorHAnsi"/>
              </w:rPr>
              <w:t>15 and over</w:t>
            </w:r>
          </w:p>
        </w:tc>
        <w:tc>
          <w:tcPr>
            <w:tcW w:w="5386" w:type="dxa"/>
            <w:noWrap/>
            <w:vAlign w:val="center"/>
            <w:hideMark/>
          </w:tcPr>
          <w:p w:rsidR="00B83265" w:rsidRPr="00E23B37" w:rsidRDefault="00B83265" w:rsidP="00407DCE">
            <w:pPr>
              <w:spacing w:after="240"/>
              <w:rPr>
                <w:rFonts w:cstheme="minorHAnsi"/>
                <w:color w:val="000000"/>
              </w:rPr>
            </w:pPr>
            <w:r w:rsidRPr="00E23B37">
              <w:rPr>
                <w:rFonts w:cstheme="minorHAnsi"/>
                <w:color w:val="000000"/>
              </w:rPr>
              <w:t xml:space="preserve">% who </w:t>
            </w:r>
            <w:r>
              <w:rPr>
                <w:rFonts w:cstheme="minorHAnsi"/>
                <w:color w:val="000000"/>
              </w:rPr>
              <w:t>have completed year 12 or above</w:t>
            </w:r>
          </w:p>
        </w:tc>
        <w:tc>
          <w:tcPr>
            <w:tcW w:w="1559" w:type="dxa"/>
            <w:noWrap/>
            <w:vAlign w:val="center"/>
            <w:hideMark/>
          </w:tcPr>
          <w:p w:rsidR="00B83265" w:rsidRPr="00715092" w:rsidRDefault="00B83265" w:rsidP="00407DCE">
            <w:pPr>
              <w:spacing w:after="240"/>
              <w:rPr>
                <w:rFonts w:cstheme="minorHAnsi"/>
              </w:rPr>
            </w:pPr>
            <w:r>
              <w:rPr>
                <w:rFonts w:cstheme="minorHAnsi"/>
              </w:rPr>
              <w:t>Improvement</w:t>
            </w:r>
          </w:p>
        </w:tc>
      </w:tr>
      <w:tr w:rsidR="00B83265" w:rsidRPr="00715092" w:rsidTr="009B241D">
        <w:trPr>
          <w:trHeight w:val="160"/>
        </w:trPr>
        <w:tc>
          <w:tcPr>
            <w:tcW w:w="1411" w:type="dxa"/>
            <w:noWrap/>
            <w:vAlign w:val="center"/>
            <w:hideMark/>
          </w:tcPr>
          <w:p w:rsidR="00B83265" w:rsidRPr="00715092" w:rsidRDefault="00E7613D" w:rsidP="00407DCE">
            <w:pPr>
              <w:spacing w:after="240"/>
              <w:rPr>
                <w:rFonts w:cstheme="minorHAnsi"/>
              </w:rPr>
            </w:pPr>
            <w:r>
              <w:rPr>
                <w:rFonts w:cstheme="minorHAnsi"/>
              </w:rPr>
              <w:t>Lifelong learning</w:t>
            </w:r>
          </w:p>
        </w:tc>
        <w:tc>
          <w:tcPr>
            <w:tcW w:w="1278" w:type="dxa"/>
            <w:noWrap/>
            <w:vAlign w:val="center"/>
            <w:hideMark/>
          </w:tcPr>
          <w:p w:rsidR="00B83265" w:rsidRPr="00715092" w:rsidRDefault="00E7613D" w:rsidP="00407DCE">
            <w:pPr>
              <w:spacing w:after="240"/>
              <w:rPr>
                <w:rFonts w:cstheme="minorHAnsi"/>
              </w:rPr>
            </w:pPr>
            <w:r>
              <w:rPr>
                <w:rFonts w:cstheme="minorHAnsi"/>
              </w:rPr>
              <w:t>15 and over</w:t>
            </w:r>
          </w:p>
        </w:tc>
        <w:tc>
          <w:tcPr>
            <w:tcW w:w="5386" w:type="dxa"/>
            <w:noWrap/>
            <w:vAlign w:val="center"/>
            <w:hideMark/>
          </w:tcPr>
          <w:p w:rsidR="00B83265" w:rsidRPr="0060139D" w:rsidRDefault="00B83265" w:rsidP="00407DCE">
            <w:pPr>
              <w:spacing w:after="240"/>
              <w:rPr>
                <w:rFonts w:cstheme="minorHAnsi"/>
                <w:color w:val="000000"/>
              </w:rPr>
            </w:pPr>
            <w:r w:rsidRPr="00E23B37">
              <w:rPr>
                <w:rFonts w:cstheme="minorHAnsi"/>
                <w:color w:val="000000"/>
              </w:rPr>
              <w:t>% currently participating in education</w:t>
            </w:r>
            <w:r>
              <w:rPr>
                <w:rFonts w:cstheme="minorHAnsi"/>
                <w:color w:val="000000"/>
              </w:rPr>
              <w:t>, training or skill development</w:t>
            </w:r>
          </w:p>
        </w:tc>
        <w:tc>
          <w:tcPr>
            <w:tcW w:w="1559" w:type="dxa"/>
            <w:noWrap/>
            <w:vAlign w:val="center"/>
            <w:hideMark/>
          </w:tcPr>
          <w:p w:rsidR="00B83265" w:rsidRPr="00715092" w:rsidRDefault="00B83265" w:rsidP="00407DCE">
            <w:pPr>
              <w:spacing w:after="240"/>
              <w:rPr>
                <w:rFonts w:cstheme="minorHAnsi"/>
              </w:rPr>
            </w:pPr>
            <w:r>
              <w:rPr>
                <w:rFonts w:cstheme="minorHAnsi"/>
              </w:rPr>
              <w:t>Deterioration</w:t>
            </w:r>
          </w:p>
        </w:tc>
      </w:tr>
      <w:tr w:rsidR="00B83265" w:rsidRPr="00715092" w:rsidTr="009B241D">
        <w:trPr>
          <w:trHeight w:val="160"/>
        </w:trPr>
        <w:tc>
          <w:tcPr>
            <w:tcW w:w="1411" w:type="dxa"/>
            <w:noWrap/>
            <w:vAlign w:val="center"/>
            <w:hideMark/>
          </w:tcPr>
          <w:p w:rsidR="00B83265" w:rsidRPr="00715092" w:rsidRDefault="00B83265" w:rsidP="00407DCE">
            <w:pPr>
              <w:spacing w:after="240"/>
              <w:rPr>
                <w:rFonts w:cstheme="minorHAnsi"/>
              </w:rPr>
            </w:pPr>
            <w:r>
              <w:rPr>
                <w:rFonts w:cstheme="minorHAnsi"/>
              </w:rPr>
              <w:t>Choice and control</w:t>
            </w:r>
          </w:p>
        </w:tc>
        <w:tc>
          <w:tcPr>
            <w:tcW w:w="1278" w:type="dxa"/>
            <w:noWrap/>
            <w:vAlign w:val="center"/>
            <w:hideMark/>
          </w:tcPr>
          <w:p w:rsidR="00B83265" w:rsidRPr="00715092" w:rsidRDefault="00B83265" w:rsidP="00407DCE">
            <w:pPr>
              <w:spacing w:after="240"/>
              <w:rPr>
                <w:rFonts w:cstheme="minorHAnsi"/>
              </w:rPr>
            </w:pPr>
            <w:r>
              <w:rPr>
                <w:rFonts w:cstheme="minorHAnsi"/>
              </w:rPr>
              <w:t>15 to 24</w:t>
            </w:r>
          </w:p>
        </w:tc>
        <w:tc>
          <w:tcPr>
            <w:tcW w:w="5386" w:type="dxa"/>
            <w:noWrap/>
            <w:vAlign w:val="center"/>
            <w:hideMark/>
          </w:tcPr>
          <w:p w:rsidR="00B83265" w:rsidRPr="0060139D" w:rsidRDefault="00B83265" w:rsidP="00407DCE">
            <w:pPr>
              <w:spacing w:after="240"/>
              <w:rPr>
                <w:rFonts w:cstheme="minorHAnsi"/>
                <w:color w:val="000000"/>
              </w:rPr>
            </w:pPr>
            <w:r w:rsidRPr="00E23B37">
              <w:rPr>
                <w:rFonts w:cstheme="minorHAnsi"/>
                <w:color w:val="000000"/>
              </w:rPr>
              <w:t>% who do not have more independence/ control over their</w:t>
            </w:r>
            <w:r>
              <w:rPr>
                <w:rFonts w:cstheme="minorHAnsi"/>
                <w:color w:val="000000"/>
              </w:rPr>
              <w:t xml:space="preserve"> life than they did 2 years ago</w:t>
            </w:r>
            <w:r w:rsidRPr="00E23B37">
              <w:rPr>
                <w:rFonts w:cstheme="minorHAnsi"/>
                <w:color w:val="000000"/>
              </w:rPr>
              <w:t xml:space="preserve"> because of factor</w:t>
            </w:r>
            <w:r>
              <w:rPr>
                <w:rFonts w:cstheme="minorHAnsi"/>
                <w:color w:val="000000"/>
              </w:rPr>
              <w:t>s unrelated to their disability</w:t>
            </w:r>
          </w:p>
        </w:tc>
        <w:tc>
          <w:tcPr>
            <w:tcW w:w="1559" w:type="dxa"/>
            <w:noWrap/>
            <w:vAlign w:val="center"/>
            <w:hideMark/>
          </w:tcPr>
          <w:p w:rsidR="00B83265" w:rsidRPr="00715092" w:rsidRDefault="00B83265" w:rsidP="00407DCE">
            <w:pPr>
              <w:spacing w:after="240"/>
              <w:rPr>
                <w:rFonts w:cstheme="minorHAnsi"/>
              </w:rPr>
            </w:pPr>
            <w:r>
              <w:rPr>
                <w:rFonts w:cstheme="minorHAnsi"/>
              </w:rPr>
              <w:t>Improvement</w:t>
            </w:r>
          </w:p>
        </w:tc>
      </w:tr>
      <w:tr w:rsidR="00E7613D" w:rsidRPr="00715092" w:rsidTr="009B241D">
        <w:trPr>
          <w:trHeight w:val="160"/>
        </w:trPr>
        <w:tc>
          <w:tcPr>
            <w:tcW w:w="1411" w:type="dxa"/>
            <w:noWrap/>
            <w:vAlign w:val="center"/>
          </w:tcPr>
          <w:p w:rsidR="00E7613D" w:rsidRPr="00715092" w:rsidRDefault="00E7613D" w:rsidP="00E7613D">
            <w:pPr>
              <w:spacing w:after="240"/>
              <w:rPr>
                <w:rFonts w:cstheme="minorHAnsi"/>
              </w:rPr>
            </w:pPr>
            <w:r>
              <w:rPr>
                <w:rFonts w:cstheme="minorHAnsi"/>
              </w:rPr>
              <w:t>Choice and control</w:t>
            </w:r>
          </w:p>
        </w:tc>
        <w:tc>
          <w:tcPr>
            <w:tcW w:w="1278" w:type="dxa"/>
            <w:noWrap/>
            <w:vAlign w:val="center"/>
          </w:tcPr>
          <w:p w:rsidR="00E7613D" w:rsidRPr="00715092" w:rsidRDefault="00E7613D" w:rsidP="00E7613D">
            <w:pPr>
              <w:spacing w:after="240"/>
              <w:rPr>
                <w:rFonts w:cstheme="minorHAnsi"/>
              </w:rPr>
            </w:pPr>
            <w:r>
              <w:rPr>
                <w:rFonts w:cstheme="minorHAnsi"/>
              </w:rPr>
              <w:t>15 to 24</w:t>
            </w:r>
          </w:p>
        </w:tc>
        <w:tc>
          <w:tcPr>
            <w:tcW w:w="5386" w:type="dxa"/>
            <w:noWrap/>
            <w:vAlign w:val="center"/>
          </w:tcPr>
          <w:p w:rsidR="00E7613D" w:rsidRPr="0060139D" w:rsidRDefault="00E7613D" w:rsidP="00E7613D">
            <w:pPr>
              <w:spacing w:after="240"/>
              <w:rPr>
                <w:rFonts w:cstheme="minorHAnsi"/>
                <w:color w:val="000000"/>
              </w:rPr>
            </w:pPr>
            <w:r w:rsidRPr="00E23B37">
              <w:rPr>
                <w:rFonts w:cstheme="minorHAnsi"/>
                <w:color w:val="000000"/>
              </w:rPr>
              <w:t>% who make more decisions in their</w:t>
            </w:r>
            <w:r>
              <w:rPr>
                <w:rFonts w:cstheme="minorHAnsi"/>
                <w:color w:val="000000"/>
              </w:rPr>
              <w:t xml:space="preserve"> life than they did 2 years ago</w:t>
            </w:r>
          </w:p>
        </w:tc>
        <w:tc>
          <w:tcPr>
            <w:tcW w:w="1559" w:type="dxa"/>
            <w:noWrap/>
            <w:vAlign w:val="center"/>
          </w:tcPr>
          <w:p w:rsidR="00E7613D" w:rsidRPr="00715092" w:rsidRDefault="00E7613D" w:rsidP="00E7613D">
            <w:pPr>
              <w:spacing w:after="240"/>
              <w:rPr>
                <w:rFonts w:cstheme="minorHAnsi"/>
              </w:rPr>
            </w:pPr>
            <w:r>
              <w:rPr>
                <w:rFonts w:cstheme="minorHAnsi"/>
              </w:rPr>
              <w:t>Improvement</w:t>
            </w:r>
          </w:p>
        </w:tc>
      </w:tr>
      <w:tr w:rsidR="00E7613D" w:rsidRPr="00715092" w:rsidTr="009B241D">
        <w:trPr>
          <w:trHeight w:val="160"/>
        </w:trPr>
        <w:tc>
          <w:tcPr>
            <w:tcW w:w="1411" w:type="dxa"/>
            <w:noWrap/>
            <w:vAlign w:val="center"/>
          </w:tcPr>
          <w:p w:rsidR="00E7613D" w:rsidRPr="00715092" w:rsidRDefault="00E7613D" w:rsidP="00E7613D">
            <w:pPr>
              <w:spacing w:after="240"/>
              <w:rPr>
                <w:rFonts w:cstheme="minorHAnsi"/>
              </w:rPr>
            </w:pPr>
            <w:r>
              <w:rPr>
                <w:rFonts w:cstheme="minorHAnsi"/>
              </w:rPr>
              <w:t>Choice and control</w:t>
            </w:r>
          </w:p>
        </w:tc>
        <w:tc>
          <w:tcPr>
            <w:tcW w:w="1278" w:type="dxa"/>
            <w:noWrap/>
            <w:vAlign w:val="center"/>
          </w:tcPr>
          <w:p w:rsidR="00E7613D" w:rsidRPr="00715092" w:rsidRDefault="00E7613D" w:rsidP="00E7613D">
            <w:pPr>
              <w:spacing w:after="240"/>
              <w:rPr>
                <w:rFonts w:cstheme="minorHAnsi"/>
              </w:rPr>
            </w:pPr>
            <w:r>
              <w:rPr>
                <w:rFonts w:cstheme="minorHAnsi"/>
              </w:rPr>
              <w:t>15 to 24</w:t>
            </w:r>
          </w:p>
        </w:tc>
        <w:tc>
          <w:tcPr>
            <w:tcW w:w="5386" w:type="dxa"/>
            <w:noWrap/>
            <w:vAlign w:val="center"/>
          </w:tcPr>
          <w:p w:rsidR="00E7613D" w:rsidRPr="0060139D" w:rsidRDefault="00E7613D" w:rsidP="00E7613D">
            <w:pPr>
              <w:spacing w:after="240"/>
              <w:rPr>
                <w:rFonts w:cstheme="minorHAnsi"/>
                <w:color w:val="000000"/>
              </w:rPr>
            </w:pPr>
            <w:r w:rsidRPr="00E23B37">
              <w:rPr>
                <w:rFonts w:cstheme="minorHAnsi"/>
                <w:color w:val="000000"/>
              </w:rPr>
              <w:t>% who want more c</w:t>
            </w:r>
            <w:r>
              <w:rPr>
                <w:rFonts w:cstheme="minorHAnsi"/>
                <w:color w:val="000000"/>
              </w:rPr>
              <w:t>hoice and control in their life</w:t>
            </w:r>
          </w:p>
        </w:tc>
        <w:tc>
          <w:tcPr>
            <w:tcW w:w="1559" w:type="dxa"/>
            <w:noWrap/>
            <w:vAlign w:val="center"/>
          </w:tcPr>
          <w:p w:rsidR="00E7613D" w:rsidRPr="00715092" w:rsidRDefault="00E7613D" w:rsidP="00E7613D">
            <w:pPr>
              <w:spacing w:after="240"/>
              <w:rPr>
                <w:rFonts w:cstheme="minorHAnsi"/>
              </w:rPr>
            </w:pPr>
            <w:r>
              <w:rPr>
                <w:rFonts w:cstheme="minorHAnsi"/>
              </w:rPr>
              <w:t>Context dependent</w:t>
            </w:r>
          </w:p>
        </w:tc>
      </w:tr>
      <w:tr w:rsidR="00E7613D" w:rsidRPr="00715092" w:rsidTr="009B241D">
        <w:trPr>
          <w:trHeight w:val="160"/>
        </w:trPr>
        <w:tc>
          <w:tcPr>
            <w:tcW w:w="1411" w:type="dxa"/>
            <w:noWrap/>
            <w:vAlign w:val="center"/>
          </w:tcPr>
          <w:p w:rsidR="00E7613D" w:rsidRPr="00715092" w:rsidRDefault="00E7613D" w:rsidP="00E7613D">
            <w:pPr>
              <w:spacing w:after="240"/>
              <w:rPr>
                <w:rFonts w:cstheme="minorHAnsi"/>
              </w:rPr>
            </w:pPr>
            <w:r>
              <w:rPr>
                <w:rFonts w:cstheme="minorHAnsi"/>
              </w:rPr>
              <w:t>Choice and control</w:t>
            </w:r>
          </w:p>
        </w:tc>
        <w:tc>
          <w:tcPr>
            <w:tcW w:w="1278" w:type="dxa"/>
            <w:noWrap/>
            <w:vAlign w:val="center"/>
          </w:tcPr>
          <w:p w:rsidR="00E7613D" w:rsidRPr="00715092" w:rsidRDefault="00E7613D" w:rsidP="00E7613D">
            <w:pPr>
              <w:spacing w:after="240"/>
              <w:rPr>
                <w:rFonts w:cstheme="minorHAnsi"/>
              </w:rPr>
            </w:pPr>
            <w:r>
              <w:rPr>
                <w:rFonts w:cstheme="minorHAnsi"/>
              </w:rPr>
              <w:t>15 and over</w:t>
            </w:r>
          </w:p>
        </w:tc>
        <w:tc>
          <w:tcPr>
            <w:tcW w:w="5386" w:type="dxa"/>
            <w:noWrap/>
            <w:vAlign w:val="center"/>
          </w:tcPr>
          <w:p w:rsidR="00E7613D" w:rsidRPr="0060139D" w:rsidRDefault="00E7613D" w:rsidP="00E7613D">
            <w:pPr>
              <w:spacing w:after="240"/>
              <w:rPr>
                <w:rFonts w:cstheme="minorHAnsi"/>
                <w:color w:val="000000"/>
              </w:rPr>
            </w:pPr>
            <w:r w:rsidRPr="00E23B37">
              <w:rPr>
                <w:rFonts w:cstheme="minorHAnsi"/>
                <w:color w:val="000000"/>
              </w:rPr>
              <w:t>% who feel able to have a say with their support ser</w:t>
            </w:r>
            <w:r>
              <w:rPr>
                <w:rFonts w:cstheme="minorHAnsi"/>
                <w:color w:val="000000"/>
              </w:rPr>
              <w:t>vices (most or all of the time)</w:t>
            </w:r>
          </w:p>
        </w:tc>
        <w:tc>
          <w:tcPr>
            <w:tcW w:w="1559" w:type="dxa"/>
            <w:noWrap/>
            <w:vAlign w:val="center"/>
          </w:tcPr>
          <w:p w:rsidR="00E7613D" w:rsidRPr="00715092" w:rsidRDefault="00E7613D" w:rsidP="00E7613D">
            <w:pPr>
              <w:spacing w:after="240"/>
              <w:rPr>
                <w:rFonts w:cstheme="minorHAnsi"/>
              </w:rPr>
            </w:pPr>
            <w:r>
              <w:rPr>
                <w:rFonts w:cstheme="minorHAnsi"/>
              </w:rPr>
              <w:t>Improvement</w:t>
            </w:r>
          </w:p>
        </w:tc>
      </w:tr>
      <w:tr w:rsidR="00E7613D" w:rsidRPr="00715092" w:rsidTr="009B241D">
        <w:trPr>
          <w:trHeight w:val="160"/>
        </w:trPr>
        <w:tc>
          <w:tcPr>
            <w:tcW w:w="1411" w:type="dxa"/>
            <w:noWrap/>
            <w:vAlign w:val="center"/>
          </w:tcPr>
          <w:p w:rsidR="00E7613D" w:rsidRPr="00715092" w:rsidRDefault="00E7613D" w:rsidP="00E7613D">
            <w:pPr>
              <w:spacing w:after="240"/>
              <w:rPr>
                <w:rFonts w:cstheme="minorHAnsi"/>
                <w:color w:val="000000"/>
              </w:rPr>
            </w:pPr>
            <w:r>
              <w:rPr>
                <w:rFonts w:cstheme="minorHAnsi"/>
              </w:rPr>
              <w:t>Choice and control</w:t>
            </w:r>
          </w:p>
        </w:tc>
        <w:tc>
          <w:tcPr>
            <w:tcW w:w="1278" w:type="dxa"/>
            <w:noWrap/>
            <w:vAlign w:val="center"/>
          </w:tcPr>
          <w:p w:rsidR="00E7613D" w:rsidRPr="00715092" w:rsidRDefault="00E7613D" w:rsidP="00E7613D">
            <w:pPr>
              <w:spacing w:after="240"/>
              <w:rPr>
                <w:rFonts w:cstheme="minorHAnsi"/>
              </w:rPr>
            </w:pPr>
            <w:r>
              <w:rPr>
                <w:rFonts w:cstheme="minorHAnsi"/>
              </w:rPr>
              <w:t>15 and over</w:t>
            </w:r>
          </w:p>
        </w:tc>
        <w:tc>
          <w:tcPr>
            <w:tcW w:w="5386" w:type="dxa"/>
            <w:noWrap/>
            <w:vAlign w:val="center"/>
          </w:tcPr>
          <w:p w:rsidR="00E7613D" w:rsidRPr="0060139D" w:rsidRDefault="00E7613D" w:rsidP="00E7613D">
            <w:pPr>
              <w:spacing w:after="240"/>
              <w:rPr>
                <w:rFonts w:cstheme="minorHAnsi"/>
                <w:color w:val="000000"/>
              </w:rPr>
            </w:pPr>
            <w:r w:rsidRPr="00E23B37">
              <w:rPr>
                <w:rFonts w:cstheme="minorHAnsi"/>
                <w:color w:val="000000"/>
              </w:rPr>
              <w:t>% who say they choose</w:t>
            </w:r>
            <w:r>
              <w:rPr>
                <w:rFonts w:cstheme="minorHAnsi"/>
                <w:color w:val="000000"/>
              </w:rPr>
              <w:t xml:space="preserve"> how they spend their free time</w:t>
            </w:r>
          </w:p>
        </w:tc>
        <w:tc>
          <w:tcPr>
            <w:tcW w:w="1559" w:type="dxa"/>
            <w:noWrap/>
            <w:vAlign w:val="center"/>
          </w:tcPr>
          <w:p w:rsidR="00E7613D" w:rsidRPr="00715092" w:rsidRDefault="00E7613D" w:rsidP="00E7613D">
            <w:pPr>
              <w:spacing w:after="240"/>
              <w:rPr>
                <w:rFonts w:cstheme="minorHAnsi"/>
              </w:rPr>
            </w:pPr>
            <w:r>
              <w:rPr>
                <w:rFonts w:cstheme="minorHAnsi"/>
              </w:rPr>
              <w:t>Improvement</w:t>
            </w:r>
          </w:p>
        </w:tc>
      </w:tr>
      <w:tr w:rsidR="00E7613D" w:rsidRPr="00715092" w:rsidTr="009B241D">
        <w:trPr>
          <w:trHeight w:val="437"/>
        </w:trPr>
        <w:tc>
          <w:tcPr>
            <w:tcW w:w="1411" w:type="dxa"/>
            <w:noWrap/>
            <w:vAlign w:val="center"/>
          </w:tcPr>
          <w:p w:rsidR="00E7613D" w:rsidRPr="00715092" w:rsidRDefault="00E7613D" w:rsidP="00E7613D">
            <w:pPr>
              <w:spacing w:after="240"/>
              <w:rPr>
                <w:rFonts w:cstheme="minorHAnsi"/>
                <w:color w:val="000000"/>
              </w:rPr>
            </w:pPr>
            <w:r>
              <w:rPr>
                <w:rFonts w:cstheme="minorHAnsi"/>
              </w:rPr>
              <w:t>Choice and control</w:t>
            </w:r>
          </w:p>
        </w:tc>
        <w:tc>
          <w:tcPr>
            <w:tcW w:w="1278" w:type="dxa"/>
            <w:noWrap/>
            <w:vAlign w:val="center"/>
          </w:tcPr>
          <w:p w:rsidR="00E7613D" w:rsidRDefault="00E7613D" w:rsidP="00E7613D">
            <w:pPr>
              <w:spacing w:after="240"/>
              <w:rPr>
                <w:rFonts w:cstheme="minorHAnsi"/>
              </w:rPr>
            </w:pPr>
            <w:r>
              <w:rPr>
                <w:rFonts w:cstheme="minorHAnsi"/>
              </w:rPr>
              <w:t>15 and over</w:t>
            </w:r>
          </w:p>
        </w:tc>
        <w:tc>
          <w:tcPr>
            <w:tcW w:w="5386" w:type="dxa"/>
            <w:noWrap/>
            <w:vAlign w:val="center"/>
          </w:tcPr>
          <w:p w:rsidR="00E7613D" w:rsidRPr="0060139D" w:rsidRDefault="00E7613D" w:rsidP="00E7613D">
            <w:pPr>
              <w:spacing w:after="240"/>
              <w:rPr>
                <w:rFonts w:cstheme="minorHAnsi"/>
                <w:color w:val="000000"/>
              </w:rPr>
            </w:pPr>
            <w:r w:rsidRPr="00E23B37">
              <w:rPr>
                <w:rFonts w:cstheme="minorHAnsi"/>
                <w:color w:val="000000"/>
              </w:rPr>
              <w:t>% who say they feel able to adv</w:t>
            </w:r>
            <w:r>
              <w:rPr>
                <w:rFonts w:cstheme="minorHAnsi"/>
                <w:color w:val="000000"/>
              </w:rPr>
              <w:t>ocate (stand up) for themselves</w:t>
            </w:r>
          </w:p>
        </w:tc>
        <w:tc>
          <w:tcPr>
            <w:tcW w:w="1559" w:type="dxa"/>
            <w:noWrap/>
            <w:vAlign w:val="center"/>
          </w:tcPr>
          <w:p w:rsidR="00E7613D" w:rsidRDefault="00E7613D" w:rsidP="00E7613D">
            <w:pPr>
              <w:spacing w:after="240"/>
              <w:rPr>
                <w:rFonts w:cstheme="minorHAnsi"/>
              </w:rPr>
            </w:pPr>
            <w:r>
              <w:rPr>
                <w:rFonts w:cstheme="minorHAnsi"/>
              </w:rPr>
              <w:t>Deterioration</w:t>
            </w:r>
          </w:p>
        </w:tc>
      </w:tr>
      <w:tr w:rsidR="00E7613D" w:rsidRPr="00715092" w:rsidTr="009B241D">
        <w:trPr>
          <w:trHeight w:val="423"/>
        </w:trPr>
        <w:tc>
          <w:tcPr>
            <w:tcW w:w="1411" w:type="dxa"/>
            <w:noWrap/>
            <w:vAlign w:val="center"/>
          </w:tcPr>
          <w:p w:rsidR="00E7613D" w:rsidRPr="00E23B37" w:rsidRDefault="00E7613D" w:rsidP="00E7613D">
            <w:pPr>
              <w:spacing w:after="240"/>
              <w:rPr>
                <w:rFonts w:cstheme="minorHAnsi"/>
                <w:color w:val="000000"/>
              </w:rPr>
            </w:pPr>
            <w:r>
              <w:rPr>
                <w:rFonts w:cstheme="minorHAnsi"/>
                <w:color w:val="000000"/>
              </w:rPr>
              <w:t>Relationships</w:t>
            </w:r>
          </w:p>
        </w:tc>
        <w:tc>
          <w:tcPr>
            <w:tcW w:w="1278" w:type="dxa"/>
            <w:noWrap/>
            <w:vAlign w:val="center"/>
          </w:tcPr>
          <w:p w:rsidR="00E7613D" w:rsidRPr="0060139D" w:rsidRDefault="00E7613D" w:rsidP="00E7613D">
            <w:pPr>
              <w:spacing w:after="240"/>
              <w:rPr>
                <w:rFonts w:cstheme="minorHAnsi"/>
                <w:color w:val="000000"/>
              </w:rPr>
            </w:pPr>
            <w:r>
              <w:rPr>
                <w:rFonts w:cstheme="minorHAnsi"/>
                <w:color w:val="000000"/>
              </w:rPr>
              <w:t>15 to 24</w:t>
            </w:r>
          </w:p>
        </w:tc>
        <w:tc>
          <w:tcPr>
            <w:tcW w:w="5386" w:type="dxa"/>
            <w:noWrap/>
            <w:vAlign w:val="center"/>
          </w:tcPr>
          <w:p w:rsidR="00E7613D" w:rsidRPr="0060139D" w:rsidRDefault="00E7613D" w:rsidP="00E7613D">
            <w:pPr>
              <w:spacing w:after="240"/>
              <w:rPr>
                <w:rFonts w:cstheme="minorHAnsi"/>
                <w:color w:val="000000"/>
              </w:rPr>
            </w:pPr>
            <w:r w:rsidRPr="00E23B37">
              <w:rPr>
                <w:rFonts w:cstheme="minorHAnsi"/>
                <w:color w:val="000000"/>
              </w:rPr>
              <w:t>% who get to see their friends witho</w:t>
            </w:r>
            <w:r>
              <w:rPr>
                <w:rFonts w:cstheme="minorHAnsi"/>
                <w:color w:val="000000"/>
              </w:rPr>
              <w:t>ut paid staff or family present</w:t>
            </w:r>
          </w:p>
        </w:tc>
        <w:tc>
          <w:tcPr>
            <w:tcW w:w="1559" w:type="dxa"/>
            <w:noWrap/>
            <w:vAlign w:val="center"/>
          </w:tcPr>
          <w:p w:rsidR="00E7613D" w:rsidRDefault="00E7613D" w:rsidP="00E7613D">
            <w:pPr>
              <w:spacing w:after="240"/>
              <w:rPr>
                <w:rFonts w:cstheme="minorHAnsi"/>
              </w:rPr>
            </w:pPr>
            <w:r>
              <w:rPr>
                <w:rFonts w:cstheme="minorHAnsi"/>
              </w:rPr>
              <w:t>Improvement</w:t>
            </w:r>
          </w:p>
        </w:tc>
      </w:tr>
      <w:tr w:rsidR="00E7613D" w:rsidRPr="00715092" w:rsidTr="009B241D">
        <w:trPr>
          <w:trHeight w:val="423"/>
        </w:trPr>
        <w:tc>
          <w:tcPr>
            <w:tcW w:w="1411" w:type="dxa"/>
            <w:noWrap/>
            <w:vAlign w:val="center"/>
          </w:tcPr>
          <w:p w:rsidR="00E7613D" w:rsidRPr="00E23B37" w:rsidRDefault="00E7613D" w:rsidP="00E7613D">
            <w:pPr>
              <w:spacing w:after="240"/>
              <w:rPr>
                <w:rFonts w:cstheme="minorHAnsi"/>
                <w:color w:val="000000"/>
              </w:rPr>
            </w:pPr>
            <w:r>
              <w:rPr>
                <w:rFonts w:cstheme="minorHAnsi"/>
                <w:color w:val="000000"/>
              </w:rPr>
              <w:t>Relationships</w:t>
            </w:r>
          </w:p>
        </w:tc>
        <w:tc>
          <w:tcPr>
            <w:tcW w:w="1278" w:type="dxa"/>
            <w:noWrap/>
            <w:vAlign w:val="center"/>
          </w:tcPr>
          <w:p w:rsidR="00E7613D" w:rsidRPr="00E23B37" w:rsidRDefault="00E7613D" w:rsidP="00E7613D">
            <w:pPr>
              <w:spacing w:after="240"/>
              <w:rPr>
                <w:rFonts w:cstheme="minorHAnsi"/>
                <w:color w:val="000000"/>
              </w:rPr>
            </w:pPr>
            <w:r w:rsidRPr="00E23B37">
              <w:rPr>
                <w:rFonts w:cstheme="minorHAnsi"/>
                <w:color w:val="000000"/>
              </w:rPr>
              <w:t>15 and</w:t>
            </w:r>
          </w:p>
          <w:p w:rsidR="00E7613D" w:rsidRPr="0060139D" w:rsidRDefault="00E7613D" w:rsidP="00E7613D">
            <w:pPr>
              <w:spacing w:after="240"/>
              <w:rPr>
                <w:rFonts w:cstheme="minorHAnsi"/>
                <w:color w:val="000000"/>
              </w:rPr>
            </w:pPr>
            <w:r>
              <w:rPr>
                <w:rFonts w:cstheme="minorHAnsi"/>
                <w:color w:val="000000"/>
              </w:rPr>
              <w:t>over</w:t>
            </w:r>
          </w:p>
        </w:tc>
        <w:tc>
          <w:tcPr>
            <w:tcW w:w="5386" w:type="dxa"/>
            <w:noWrap/>
            <w:vAlign w:val="center"/>
          </w:tcPr>
          <w:p w:rsidR="00E7613D" w:rsidRPr="00AC35E8" w:rsidRDefault="00E7613D" w:rsidP="00E7613D">
            <w:pPr>
              <w:spacing w:after="240"/>
              <w:rPr>
                <w:rFonts w:cstheme="minorHAnsi"/>
                <w:color w:val="000000"/>
              </w:rPr>
            </w:pPr>
            <w:r w:rsidRPr="00E23B37">
              <w:rPr>
                <w:rFonts w:cstheme="minorHAnsi"/>
                <w:color w:val="000000"/>
              </w:rPr>
              <w:t>% who feel happy wit</w:t>
            </w:r>
            <w:r>
              <w:rPr>
                <w:rFonts w:cstheme="minorHAnsi"/>
                <w:color w:val="000000"/>
              </w:rPr>
              <w:t>h their relationship with staff</w:t>
            </w:r>
          </w:p>
        </w:tc>
        <w:tc>
          <w:tcPr>
            <w:tcW w:w="1559" w:type="dxa"/>
            <w:noWrap/>
            <w:vAlign w:val="center"/>
          </w:tcPr>
          <w:p w:rsidR="00E7613D" w:rsidRDefault="00E7613D" w:rsidP="00E7613D">
            <w:pPr>
              <w:spacing w:after="240"/>
              <w:rPr>
                <w:rFonts w:cstheme="minorHAnsi"/>
              </w:rPr>
            </w:pPr>
            <w:r>
              <w:rPr>
                <w:rFonts w:cstheme="minorHAnsi"/>
              </w:rPr>
              <w:t>Improvement</w:t>
            </w:r>
          </w:p>
        </w:tc>
      </w:tr>
      <w:tr w:rsidR="00E7613D" w:rsidRPr="00715092" w:rsidTr="009B241D">
        <w:trPr>
          <w:trHeight w:val="423"/>
        </w:trPr>
        <w:tc>
          <w:tcPr>
            <w:tcW w:w="1411" w:type="dxa"/>
            <w:noWrap/>
            <w:vAlign w:val="center"/>
          </w:tcPr>
          <w:p w:rsidR="00E7613D" w:rsidRPr="00E23B37" w:rsidRDefault="00E7613D" w:rsidP="00E7613D">
            <w:pPr>
              <w:spacing w:after="240"/>
              <w:rPr>
                <w:rFonts w:cstheme="minorHAnsi"/>
                <w:color w:val="000000"/>
              </w:rPr>
            </w:pPr>
            <w:r>
              <w:rPr>
                <w:rFonts w:cstheme="minorHAnsi"/>
                <w:color w:val="000000"/>
              </w:rPr>
              <w:t>Relationships</w:t>
            </w:r>
          </w:p>
        </w:tc>
        <w:tc>
          <w:tcPr>
            <w:tcW w:w="1278" w:type="dxa"/>
            <w:noWrap/>
            <w:vAlign w:val="center"/>
          </w:tcPr>
          <w:p w:rsidR="00E7613D" w:rsidRPr="00E23B37" w:rsidRDefault="00E7613D" w:rsidP="00E7613D">
            <w:pPr>
              <w:spacing w:after="240"/>
              <w:rPr>
                <w:rFonts w:cstheme="minorHAnsi"/>
                <w:color w:val="000000"/>
              </w:rPr>
            </w:pPr>
            <w:r w:rsidRPr="00E23B37">
              <w:rPr>
                <w:rFonts w:cstheme="minorHAnsi"/>
                <w:color w:val="000000"/>
              </w:rPr>
              <w:t>15 and</w:t>
            </w:r>
          </w:p>
          <w:p w:rsidR="00E7613D" w:rsidRPr="0060139D" w:rsidRDefault="00E7613D" w:rsidP="00E7613D">
            <w:pPr>
              <w:spacing w:after="240"/>
              <w:rPr>
                <w:rFonts w:cstheme="minorHAnsi"/>
                <w:color w:val="000000"/>
              </w:rPr>
            </w:pPr>
            <w:r>
              <w:rPr>
                <w:rFonts w:cstheme="minorHAnsi"/>
                <w:color w:val="000000"/>
              </w:rPr>
              <w:t>over</w:t>
            </w:r>
          </w:p>
        </w:tc>
        <w:tc>
          <w:tcPr>
            <w:tcW w:w="5386" w:type="dxa"/>
            <w:noWrap/>
            <w:vAlign w:val="center"/>
          </w:tcPr>
          <w:p w:rsidR="00E7613D" w:rsidRPr="0060139D" w:rsidRDefault="00E7613D" w:rsidP="00E7613D">
            <w:pPr>
              <w:spacing w:after="240"/>
              <w:rPr>
                <w:rFonts w:cstheme="minorHAnsi"/>
                <w:color w:val="000000"/>
              </w:rPr>
            </w:pPr>
            <w:r w:rsidRPr="00E23B37">
              <w:rPr>
                <w:rFonts w:cstheme="minorHAnsi"/>
                <w:color w:val="000000"/>
              </w:rPr>
              <w:t>% who would like</w:t>
            </w:r>
            <w:r>
              <w:rPr>
                <w:rFonts w:cstheme="minorHAnsi"/>
                <w:color w:val="000000"/>
              </w:rPr>
              <w:t xml:space="preserve"> to see their family more often</w:t>
            </w:r>
          </w:p>
        </w:tc>
        <w:tc>
          <w:tcPr>
            <w:tcW w:w="1559" w:type="dxa"/>
            <w:noWrap/>
            <w:vAlign w:val="center"/>
          </w:tcPr>
          <w:p w:rsidR="00E7613D" w:rsidRDefault="00E7613D" w:rsidP="00E7613D">
            <w:pPr>
              <w:spacing w:after="240"/>
              <w:rPr>
                <w:rFonts w:cstheme="minorHAnsi"/>
              </w:rPr>
            </w:pPr>
            <w:r>
              <w:rPr>
                <w:rFonts w:cstheme="minorHAnsi"/>
              </w:rPr>
              <w:t>Context dependent</w:t>
            </w:r>
          </w:p>
        </w:tc>
      </w:tr>
      <w:tr w:rsidR="00E7613D" w:rsidRPr="00715092" w:rsidTr="009B241D">
        <w:trPr>
          <w:trHeight w:val="423"/>
        </w:trPr>
        <w:tc>
          <w:tcPr>
            <w:tcW w:w="1411" w:type="dxa"/>
            <w:noWrap/>
            <w:vAlign w:val="center"/>
          </w:tcPr>
          <w:p w:rsidR="00E7613D" w:rsidRPr="00E23B37" w:rsidRDefault="00E7613D" w:rsidP="00E7613D">
            <w:pPr>
              <w:spacing w:after="240"/>
              <w:rPr>
                <w:rFonts w:cstheme="minorHAnsi"/>
                <w:color w:val="000000"/>
              </w:rPr>
            </w:pPr>
            <w:r>
              <w:rPr>
                <w:rFonts w:cstheme="minorHAnsi"/>
                <w:color w:val="000000"/>
              </w:rPr>
              <w:t>Relationships</w:t>
            </w:r>
          </w:p>
        </w:tc>
        <w:tc>
          <w:tcPr>
            <w:tcW w:w="1278" w:type="dxa"/>
            <w:noWrap/>
            <w:vAlign w:val="center"/>
          </w:tcPr>
          <w:p w:rsidR="00E7613D" w:rsidRPr="00E23B37" w:rsidRDefault="00E7613D" w:rsidP="00E7613D">
            <w:pPr>
              <w:spacing w:after="240"/>
              <w:rPr>
                <w:rFonts w:cstheme="minorHAnsi"/>
                <w:color w:val="000000"/>
              </w:rPr>
            </w:pPr>
            <w:r w:rsidRPr="00E23B37">
              <w:rPr>
                <w:rFonts w:cstheme="minorHAnsi"/>
                <w:color w:val="000000"/>
              </w:rPr>
              <w:t>15 and</w:t>
            </w:r>
          </w:p>
          <w:p w:rsidR="00E7613D" w:rsidRPr="0060139D" w:rsidRDefault="00E7613D" w:rsidP="00E7613D">
            <w:pPr>
              <w:spacing w:after="240"/>
              <w:rPr>
                <w:rFonts w:cstheme="minorHAnsi"/>
                <w:color w:val="000000"/>
              </w:rPr>
            </w:pPr>
            <w:r>
              <w:rPr>
                <w:rFonts w:cstheme="minorHAnsi"/>
                <w:color w:val="000000"/>
              </w:rPr>
              <w:t>over</w:t>
            </w:r>
          </w:p>
        </w:tc>
        <w:tc>
          <w:tcPr>
            <w:tcW w:w="5386" w:type="dxa"/>
            <w:noWrap/>
            <w:vAlign w:val="center"/>
          </w:tcPr>
          <w:p w:rsidR="00E7613D" w:rsidRPr="0060139D" w:rsidRDefault="00E7613D" w:rsidP="00E7613D">
            <w:pPr>
              <w:spacing w:after="240"/>
              <w:rPr>
                <w:rFonts w:cstheme="minorHAnsi"/>
                <w:color w:val="000000"/>
              </w:rPr>
            </w:pPr>
            <w:r w:rsidRPr="00E23B37">
              <w:rPr>
                <w:rFonts w:cstheme="minorHAnsi"/>
                <w:color w:val="000000"/>
              </w:rPr>
              <w:t xml:space="preserve">% who would like </w:t>
            </w:r>
            <w:r>
              <w:rPr>
                <w:rFonts w:cstheme="minorHAnsi"/>
                <w:color w:val="000000"/>
              </w:rPr>
              <w:t>to see their friends more often</w:t>
            </w:r>
          </w:p>
        </w:tc>
        <w:tc>
          <w:tcPr>
            <w:tcW w:w="1559" w:type="dxa"/>
            <w:noWrap/>
            <w:vAlign w:val="center"/>
          </w:tcPr>
          <w:p w:rsidR="00E7613D" w:rsidRDefault="00E7613D" w:rsidP="00E7613D">
            <w:pPr>
              <w:spacing w:after="240"/>
              <w:rPr>
                <w:rFonts w:cstheme="minorHAnsi"/>
              </w:rPr>
            </w:pPr>
            <w:r>
              <w:rPr>
                <w:rFonts w:cstheme="minorHAnsi"/>
              </w:rPr>
              <w:t>Context dependent</w:t>
            </w:r>
          </w:p>
        </w:tc>
      </w:tr>
      <w:tr w:rsidR="00E7613D" w:rsidRPr="00715092" w:rsidTr="009B241D">
        <w:trPr>
          <w:trHeight w:val="423"/>
        </w:trPr>
        <w:tc>
          <w:tcPr>
            <w:tcW w:w="1411" w:type="dxa"/>
            <w:noWrap/>
            <w:vAlign w:val="center"/>
          </w:tcPr>
          <w:p w:rsidR="00E7613D" w:rsidRPr="00E23B37" w:rsidRDefault="00E7613D" w:rsidP="00E7613D">
            <w:pPr>
              <w:spacing w:after="240"/>
              <w:rPr>
                <w:rFonts w:cstheme="minorHAnsi"/>
                <w:color w:val="000000"/>
              </w:rPr>
            </w:pPr>
            <w:r>
              <w:rPr>
                <w:rFonts w:cstheme="minorHAnsi"/>
                <w:color w:val="000000"/>
              </w:rPr>
              <w:lastRenderedPageBreak/>
              <w:t>Home</w:t>
            </w:r>
          </w:p>
        </w:tc>
        <w:tc>
          <w:tcPr>
            <w:tcW w:w="1278" w:type="dxa"/>
            <w:noWrap/>
            <w:vAlign w:val="center"/>
          </w:tcPr>
          <w:p w:rsidR="00E7613D" w:rsidRPr="0060139D" w:rsidRDefault="00E7613D" w:rsidP="00E7613D">
            <w:pPr>
              <w:spacing w:after="240"/>
              <w:rPr>
                <w:rFonts w:cstheme="minorHAnsi"/>
                <w:color w:val="000000"/>
              </w:rPr>
            </w:pPr>
            <w:r>
              <w:rPr>
                <w:rFonts w:cstheme="minorHAnsi"/>
                <w:color w:val="000000"/>
              </w:rPr>
              <w:t>15 to 24</w:t>
            </w:r>
          </w:p>
        </w:tc>
        <w:tc>
          <w:tcPr>
            <w:tcW w:w="5386" w:type="dxa"/>
            <w:noWrap/>
            <w:vAlign w:val="center"/>
          </w:tcPr>
          <w:p w:rsidR="00E7613D" w:rsidRPr="0060139D" w:rsidRDefault="00E7613D" w:rsidP="00E7613D">
            <w:pPr>
              <w:spacing w:after="240"/>
              <w:rPr>
                <w:rFonts w:cstheme="minorHAnsi"/>
                <w:color w:val="000000"/>
              </w:rPr>
            </w:pPr>
            <w:r w:rsidRPr="00E23B37">
              <w:rPr>
                <w:rFonts w:cstheme="minorHAnsi"/>
                <w:color w:val="000000"/>
              </w:rPr>
              <w:t>% who make decisions in planning for a home of their own wit</w:t>
            </w:r>
            <w:r>
              <w:rPr>
                <w:rFonts w:cstheme="minorHAnsi"/>
                <w:color w:val="000000"/>
              </w:rPr>
              <w:t>h or without the help of others</w:t>
            </w:r>
          </w:p>
        </w:tc>
        <w:tc>
          <w:tcPr>
            <w:tcW w:w="1559" w:type="dxa"/>
            <w:noWrap/>
            <w:vAlign w:val="center"/>
          </w:tcPr>
          <w:p w:rsidR="00E7613D" w:rsidRDefault="00E7613D" w:rsidP="00E7613D">
            <w:pPr>
              <w:spacing w:after="240"/>
              <w:rPr>
                <w:rFonts w:cstheme="minorHAnsi"/>
              </w:rPr>
            </w:pPr>
            <w:r>
              <w:rPr>
                <w:rFonts w:cstheme="minorHAnsi"/>
              </w:rPr>
              <w:t>Improvement</w:t>
            </w:r>
          </w:p>
        </w:tc>
      </w:tr>
      <w:tr w:rsidR="00E7613D" w:rsidRPr="00715092" w:rsidTr="009B241D">
        <w:trPr>
          <w:trHeight w:val="423"/>
        </w:trPr>
        <w:tc>
          <w:tcPr>
            <w:tcW w:w="1411" w:type="dxa"/>
            <w:noWrap/>
            <w:vAlign w:val="center"/>
          </w:tcPr>
          <w:p w:rsidR="00E7613D" w:rsidRPr="00E23B37" w:rsidRDefault="00E7613D" w:rsidP="00E7613D">
            <w:pPr>
              <w:spacing w:after="240"/>
              <w:rPr>
                <w:rFonts w:cstheme="minorHAnsi"/>
                <w:color w:val="000000"/>
              </w:rPr>
            </w:pPr>
            <w:r>
              <w:rPr>
                <w:rFonts w:cstheme="minorHAnsi"/>
                <w:color w:val="000000"/>
              </w:rPr>
              <w:t>Home</w:t>
            </w:r>
          </w:p>
        </w:tc>
        <w:tc>
          <w:tcPr>
            <w:tcW w:w="1278" w:type="dxa"/>
            <w:noWrap/>
            <w:vAlign w:val="center"/>
          </w:tcPr>
          <w:p w:rsidR="00E7613D" w:rsidRPr="00E23B37" w:rsidRDefault="00E7613D" w:rsidP="00E7613D">
            <w:pPr>
              <w:spacing w:after="240"/>
              <w:rPr>
                <w:rFonts w:cstheme="minorHAnsi"/>
                <w:color w:val="000000"/>
              </w:rPr>
            </w:pPr>
            <w:r w:rsidRPr="00E23B37">
              <w:rPr>
                <w:rFonts w:cstheme="minorHAnsi"/>
                <w:color w:val="000000"/>
              </w:rPr>
              <w:t>15 and</w:t>
            </w:r>
          </w:p>
          <w:p w:rsidR="00E7613D" w:rsidRPr="0060139D" w:rsidRDefault="00E7613D" w:rsidP="00E7613D">
            <w:pPr>
              <w:spacing w:after="240"/>
              <w:rPr>
                <w:rFonts w:cstheme="minorHAnsi"/>
                <w:color w:val="000000"/>
              </w:rPr>
            </w:pPr>
            <w:r>
              <w:rPr>
                <w:rFonts w:cstheme="minorHAnsi"/>
                <w:color w:val="000000"/>
              </w:rPr>
              <w:t>over</w:t>
            </w:r>
          </w:p>
        </w:tc>
        <w:tc>
          <w:tcPr>
            <w:tcW w:w="5386" w:type="dxa"/>
            <w:noWrap/>
            <w:vAlign w:val="center"/>
          </w:tcPr>
          <w:p w:rsidR="00E7613D" w:rsidRPr="005B0B90" w:rsidRDefault="00E7613D" w:rsidP="00E7613D">
            <w:pPr>
              <w:spacing w:after="240"/>
              <w:rPr>
                <w:rFonts w:cstheme="minorHAnsi"/>
                <w:color w:val="000000"/>
              </w:rPr>
            </w:pPr>
            <w:r w:rsidRPr="00E23B37">
              <w:rPr>
                <w:rFonts w:cstheme="minorHAnsi"/>
                <w:color w:val="000000"/>
              </w:rPr>
              <w:t>% s</w:t>
            </w:r>
            <w:r>
              <w:rPr>
                <w:rFonts w:cstheme="minorHAnsi"/>
                <w:color w:val="000000"/>
              </w:rPr>
              <w:t>ay they choose where they lived</w:t>
            </w:r>
          </w:p>
        </w:tc>
        <w:tc>
          <w:tcPr>
            <w:tcW w:w="1559" w:type="dxa"/>
            <w:noWrap/>
            <w:vAlign w:val="center"/>
          </w:tcPr>
          <w:p w:rsidR="00E7613D" w:rsidRDefault="00E7613D" w:rsidP="00E7613D">
            <w:pPr>
              <w:spacing w:after="240"/>
              <w:rPr>
                <w:rFonts w:cstheme="minorHAnsi"/>
              </w:rPr>
            </w:pPr>
            <w:r>
              <w:rPr>
                <w:rFonts w:cstheme="minorHAnsi"/>
              </w:rPr>
              <w:t>Improvement</w:t>
            </w:r>
          </w:p>
        </w:tc>
      </w:tr>
      <w:tr w:rsidR="00E7613D" w:rsidRPr="00715092" w:rsidTr="009B241D">
        <w:trPr>
          <w:trHeight w:val="423"/>
        </w:trPr>
        <w:tc>
          <w:tcPr>
            <w:tcW w:w="1411" w:type="dxa"/>
            <w:noWrap/>
            <w:vAlign w:val="center"/>
          </w:tcPr>
          <w:p w:rsidR="00E7613D" w:rsidRPr="00E23B37" w:rsidRDefault="00E7613D" w:rsidP="00E7613D">
            <w:pPr>
              <w:spacing w:after="240"/>
              <w:rPr>
                <w:rFonts w:cstheme="minorHAnsi"/>
                <w:color w:val="000000"/>
              </w:rPr>
            </w:pPr>
            <w:r>
              <w:rPr>
                <w:rFonts w:cstheme="minorHAnsi"/>
                <w:color w:val="000000"/>
              </w:rPr>
              <w:t>Home</w:t>
            </w:r>
          </w:p>
        </w:tc>
        <w:tc>
          <w:tcPr>
            <w:tcW w:w="1278" w:type="dxa"/>
            <w:noWrap/>
            <w:vAlign w:val="center"/>
          </w:tcPr>
          <w:p w:rsidR="00E7613D" w:rsidRPr="00E23B37" w:rsidRDefault="00E7613D" w:rsidP="00E7613D">
            <w:pPr>
              <w:spacing w:after="240"/>
              <w:rPr>
                <w:rFonts w:cstheme="minorHAnsi"/>
                <w:color w:val="000000"/>
              </w:rPr>
            </w:pPr>
            <w:r w:rsidRPr="00E23B37">
              <w:rPr>
                <w:rFonts w:cstheme="minorHAnsi"/>
                <w:color w:val="000000"/>
              </w:rPr>
              <w:t>15 and</w:t>
            </w:r>
          </w:p>
          <w:p w:rsidR="00E7613D" w:rsidRDefault="00E7613D" w:rsidP="00E7613D">
            <w:pPr>
              <w:spacing w:after="240"/>
              <w:rPr>
                <w:rFonts w:cstheme="minorHAnsi"/>
              </w:rPr>
            </w:pPr>
            <w:r>
              <w:rPr>
                <w:rFonts w:cstheme="minorHAnsi"/>
                <w:color w:val="000000"/>
              </w:rPr>
              <w:t>over</w:t>
            </w:r>
          </w:p>
        </w:tc>
        <w:tc>
          <w:tcPr>
            <w:tcW w:w="5386" w:type="dxa"/>
            <w:noWrap/>
            <w:vAlign w:val="center"/>
          </w:tcPr>
          <w:p w:rsidR="00E7613D" w:rsidRDefault="00E7613D" w:rsidP="00E7613D">
            <w:pPr>
              <w:spacing w:after="240"/>
              <w:rPr>
                <w:rFonts w:cstheme="minorHAnsi"/>
              </w:rPr>
            </w:pPr>
            <w:r w:rsidRPr="00E23B37">
              <w:rPr>
                <w:rFonts w:cstheme="minorHAnsi"/>
                <w:color w:val="000000"/>
              </w:rPr>
              <w:t>% say they choose whom they lived with</w:t>
            </w:r>
          </w:p>
        </w:tc>
        <w:tc>
          <w:tcPr>
            <w:tcW w:w="1559" w:type="dxa"/>
            <w:noWrap/>
            <w:vAlign w:val="center"/>
          </w:tcPr>
          <w:p w:rsidR="00E7613D" w:rsidRDefault="00E7613D" w:rsidP="00E7613D">
            <w:pPr>
              <w:spacing w:after="240"/>
              <w:rPr>
                <w:rFonts w:cstheme="minorHAnsi"/>
              </w:rPr>
            </w:pPr>
            <w:r>
              <w:rPr>
                <w:rFonts w:cstheme="minorHAnsi"/>
              </w:rPr>
              <w:t>Improvement</w:t>
            </w:r>
          </w:p>
        </w:tc>
      </w:tr>
    </w:tbl>
    <w:p w:rsidR="00B83265" w:rsidRDefault="00B83265" w:rsidP="002817DE">
      <w:pPr>
        <w:pStyle w:val="Heading2"/>
      </w:pPr>
      <w:bookmarkStart w:id="52" w:name="_Toc119919454"/>
    </w:p>
    <w:p w:rsidR="00B83265" w:rsidRPr="002817DE" w:rsidRDefault="00B83265" w:rsidP="002817DE">
      <w:pPr>
        <w:pStyle w:val="Heading2"/>
      </w:pPr>
      <w:bookmarkStart w:id="53" w:name="_Toc121151425"/>
      <w:r w:rsidRPr="002817DE">
        <w:t>Slide 43: Participants aged 15 and over – Summary of trend by selected indicators</w:t>
      </w:r>
      <w:bookmarkEnd w:id="53"/>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1073"/>
        <w:gridCol w:w="4751"/>
        <w:gridCol w:w="2365"/>
      </w:tblGrid>
      <w:tr w:rsidR="00B83265" w:rsidRPr="00715092" w:rsidTr="009B241D">
        <w:trPr>
          <w:trHeight w:val="372"/>
        </w:trPr>
        <w:tc>
          <w:tcPr>
            <w:tcW w:w="1389" w:type="dxa"/>
            <w:noWrap/>
            <w:vAlign w:val="center"/>
            <w:hideMark/>
          </w:tcPr>
          <w:p w:rsidR="00B83265" w:rsidRPr="00715092" w:rsidRDefault="00B83265" w:rsidP="00407DCE">
            <w:pPr>
              <w:spacing w:after="240"/>
              <w:rPr>
                <w:rFonts w:eastAsia="Times New Roman" w:cstheme="minorHAnsi"/>
                <w:b/>
                <w:bCs/>
                <w:color w:val="000000"/>
                <w:lang w:eastAsia="en-AU"/>
              </w:rPr>
            </w:pPr>
            <w:r w:rsidRPr="00715092">
              <w:rPr>
                <w:rFonts w:eastAsia="Times New Roman" w:cstheme="minorHAnsi"/>
                <w:b/>
                <w:bCs/>
                <w:color w:val="000000"/>
                <w:lang w:eastAsia="en-AU"/>
              </w:rPr>
              <w:t>Domain</w:t>
            </w:r>
          </w:p>
        </w:tc>
        <w:tc>
          <w:tcPr>
            <w:tcW w:w="1073" w:type="dxa"/>
            <w:noWrap/>
            <w:vAlign w:val="center"/>
            <w:hideMark/>
          </w:tcPr>
          <w:p w:rsidR="00B83265" w:rsidRPr="00715092" w:rsidRDefault="00B83265" w:rsidP="00407DCE">
            <w:pPr>
              <w:spacing w:after="240"/>
              <w:rPr>
                <w:rFonts w:eastAsia="Times New Roman" w:cstheme="minorHAnsi"/>
                <w:b/>
                <w:bCs/>
                <w:color w:val="000000"/>
                <w:lang w:eastAsia="en-AU"/>
              </w:rPr>
            </w:pPr>
            <w:r>
              <w:rPr>
                <w:rFonts w:eastAsia="Times New Roman" w:cstheme="minorHAnsi"/>
                <w:b/>
                <w:bCs/>
                <w:color w:val="000000"/>
                <w:lang w:eastAsia="en-AU"/>
              </w:rPr>
              <w:t>Age Group</w:t>
            </w:r>
          </w:p>
        </w:tc>
        <w:tc>
          <w:tcPr>
            <w:tcW w:w="4751" w:type="dxa"/>
            <w:noWrap/>
            <w:vAlign w:val="center"/>
            <w:hideMark/>
          </w:tcPr>
          <w:p w:rsidR="00B83265" w:rsidRPr="00715092" w:rsidRDefault="00B83265" w:rsidP="00407DCE">
            <w:pPr>
              <w:spacing w:after="240"/>
              <w:rPr>
                <w:rFonts w:eastAsia="Times New Roman" w:cstheme="minorHAnsi"/>
                <w:b/>
                <w:bCs/>
                <w:color w:val="000000"/>
                <w:lang w:eastAsia="en-AU"/>
              </w:rPr>
            </w:pPr>
            <w:r>
              <w:rPr>
                <w:rFonts w:eastAsia="Times New Roman" w:cstheme="minorHAnsi"/>
                <w:b/>
                <w:bCs/>
                <w:color w:val="000000"/>
                <w:lang w:eastAsia="en-AU"/>
              </w:rPr>
              <w:t>Indicator</w:t>
            </w:r>
          </w:p>
        </w:tc>
        <w:tc>
          <w:tcPr>
            <w:tcW w:w="2365" w:type="dxa"/>
            <w:noWrap/>
            <w:vAlign w:val="center"/>
            <w:hideMark/>
          </w:tcPr>
          <w:p w:rsidR="00B83265" w:rsidRPr="00715092" w:rsidRDefault="00B83265" w:rsidP="00407DCE">
            <w:pPr>
              <w:spacing w:after="240"/>
              <w:rPr>
                <w:rFonts w:eastAsia="Times New Roman" w:cstheme="minorHAnsi"/>
                <w:b/>
                <w:bCs/>
                <w:color w:val="000000"/>
                <w:lang w:eastAsia="en-AU"/>
              </w:rPr>
            </w:pPr>
            <w:r>
              <w:rPr>
                <w:rFonts w:eastAsia="Times New Roman" w:cstheme="minorHAnsi"/>
                <w:b/>
                <w:bCs/>
                <w:color w:val="000000"/>
                <w:lang w:eastAsia="en-AU"/>
              </w:rPr>
              <w:t>Change</w:t>
            </w:r>
          </w:p>
        </w:tc>
      </w:tr>
      <w:tr w:rsidR="00B83265" w:rsidRPr="00715092" w:rsidTr="009B241D">
        <w:trPr>
          <w:trHeight w:val="436"/>
        </w:trPr>
        <w:tc>
          <w:tcPr>
            <w:tcW w:w="1389" w:type="dxa"/>
            <w:noWrap/>
            <w:vAlign w:val="center"/>
          </w:tcPr>
          <w:p w:rsidR="00B83265" w:rsidRPr="00E23B37" w:rsidRDefault="00B83265" w:rsidP="00407DCE">
            <w:pPr>
              <w:spacing w:after="240"/>
              <w:rPr>
                <w:rFonts w:cstheme="minorHAnsi"/>
                <w:color w:val="000000"/>
              </w:rPr>
            </w:pPr>
            <w:r>
              <w:rPr>
                <w:rFonts w:cstheme="minorHAnsi"/>
                <w:color w:val="000000"/>
              </w:rPr>
              <w:t>Social, community and civic participation</w:t>
            </w:r>
          </w:p>
        </w:tc>
        <w:tc>
          <w:tcPr>
            <w:tcW w:w="1073" w:type="dxa"/>
            <w:noWrap/>
            <w:vAlign w:val="center"/>
          </w:tcPr>
          <w:p w:rsidR="00B83265" w:rsidRDefault="00B83265" w:rsidP="00407DCE">
            <w:pPr>
              <w:spacing w:after="240"/>
              <w:rPr>
                <w:rFonts w:cstheme="minorHAnsi"/>
              </w:rPr>
            </w:pPr>
            <w:r>
              <w:rPr>
                <w:rFonts w:cstheme="minorHAnsi"/>
              </w:rPr>
              <w:t>15 and over</w:t>
            </w:r>
          </w:p>
        </w:tc>
        <w:tc>
          <w:tcPr>
            <w:tcW w:w="4751" w:type="dxa"/>
            <w:noWrap/>
            <w:vAlign w:val="center"/>
          </w:tcPr>
          <w:p w:rsidR="00B83265" w:rsidRDefault="00B83265" w:rsidP="00407DCE">
            <w:pPr>
              <w:spacing w:after="240"/>
              <w:rPr>
                <w:rFonts w:cstheme="minorHAnsi"/>
              </w:rPr>
            </w:pPr>
            <w:r w:rsidRPr="00AC35E8">
              <w:rPr>
                <w:rFonts w:cstheme="minorHAnsi"/>
              </w:rPr>
              <w:t>% who spend their free time doin</w:t>
            </w:r>
            <w:r>
              <w:rPr>
                <w:rFonts w:cstheme="minorHAnsi"/>
              </w:rPr>
              <w:t>g activities that interest them</w:t>
            </w:r>
          </w:p>
        </w:tc>
        <w:tc>
          <w:tcPr>
            <w:tcW w:w="2365" w:type="dxa"/>
            <w:noWrap/>
            <w:vAlign w:val="center"/>
          </w:tcPr>
          <w:p w:rsidR="00B83265" w:rsidRDefault="00B83265" w:rsidP="00407DCE">
            <w:pPr>
              <w:spacing w:after="240"/>
              <w:rPr>
                <w:rFonts w:cstheme="minorHAnsi"/>
              </w:rPr>
            </w:pPr>
            <w:r>
              <w:rPr>
                <w:rFonts w:cstheme="minorHAnsi"/>
              </w:rPr>
              <w:t>Improvement</w:t>
            </w:r>
          </w:p>
        </w:tc>
      </w:tr>
      <w:tr w:rsidR="00B83265" w:rsidRPr="00715092" w:rsidTr="009B241D">
        <w:trPr>
          <w:trHeight w:val="436"/>
        </w:trPr>
        <w:tc>
          <w:tcPr>
            <w:tcW w:w="1389" w:type="dxa"/>
            <w:noWrap/>
            <w:vAlign w:val="center"/>
          </w:tcPr>
          <w:p w:rsidR="00B83265" w:rsidRPr="00E23B37" w:rsidRDefault="00E7613D" w:rsidP="00407DCE">
            <w:pPr>
              <w:spacing w:after="240"/>
              <w:rPr>
                <w:rFonts w:cstheme="minorHAnsi"/>
                <w:color w:val="000000"/>
              </w:rPr>
            </w:pPr>
            <w:r>
              <w:rPr>
                <w:rFonts w:cstheme="minorHAnsi"/>
                <w:color w:val="000000"/>
              </w:rPr>
              <w:t>Social, community and civic participation</w:t>
            </w:r>
          </w:p>
        </w:tc>
        <w:tc>
          <w:tcPr>
            <w:tcW w:w="1073" w:type="dxa"/>
            <w:noWrap/>
            <w:vAlign w:val="center"/>
          </w:tcPr>
          <w:p w:rsidR="00B83265" w:rsidRDefault="00E7613D" w:rsidP="00407DCE">
            <w:pPr>
              <w:spacing w:after="240"/>
              <w:rPr>
                <w:rFonts w:cstheme="minorHAnsi"/>
              </w:rPr>
            </w:pPr>
            <w:r>
              <w:rPr>
                <w:rFonts w:cstheme="minorHAnsi"/>
              </w:rPr>
              <w:t>15 and over</w:t>
            </w:r>
          </w:p>
        </w:tc>
        <w:tc>
          <w:tcPr>
            <w:tcW w:w="4751" w:type="dxa"/>
            <w:noWrap/>
            <w:vAlign w:val="center"/>
          </w:tcPr>
          <w:p w:rsidR="00B83265" w:rsidRDefault="00B83265" w:rsidP="00407DCE">
            <w:pPr>
              <w:spacing w:after="240"/>
              <w:rPr>
                <w:rFonts w:cstheme="minorHAnsi"/>
              </w:rPr>
            </w:pPr>
            <w:r w:rsidRPr="00AC35E8">
              <w:rPr>
                <w:rFonts w:cstheme="minorHAnsi"/>
              </w:rPr>
              <w:t>% who have been actively involved in a community</w:t>
            </w:r>
            <w:r>
              <w:rPr>
                <w:rFonts w:cstheme="minorHAnsi"/>
              </w:rPr>
              <w:t xml:space="preserve"> activity in the last 12 months</w:t>
            </w:r>
          </w:p>
        </w:tc>
        <w:tc>
          <w:tcPr>
            <w:tcW w:w="2365" w:type="dxa"/>
            <w:noWrap/>
            <w:vAlign w:val="center"/>
          </w:tcPr>
          <w:p w:rsidR="00B83265" w:rsidRDefault="00B83265" w:rsidP="00407DCE">
            <w:pPr>
              <w:spacing w:after="240"/>
              <w:rPr>
                <w:rFonts w:cstheme="minorHAnsi"/>
              </w:rPr>
            </w:pPr>
            <w:r>
              <w:rPr>
                <w:rFonts w:cstheme="minorHAnsi"/>
              </w:rPr>
              <w:t>Improvement</w:t>
            </w:r>
          </w:p>
        </w:tc>
      </w:tr>
      <w:tr w:rsidR="00B83265" w:rsidRPr="00715092" w:rsidTr="009B241D">
        <w:trPr>
          <w:trHeight w:val="436"/>
        </w:trPr>
        <w:tc>
          <w:tcPr>
            <w:tcW w:w="1389" w:type="dxa"/>
            <w:noWrap/>
            <w:vAlign w:val="center"/>
          </w:tcPr>
          <w:p w:rsidR="00B83265" w:rsidRPr="00E23B37" w:rsidRDefault="00E7613D" w:rsidP="00407DCE">
            <w:pPr>
              <w:spacing w:after="240"/>
              <w:rPr>
                <w:rFonts w:cstheme="minorHAnsi"/>
                <w:color w:val="000000"/>
              </w:rPr>
            </w:pPr>
            <w:r>
              <w:rPr>
                <w:rFonts w:cstheme="minorHAnsi"/>
                <w:color w:val="000000"/>
              </w:rPr>
              <w:t>Social, community and civic participation</w:t>
            </w:r>
          </w:p>
        </w:tc>
        <w:tc>
          <w:tcPr>
            <w:tcW w:w="1073" w:type="dxa"/>
            <w:noWrap/>
            <w:vAlign w:val="center"/>
          </w:tcPr>
          <w:p w:rsidR="00B83265" w:rsidRDefault="00E7613D" w:rsidP="00407DCE">
            <w:pPr>
              <w:spacing w:after="240"/>
              <w:rPr>
                <w:rFonts w:cstheme="minorHAnsi"/>
              </w:rPr>
            </w:pPr>
            <w:r>
              <w:rPr>
                <w:rFonts w:cstheme="minorHAnsi"/>
              </w:rPr>
              <w:t>15 and over</w:t>
            </w:r>
          </w:p>
        </w:tc>
        <w:tc>
          <w:tcPr>
            <w:tcW w:w="4751" w:type="dxa"/>
            <w:noWrap/>
            <w:vAlign w:val="center"/>
          </w:tcPr>
          <w:p w:rsidR="00B83265" w:rsidRDefault="00B83265" w:rsidP="00407DCE">
            <w:pPr>
              <w:spacing w:after="240"/>
              <w:rPr>
                <w:rFonts w:cstheme="minorHAnsi"/>
              </w:rPr>
            </w:pPr>
            <w:r w:rsidRPr="00AC35E8">
              <w:rPr>
                <w:rFonts w:cstheme="minorHAnsi"/>
              </w:rPr>
              <w:t>% who</w:t>
            </w:r>
            <w:r>
              <w:rPr>
                <w:rFonts w:cstheme="minorHAnsi"/>
              </w:rPr>
              <w:t xml:space="preserve"> know people in their community</w:t>
            </w:r>
          </w:p>
        </w:tc>
        <w:tc>
          <w:tcPr>
            <w:tcW w:w="2365" w:type="dxa"/>
            <w:noWrap/>
            <w:vAlign w:val="center"/>
          </w:tcPr>
          <w:p w:rsidR="00B83265" w:rsidRDefault="00B83265" w:rsidP="00407DCE">
            <w:pPr>
              <w:spacing w:after="240"/>
              <w:rPr>
                <w:rFonts w:cstheme="minorHAnsi"/>
              </w:rPr>
            </w:pPr>
            <w:r>
              <w:rPr>
                <w:rFonts w:cstheme="minorHAnsi"/>
              </w:rPr>
              <w:t>Improvement</w:t>
            </w:r>
          </w:p>
        </w:tc>
      </w:tr>
      <w:tr w:rsidR="00B83265" w:rsidRPr="00715092" w:rsidTr="009B241D">
        <w:trPr>
          <w:trHeight w:val="436"/>
        </w:trPr>
        <w:tc>
          <w:tcPr>
            <w:tcW w:w="1389" w:type="dxa"/>
            <w:noWrap/>
            <w:vAlign w:val="center"/>
          </w:tcPr>
          <w:p w:rsidR="00B83265" w:rsidRPr="00E23B37" w:rsidRDefault="00E7613D" w:rsidP="00407DCE">
            <w:pPr>
              <w:spacing w:after="240"/>
              <w:rPr>
                <w:rFonts w:cstheme="minorHAnsi"/>
                <w:color w:val="000000"/>
              </w:rPr>
            </w:pPr>
            <w:r>
              <w:rPr>
                <w:rFonts w:cstheme="minorHAnsi"/>
                <w:color w:val="000000"/>
              </w:rPr>
              <w:t>Social, community and civic participation</w:t>
            </w:r>
          </w:p>
        </w:tc>
        <w:tc>
          <w:tcPr>
            <w:tcW w:w="1073" w:type="dxa"/>
            <w:noWrap/>
            <w:vAlign w:val="center"/>
          </w:tcPr>
          <w:p w:rsidR="00B83265" w:rsidRDefault="00E7613D" w:rsidP="00407DCE">
            <w:pPr>
              <w:spacing w:after="240"/>
              <w:rPr>
                <w:rFonts w:cstheme="minorHAnsi"/>
              </w:rPr>
            </w:pPr>
            <w:r>
              <w:rPr>
                <w:rFonts w:cstheme="minorHAnsi"/>
              </w:rPr>
              <w:t>15 and over</w:t>
            </w:r>
          </w:p>
        </w:tc>
        <w:tc>
          <w:tcPr>
            <w:tcW w:w="4751" w:type="dxa"/>
            <w:noWrap/>
            <w:vAlign w:val="center"/>
          </w:tcPr>
          <w:p w:rsidR="00B83265" w:rsidRDefault="00B83265" w:rsidP="00407DCE">
            <w:pPr>
              <w:spacing w:after="240"/>
              <w:rPr>
                <w:rFonts w:cstheme="minorHAnsi"/>
              </w:rPr>
            </w:pPr>
            <w:r w:rsidRPr="00AC35E8">
              <w:rPr>
                <w:rFonts w:cstheme="minorHAnsi"/>
              </w:rPr>
              <w:t>% who have taken part in leisure a</w:t>
            </w:r>
            <w:r>
              <w:rPr>
                <w:rFonts w:cstheme="minorHAnsi"/>
              </w:rPr>
              <w:t>ctivities in the past 12 months</w:t>
            </w:r>
          </w:p>
        </w:tc>
        <w:tc>
          <w:tcPr>
            <w:tcW w:w="2365" w:type="dxa"/>
            <w:noWrap/>
            <w:vAlign w:val="center"/>
          </w:tcPr>
          <w:p w:rsidR="00B83265" w:rsidRDefault="00B83265" w:rsidP="00407DCE">
            <w:pPr>
              <w:spacing w:after="240"/>
              <w:rPr>
                <w:rFonts w:cstheme="minorHAnsi"/>
              </w:rPr>
            </w:pPr>
            <w:r>
              <w:rPr>
                <w:rFonts w:cstheme="minorHAnsi"/>
              </w:rPr>
              <w:t>Improvement</w:t>
            </w:r>
          </w:p>
        </w:tc>
      </w:tr>
      <w:tr w:rsidR="00B83265" w:rsidRPr="00715092" w:rsidTr="009B241D">
        <w:trPr>
          <w:trHeight w:val="436"/>
        </w:trPr>
        <w:tc>
          <w:tcPr>
            <w:tcW w:w="1389" w:type="dxa"/>
            <w:noWrap/>
            <w:vAlign w:val="center"/>
          </w:tcPr>
          <w:p w:rsidR="00B83265" w:rsidRPr="00E23B37" w:rsidRDefault="00E7613D" w:rsidP="00407DCE">
            <w:pPr>
              <w:spacing w:after="240"/>
              <w:rPr>
                <w:rFonts w:cstheme="minorHAnsi"/>
                <w:color w:val="000000"/>
              </w:rPr>
            </w:pPr>
            <w:r>
              <w:rPr>
                <w:rFonts w:cstheme="minorHAnsi"/>
                <w:color w:val="000000"/>
              </w:rPr>
              <w:t>Social, community and civic participation</w:t>
            </w:r>
          </w:p>
        </w:tc>
        <w:tc>
          <w:tcPr>
            <w:tcW w:w="1073" w:type="dxa"/>
            <w:noWrap/>
            <w:vAlign w:val="center"/>
          </w:tcPr>
          <w:p w:rsidR="00B83265" w:rsidRDefault="00E7613D" w:rsidP="00407DCE">
            <w:pPr>
              <w:spacing w:after="240"/>
              <w:rPr>
                <w:rFonts w:cstheme="minorHAnsi"/>
              </w:rPr>
            </w:pPr>
            <w:r>
              <w:rPr>
                <w:rFonts w:cstheme="minorHAnsi"/>
              </w:rPr>
              <w:t>15 and over</w:t>
            </w:r>
          </w:p>
        </w:tc>
        <w:tc>
          <w:tcPr>
            <w:tcW w:w="4751" w:type="dxa"/>
            <w:noWrap/>
            <w:vAlign w:val="center"/>
          </w:tcPr>
          <w:p w:rsidR="00B83265" w:rsidRDefault="00B83265" w:rsidP="00407DCE">
            <w:pPr>
              <w:spacing w:after="240"/>
              <w:rPr>
                <w:rFonts w:cstheme="minorHAnsi"/>
              </w:rPr>
            </w:pPr>
            <w:r w:rsidRPr="00AC35E8">
              <w:rPr>
                <w:rFonts w:cstheme="minorHAnsi"/>
              </w:rPr>
              <w:t xml:space="preserve">% who have opportunity to try new </w:t>
            </w:r>
            <w:r>
              <w:rPr>
                <w:rFonts w:cstheme="minorHAnsi"/>
              </w:rPr>
              <w:t>things and have new experiences</w:t>
            </w:r>
          </w:p>
        </w:tc>
        <w:tc>
          <w:tcPr>
            <w:tcW w:w="2365" w:type="dxa"/>
            <w:noWrap/>
            <w:vAlign w:val="center"/>
          </w:tcPr>
          <w:p w:rsidR="00B83265" w:rsidRDefault="00B83265" w:rsidP="00407DCE">
            <w:pPr>
              <w:spacing w:after="240"/>
              <w:rPr>
                <w:rFonts w:cstheme="minorHAnsi"/>
              </w:rPr>
            </w:pPr>
            <w:r>
              <w:rPr>
                <w:rFonts w:cstheme="minorHAnsi"/>
              </w:rPr>
              <w:t>Improvement</w:t>
            </w:r>
          </w:p>
        </w:tc>
      </w:tr>
      <w:tr w:rsidR="00B83265" w:rsidRPr="00715092" w:rsidTr="009B241D">
        <w:trPr>
          <w:trHeight w:val="436"/>
        </w:trPr>
        <w:tc>
          <w:tcPr>
            <w:tcW w:w="1389" w:type="dxa"/>
            <w:noWrap/>
            <w:vAlign w:val="center"/>
          </w:tcPr>
          <w:p w:rsidR="00B83265" w:rsidRPr="00E23B37" w:rsidRDefault="00E7613D" w:rsidP="00407DCE">
            <w:pPr>
              <w:spacing w:after="240"/>
              <w:rPr>
                <w:rFonts w:cstheme="minorHAnsi"/>
                <w:color w:val="000000"/>
              </w:rPr>
            </w:pPr>
            <w:r>
              <w:rPr>
                <w:rFonts w:cstheme="minorHAnsi"/>
                <w:color w:val="000000"/>
              </w:rPr>
              <w:t>Social, community and civic participation</w:t>
            </w:r>
          </w:p>
        </w:tc>
        <w:tc>
          <w:tcPr>
            <w:tcW w:w="1073" w:type="dxa"/>
            <w:noWrap/>
            <w:vAlign w:val="center"/>
          </w:tcPr>
          <w:p w:rsidR="00B83265" w:rsidRDefault="00E7613D" w:rsidP="00407DCE">
            <w:pPr>
              <w:spacing w:after="240"/>
              <w:rPr>
                <w:rFonts w:cstheme="minorHAnsi"/>
              </w:rPr>
            </w:pPr>
            <w:r>
              <w:rPr>
                <w:rFonts w:cstheme="minorHAnsi"/>
              </w:rPr>
              <w:t>15 and over</w:t>
            </w:r>
          </w:p>
        </w:tc>
        <w:tc>
          <w:tcPr>
            <w:tcW w:w="4751" w:type="dxa"/>
            <w:noWrap/>
            <w:vAlign w:val="center"/>
          </w:tcPr>
          <w:p w:rsidR="00B83265" w:rsidRDefault="00B83265" w:rsidP="00407DCE">
            <w:pPr>
              <w:spacing w:after="240"/>
              <w:rPr>
                <w:rFonts w:cstheme="minorHAnsi"/>
              </w:rPr>
            </w:pPr>
            <w:r w:rsidRPr="00AC35E8">
              <w:rPr>
                <w:rFonts w:cstheme="minorHAnsi"/>
              </w:rPr>
              <w:t>% who feel safe walking alone</w:t>
            </w:r>
            <w:r>
              <w:rPr>
                <w:rFonts w:cstheme="minorHAnsi"/>
              </w:rPr>
              <w:t xml:space="preserve"> in their local area after dark</w:t>
            </w:r>
          </w:p>
        </w:tc>
        <w:tc>
          <w:tcPr>
            <w:tcW w:w="2365" w:type="dxa"/>
            <w:noWrap/>
            <w:vAlign w:val="center"/>
          </w:tcPr>
          <w:p w:rsidR="00B83265" w:rsidRDefault="00B83265" w:rsidP="00407DCE">
            <w:pPr>
              <w:spacing w:after="240"/>
              <w:rPr>
                <w:rFonts w:cstheme="minorHAnsi"/>
              </w:rPr>
            </w:pPr>
            <w:r>
              <w:rPr>
                <w:rFonts w:cstheme="minorHAnsi"/>
              </w:rPr>
              <w:t>Improvement</w:t>
            </w:r>
          </w:p>
        </w:tc>
      </w:tr>
      <w:tr w:rsidR="00B83265" w:rsidRPr="00715092" w:rsidTr="009B241D">
        <w:trPr>
          <w:trHeight w:val="436"/>
        </w:trPr>
        <w:tc>
          <w:tcPr>
            <w:tcW w:w="1389" w:type="dxa"/>
            <w:noWrap/>
            <w:vAlign w:val="center"/>
          </w:tcPr>
          <w:p w:rsidR="00B83265" w:rsidRPr="00E23B37" w:rsidRDefault="00E7613D" w:rsidP="00407DCE">
            <w:pPr>
              <w:spacing w:after="240"/>
              <w:rPr>
                <w:rFonts w:cstheme="minorHAnsi"/>
                <w:color w:val="000000"/>
              </w:rPr>
            </w:pPr>
            <w:r>
              <w:rPr>
                <w:rFonts w:cstheme="minorHAnsi"/>
                <w:color w:val="000000"/>
              </w:rPr>
              <w:t xml:space="preserve">Social, community </w:t>
            </w:r>
            <w:r>
              <w:rPr>
                <w:rFonts w:cstheme="minorHAnsi"/>
                <w:color w:val="000000"/>
              </w:rPr>
              <w:lastRenderedPageBreak/>
              <w:t>and civic participation</w:t>
            </w:r>
          </w:p>
        </w:tc>
        <w:tc>
          <w:tcPr>
            <w:tcW w:w="1073" w:type="dxa"/>
            <w:noWrap/>
            <w:vAlign w:val="center"/>
          </w:tcPr>
          <w:p w:rsidR="00B83265" w:rsidRDefault="00E7613D" w:rsidP="00407DCE">
            <w:pPr>
              <w:spacing w:after="240"/>
              <w:rPr>
                <w:rFonts w:cstheme="minorHAnsi"/>
              </w:rPr>
            </w:pPr>
            <w:r>
              <w:rPr>
                <w:rFonts w:cstheme="minorHAnsi"/>
              </w:rPr>
              <w:lastRenderedPageBreak/>
              <w:t>15 and over</w:t>
            </w:r>
          </w:p>
        </w:tc>
        <w:tc>
          <w:tcPr>
            <w:tcW w:w="4751" w:type="dxa"/>
            <w:noWrap/>
            <w:vAlign w:val="center"/>
          </w:tcPr>
          <w:p w:rsidR="00B83265" w:rsidRDefault="00B83265" w:rsidP="00407DCE">
            <w:pPr>
              <w:spacing w:after="240"/>
              <w:rPr>
                <w:rFonts w:cstheme="minorHAnsi"/>
              </w:rPr>
            </w:pPr>
            <w:r w:rsidRPr="00AC35E8">
              <w:rPr>
                <w:rFonts w:cstheme="minorHAnsi"/>
              </w:rPr>
              <w:t>% who have a s</w:t>
            </w:r>
            <w:r>
              <w:rPr>
                <w:rFonts w:cstheme="minorHAnsi"/>
              </w:rPr>
              <w:t>ay within the general community</w:t>
            </w:r>
          </w:p>
        </w:tc>
        <w:tc>
          <w:tcPr>
            <w:tcW w:w="2365" w:type="dxa"/>
            <w:noWrap/>
            <w:vAlign w:val="center"/>
          </w:tcPr>
          <w:p w:rsidR="00B83265" w:rsidRDefault="00B83265" w:rsidP="00407DCE">
            <w:pPr>
              <w:spacing w:after="240"/>
              <w:rPr>
                <w:rFonts w:cstheme="minorHAnsi"/>
              </w:rPr>
            </w:pPr>
            <w:r>
              <w:rPr>
                <w:rFonts w:cstheme="minorHAnsi"/>
              </w:rPr>
              <w:t>Improvement</w:t>
            </w:r>
          </w:p>
        </w:tc>
      </w:tr>
      <w:tr w:rsidR="00B83265" w:rsidRPr="00715092" w:rsidTr="009B241D">
        <w:trPr>
          <w:trHeight w:val="436"/>
        </w:trPr>
        <w:tc>
          <w:tcPr>
            <w:tcW w:w="1389" w:type="dxa"/>
            <w:noWrap/>
            <w:vAlign w:val="center"/>
          </w:tcPr>
          <w:p w:rsidR="00B83265" w:rsidRPr="00E23B37" w:rsidRDefault="00E7613D" w:rsidP="00407DCE">
            <w:pPr>
              <w:spacing w:after="240"/>
              <w:rPr>
                <w:rFonts w:cstheme="minorHAnsi"/>
                <w:color w:val="000000"/>
              </w:rPr>
            </w:pPr>
            <w:r>
              <w:rPr>
                <w:rFonts w:cstheme="minorHAnsi"/>
                <w:color w:val="000000"/>
              </w:rPr>
              <w:t>Social, community and civic participation</w:t>
            </w:r>
          </w:p>
        </w:tc>
        <w:tc>
          <w:tcPr>
            <w:tcW w:w="1073" w:type="dxa"/>
            <w:noWrap/>
            <w:vAlign w:val="center"/>
          </w:tcPr>
          <w:p w:rsidR="00B83265" w:rsidRDefault="00E7613D" w:rsidP="00407DCE">
            <w:pPr>
              <w:spacing w:after="240"/>
              <w:rPr>
                <w:rFonts w:cstheme="minorHAnsi"/>
              </w:rPr>
            </w:pPr>
            <w:r>
              <w:rPr>
                <w:rFonts w:cstheme="minorHAnsi"/>
              </w:rPr>
              <w:t>15 and over</w:t>
            </w:r>
          </w:p>
        </w:tc>
        <w:tc>
          <w:tcPr>
            <w:tcW w:w="4751" w:type="dxa"/>
            <w:noWrap/>
            <w:vAlign w:val="center"/>
          </w:tcPr>
          <w:p w:rsidR="00B83265" w:rsidRDefault="00B83265" w:rsidP="00407DCE">
            <w:pPr>
              <w:spacing w:after="240"/>
              <w:rPr>
                <w:rFonts w:cstheme="minorHAnsi"/>
              </w:rPr>
            </w:pPr>
            <w:r w:rsidRPr="00AC35E8">
              <w:rPr>
                <w:rFonts w:cstheme="minorHAnsi"/>
              </w:rPr>
              <w:t>% who said there was something they wanted to do in th</w:t>
            </w:r>
            <w:r>
              <w:rPr>
                <w:rFonts w:cstheme="minorHAnsi"/>
              </w:rPr>
              <w:t>e last 12 months, but could not</w:t>
            </w:r>
          </w:p>
        </w:tc>
        <w:tc>
          <w:tcPr>
            <w:tcW w:w="2365" w:type="dxa"/>
            <w:noWrap/>
            <w:vAlign w:val="center"/>
          </w:tcPr>
          <w:p w:rsidR="00B83265" w:rsidRDefault="00B83265" w:rsidP="00407DCE">
            <w:pPr>
              <w:spacing w:after="240"/>
              <w:rPr>
                <w:rFonts w:cstheme="minorHAnsi"/>
              </w:rPr>
            </w:pPr>
            <w:r>
              <w:rPr>
                <w:rFonts w:cstheme="minorHAnsi"/>
              </w:rPr>
              <w:t>Deterioration</w:t>
            </w:r>
          </w:p>
        </w:tc>
      </w:tr>
      <w:tr w:rsidR="00B83265" w:rsidRPr="00715092" w:rsidTr="009B241D">
        <w:trPr>
          <w:trHeight w:val="436"/>
        </w:trPr>
        <w:tc>
          <w:tcPr>
            <w:tcW w:w="1389" w:type="dxa"/>
            <w:noWrap/>
            <w:vAlign w:val="center"/>
          </w:tcPr>
          <w:p w:rsidR="00B83265" w:rsidRPr="00E23B37" w:rsidRDefault="00B83265" w:rsidP="00407DCE">
            <w:pPr>
              <w:spacing w:after="240"/>
              <w:rPr>
                <w:rFonts w:cstheme="minorHAnsi"/>
                <w:color w:val="000000"/>
              </w:rPr>
            </w:pPr>
            <w:r>
              <w:rPr>
                <w:rFonts w:cstheme="minorHAnsi"/>
                <w:color w:val="000000"/>
              </w:rPr>
              <w:t>Employment</w:t>
            </w:r>
          </w:p>
        </w:tc>
        <w:tc>
          <w:tcPr>
            <w:tcW w:w="1073" w:type="dxa"/>
            <w:noWrap/>
            <w:vAlign w:val="center"/>
          </w:tcPr>
          <w:p w:rsidR="00B83265" w:rsidRDefault="00B83265" w:rsidP="00407DCE">
            <w:pPr>
              <w:spacing w:after="240"/>
              <w:rPr>
                <w:rFonts w:cstheme="minorHAnsi"/>
              </w:rPr>
            </w:pPr>
            <w:r>
              <w:rPr>
                <w:rFonts w:cstheme="minorHAnsi"/>
              </w:rPr>
              <w:t>15 and over</w:t>
            </w:r>
          </w:p>
        </w:tc>
        <w:tc>
          <w:tcPr>
            <w:tcW w:w="4751" w:type="dxa"/>
            <w:noWrap/>
            <w:vAlign w:val="center"/>
          </w:tcPr>
          <w:p w:rsidR="00B83265" w:rsidRDefault="00B83265" w:rsidP="00407DCE">
            <w:pPr>
              <w:spacing w:after="240"/>
              <w:rPr>
                <w:rFonts w:cstheme="minorHAnsi"/>
              </w:rPr>
            </w:pPr>
            <w:r w:rsidRPr="00AC35E8">
              <w:rPr>
                <w:rFonts w:cstheme="minorHAnsi"/>
              </w:rPr>
              <w:t xml:space="preserve">% who are </w:t>
            </w:r>
            <w:r>
              <w:rPr>
                <w:rFonts w:cstheme="minorHAnsi"/>
              </w:rPr>
              <w:t>currently working in a paid job</w:t>
            </w:r>
          </w:p>
        </w:tc>
        <w:tc>
          <w:tcPr>
            <w:tcW w:w="2365" w:type="dxa"/>
            <w:noWrap/>
            <w:vAlign w:val="center"/>
          </w:tcPr>
          <w:p w:rsidR="00B83265" w:rsidRDefault="00B83265" w:rsidP="00407DCE">
            <w:pPr>
              <w:spacing w:after="240"/>
              <w:rPr>
                <w:rFonts w:cstheme="minorHAnsi"/>
              </w:rPr>
            </w:pPr>
            <w:r w:rsidRPr="00AC35E8">
              <w:rPr>
                <w:rFonts w:cstheme="minorHAnsi"/>
              </w:rPr>
              <w:t>Due to the importance of these employment indicators, they are included despite not meeting criteria for significance/materiality for the combined age group</w:t>
            </w:r>
          </w:p>
        </w:tc>
      </w:tr>
      <w:tr w:rsidR="00E7613D" w:rsidRPr="00715092" w:rsidTr="009B241D">
        <w:trPr>
          <w:trHeight w:val="436"/>
        </w:trPr>
        <w:tc>
          <w:tcPr>
            <w:tcW w:w="1389" w:type="dxa"/>
            <w:noWrap/>
            <w:vAlign w:val="center"/>
          </w:tcPr>
          <w:p w:rsidR="00E7613D" w:rsidRPr="00E23B37" w:rsidRDefault="00E7613D" w:rsidP="00E7613D">
            <w:pPr>
              <w:spacing w:after="240"/>
              <w:rPr>
                <w:rFonts w:cstheme="minorHAnsi"/>
                <w:color w:val="000000"/>
              </w:rPr>
            </w:pPr>
            <w:r>
              <w:rPr>
                <w:rFonts w:cstheme="minorHAnsi"/>
                <w:color w:val="000000"/>
              </w:rPr>
              <w:t>Employment</w:t>
            </w:r>
          </w:p>
        </w:tc>
        <w:tc>
          <w:tcPr>
            <w:tcW w:w="1073" w:type="dxa"/>
            <w:noWrap/>
            <w:vAlign w:val="center"/>
          </w:tcPr>
          <w:p w:rsidR="00E7613D" w:rsidRDefault="00E7613D" w:rsidP="00E7613D">
            <w:pPr>
              <w:spacing w:after="240"/>
              <w:rPr>
                <w:rFonts w:cstheme="minorHAnsi"/>
              </w:rPr>
            </w:pPr>
            <w:r>
              <w:rPr>
                <w:rFonts w:cstheme="minorHAnsi"/>
              </w:rPr>
              <w:t>15 and over</w:t>
            </w:r>
          </w:p>
        </w:tc>
        <w:tc>
          <w:tcPr>
            <w:tcW w:w="4751" w:type="dxa"/>
            <w:noWrap/>
            <w:vAlign w:val="center"/>
          </w:tcPr>
          <w:p w:rsidR="00E7613D" w:rsidRDefault="00E7613D" w:rsidP="00E7613D">
            <w:pPr>
              <w:spacing w:after="240"/>
              <w:rPr>
                <w:rFonts w:cstheme="minorHAnsi"/>
              </w:rPr>
            </w:pPr>
            <w:r w:rsidRPr="00AC35E8">
              <w:rPr>
                <w:rFonts w:cstheme="minorHAnsi"/>
              </w:rPr>
              <w:t>Of those in a paid job, % wo</w:t>
            </w:r>
            <w:r>
              <w:rPr>
                <w:rFonts w:cstheme="minorHAnsi"/>
              </w:rPr>
              <w:t>rking 15 hours or more per week</w:t>
            </w:r>
          </w:p>
        </w:tc>
        <w:tc>
          <w:tcPr>
            <w:tcW w:w="2365" w:type="dxa"/>
            <w:noWrap/>
            <w:vAlign w:val="center"/>
          </w:tcPr>
          <w:p w:rsidR="00E7613D" w:rsidRDefault="00E7613D" w:rsidP="00E7613D">
            <w:pPr>
              <w:spacing w:after="240"/>
              <w:rPr>
                <w:rFonts w:cstheme="minorHAnsi"/>
              </w:rPr>
            </w:pPr>
            <w:r w:rsidRPr="00AC35E8">
              <w:rPr>
                <w:rFonts w:cstheme="minorHAnsi"/>
              </w:rPr>
              <w:t>Due to the importance of these employment indicators, they are included despite not meeting criteria for significance/materiality for the combined age group</w:t>
            </w:r>
          </w:p>
        </w:tc>
      </w:tr>
      <w:tr w:rsidR="00E7613D" w:rsidRPr="00715092" w:rsidTr="009B241D">
        <w:trPr>
          <w:trHeight w:val="436"/>
        </w:trPr>
        <w:tc>
          <w:tcPr>
            <w:tcW w:w="1389" w:type="dxa"/>
            <w:noWrap/>
            <w:vAlign w:val="center"/>
          </w:tcPr>
          <w:p w:rsidR="00E7613D" w:rsidRPr="00E23B37" w:rsidRDefault="00E7613D" w:rsidP="00E7613D">
            <w:pPr>
              <w:spacing w:after="240"/>
              <w:rPr>
                <w:rFonts w:cstheme="minorHAnsi"/>
                <w:color w:val="000000"/>
              </w:rPr>
            </w:pPr>
            <w:r>
              <w:rPr>
                <w:rFonts w:cstheme="minorHAnsi"/>
                <w:color w:val="000000"/>
              </w:rPr>
              <w:t>Employment</w:t>
            </w:r>
          </w:p>
        </w:tc>
        <w:tc>
          <w:tcPr>
            <w:tcW w:w="1073" w:type="dxa"/>
            <w:noWrap/>
            <w:vAlign w:val="center"/>
          </w:tcPr>
          <w:p w:rsidR="00E7613D" w:rsidRDefault="00E7613D" w:rsidP="00E7613D">
            <w:pPr>
              <w:spacing w:after="240"/>
              <w:rPr>
                <w:rFonts w:cstheme="minorHAnsi"/>
              </w:rPr>
            </w:pPr>
            <w:r>
              <w:rPr>
                <w:rFonts w:cstheme="minorHAnsi"/>
              </w:rPr>
              <w:t>15 and over</w:t>
            </w:r>
          </w:p>
        </w:tc>
        <w:tc>
          <w:tcPr>
            <w:tcW w:w="4751" w:type="dxa"/>
            <w:noWrap/>
            <w:vAlign w:val="center"/>
          </w:tcPr>
          <w:p w:rsidR="00E7613D" w:rsidRDefault="00E7613D" w:rsidP="00E7613D">
            <w:pPr>
              <w:spacing w:after="240"/>
              <w:rPr>
                <w:rFonts w:cstheme="minorHAnsi"/>
              </w:rPr>
            </w:pPr>
            <w:r w:rsidRPr="00AC35E8">
              <w:rPr>
                <w:rFonts w:cstheme="minorHAnsi"/>
              </w:rPr>
              <w:t>% who are not working and not looking for</w:t>
            </w:r>
            <w:r>
              <w:rPr>
                <w:rFonts w:cstheme="minorHAnsi"/>
              </w:rPr>
              <w:t xml:space="preserve"> work</w:t>
            </w:r>
          </w:p>
        </w:tc>
        <w:tc>
          <w:tcPr>
            <w:tcW w:w="2365" w:type="dxa"/>
            <w:noWrap/>
            <w:vAlign w:val="center"/>
          </w:tcPr>
          <w:p w:rsidR="00E7613D" w:rsidRDefault="00E7613D" w:rsidP="00E7613D">
            <w:pPr>
              <w:spacing w:after="240"/>
              <w:rPr>
                <w:rFonts w:cstheme="minorHAnsi"/>
              </w:rPr>
            </w:pPr>
            <w:r>
              <w:rPr>
                <w:rFonts w:cstheme="minorHAnsi"/>
              </w:rPr>
              <w:t>Context dependent</w:t>
            </w:r>
          </w:p>
        </w:tc>
      </w:tr>
      <w:tr w:rsidR="00E7613D" w:rsidRPr="00715092" w:rsidTr="009B241D">
        <w:trPr>
          <w:trHeight w:val="436"/>
        </w:trPr>
        <w:tc>
          <w:tcPr>
            <w:tcW w:w="1389" w:type="dxa"/>
            <w:noWrap/>
            <w:vAlign w:val="center"/>
          </w:tcPr>
          <w:p w:rsidR="00E7613D" w:rsidRPr="00E23B37" w:rsidRDefault="00E7613D" w:rsidP="00E7613D">
            <w:pPr>
              <w:spacing w:after="240"/>
              <w:rPr>
                <w:rFonts w:cstheme="minorHAnsi"/>
                <w:color w:val="000000"/>
              </w:rPr>
            </w:pPr>
            <w:r>
              <w:rPr>
                <w:rFonts w:cstheme="minorHAnsi"/>
                <w:color w:val="000000"/>
              </w:rPr>
              <w:t>Employment</w:t>
            </w:r>
          </w:p>
        </w:tc>
        <w:tc>
          <w:tcPr>
            <w:tcW w:w="1073" w:type="dxa"/>
            <w:noWrap/>
            <w:vAlign w:val="center"/>
          </w:tcPr>
          <w:p w:rsidR="00E7613D" w:rsidRDefault="00E7613D" w:rsidP="00E7613D">
            <w:pPr>
              <w:spacing w:after="240"/>
              <w:rPr>
                <w:rFonts w:cstheme="minorHAnsi"/>
              </w:rPr>
            </w:pPr>
            <w:r>
              <w:rPr>
                <w:rFonts w:cstheme="minorHAnsi"/>
              </w:rPr>
              <w:t>15 and over</w:t>
            </w:r>
          </w:p>
        </w:tc>
        <w:tc>
          <w:tcPr>
            <w:tcW w:w="4751" w:type="dxa"/>
            <w:noWrap/>
            <w:vAlign w:val="center"/>
          </w:tcPr>
          <w:p w:rsidR="00E7613D" w:rsidRDefault="00E7613D" w:rsidP="00E7613D">
            <w:pPr>
              <w:spacing w:after="240"/>
              <w:rPr>
                <w:rFonts w:cstheme="minorHAnsi"/>
              </w:rPr>
            </w:pPr>
            <w:r w:rsidRPr="00AC35E8">
              <w:rPr>
                <w:rFonts w:cstheme="minorHAnsi"/>
              </w:rPr>
              <w:t xml:space="preserve">For those who are currently not in a paid job, but would like one, % who </w:t>
            </w:r>
            <w:r>
              <w:rPr>
                <w:rFonts w:cstheme="minorHAnsi"/>
              </w:rPr>
              <w:t>have been assisted to get a job</w:t>
            </w:r>
          </w:p>
        </w:tc>
        <w:tc>
          <w:tcPr>
            <w:tcW w:w="2365" w:type="dxa"/>
            <w:noWrap/>
            <w:vAlign w:val="center"/>
          </w:tcPr>
          <w:p w:rsidR="00E7613D" w:rsidRDefault="00E7613D" w:rsidP="00E7613D">
            <w:pPr>
              <w:spacing w:after="240"/>
              <w:rPr>
                <w:rFonts w:cstheme="minorHAnsi"/>
              </w:rPr>
            </w:pPr>
            <w:r>
              <w:rPr>
                <w:rFonts w:cstheme="minorHAnsi"/>
              </w:rPr>
              <w:t>Improvement</w:t>
            </w:r>
          </w:p>
        </w:tc>
      </w:tr>
      <w:tr w:rsidR="00E7613D" w:rsidRPr="00715092" w:rsidTr="009B241D">
        <w:trPr>
          <w:trHeight w:val="436"/>
        </w:trPr>
        <w:tc>
          <w:tcPr>
            <w:tcW w:w="1389" w:type="dxa"/>
            <w:noWrap/>
            <w:vAlign w:val="center"/>
          </w:tcPr>
          <w:p w:rsidR="00E7613D" w:rsidRPr="00E23B37" w:rsidRDefault="00E7613D" w:rsidP="00E7613D">
            <w:pPr>
              <w:spacing w:after="240"/>
              <w:rPr>
                <w:rFonts w:cstheme="minorHAnsi"/>
                <w:color w:val="000000"/>
              </w:rPr>
            </w:pPr>
            <w:r>
              <w:rPr>
                <w:rFonts w:cstheme="minorHAnsi"/>
                <w:color w:val="000000"/>
              </w:rPr>
              <w:t>Health and wellbeing</w:t>
            </w:r>
          </w:p>
        </w:tc>
        <w:tc>
          <w:tcPr>
            <w:tcW w:w="1073" w:type="dxa"/>
            <w:noWrap/>
            <w:vAlign w:val="center"/>
          </w:tcPr>
          <w:p w:rsidR="00E7613D" w:rsidRDefault="00E7613D" w:rsidP="00E7613D">
            <w:pPr>
              <w:spacing w:after="240"/>
              <w:rPr>
                <w:rFonts w:cstheme="minorHAnsi"/>
              </w:rPr>
            </w:pPr>
            <w:r>
              <w:rPr>
                <w:rFonts w:cstheme="minorHAnsi"/>
              </w:rPr>
              <w:t>15 and over</w:t>
            </w:r>
          </w:p>
        </w:tc>
        <w:tc>
          <w:tcPr>
            <w:tcW w:w="4751" w:type="dxa"/>
            <w:noWrap/>
            <w:vAlign w:val="center"/>
          </w:tcPr>
          <w:p w:rsidR="00E7613D" w:rsidRDefault="00E7613D" w:rsidP="00E7613D">
            <w:pPr>
              <w:spacing w:after="240"/>
              <w:rPr>
                <w:rFonts w:cstheme="minorHAnsi"/>
              </w:rPr>
            </w:pPr>
            <w:r w:rsidRPr="00AC35E8">
              <w:rPr>
                <w:rFonts w:cstheme="minorHAnsi"/>
              </w:rPr>
              <w:t>% who have a doc</w:t>
            </w:r>
            <w:r>
              <w:rPr>
                <w:rFonts w:cstheme="minorHAnsi"/>
              </w:rPr>
              <w:t>tor they see on a regular basis</w:t>
            </w:r>
          </w:p>
        </w:tc>
        <w:tc>
          <w:tcPr>
            <w:tcW w:w="2365" w:type="dxa"/>
            <w:noWrap/>
            <w:vAlign w:val="center"/>
          </w:tcPr>
          <w:p w:rsidR="00E7613D" w:rsidRDefault="00E7613D" w:rsidP="00E7613D">
            <w:pPr>
              <w:spacing w:after="240"/>
              <w:rPr>
                <w:rFonts w:cstheme="minorHAnsi"/>
              </w:rPr>
            </w:pPr>
            <w:r>
              <w:rPr>
                <w:rFonts w:cstheme="minorHAnsi"/>
              </w:rPr>
              <w:t>Improvement</w:t>
            </w:r>
          </w:p>
        </w:tc>
      </w:tr>
      <w:tr w:rsidR="00E7613D" w:rsidRPr="00715092" w:rsidTr="009B241D">
        <w:trPr>
          <w:trHeight w:val="436"/>
        </w:trPr>
        <w:tc>
          <w:tcPr>
            <w:tcW w:w="1389" w:type="dxa"/>
            <w:noWrap/>
            <w:vAlign w:val="center"/>
          </w:tcPr>
          <w:p w:rsidR="00E7613D" w:rsidRPr="00E23B37" w:rsidRDefault="00E7613D" w:rsidP="00E7613D">
            <w:pPr>
              <w:spacing w:after="240"/>
              <w:rPr>
                <w:rFonts w:cstheme="minorHAnsi"/>
                <w:color w:val="000000"/>
              </w:rPr>
            </w:pPr>
            <w:r>
              <w:rPr>
                <w:rFonts w:cstheme="minorHAnsi"/>
                <w:color w:val="000000"/>
              </w:rPr>
              <w:t>Health and wellbeing</w:t>
            </w:r>
          </w:p>
        </w:tc>
        <w:tc>
          <w:tcPr>
            <w:tcW w:w="1073" w:type="dxa"/>
            <w:noWrap/>
            <w:vAlign w:val="center"/>
          </w:tcPr>
          <w:p w:rsidR="00E7613D" w:rsidRDefault="00E7613D" w:rsidP="00E7613D">
            <w:pPr>
              <w:spacing w:after="240"/>
              <w:rPr>
                <w:rFonts w:cstheme="minorHAnsi"/>
              </w:rPr>
            </w:pPr>
            <w:r>
              <w:rPr>
                <w:rFonts w:cstheme="minorHAnsi"/>
              </w:rPr>
              <w:t>15 and over</w:t>
            </w:r>
          </w:p>
        </w:tc>
        <w:tc>
          <w:tcPr>
            <w:tcW w:w="4751" w:type="dxa"/>
            <w:noWrap/>
            <w:vAlign w:val="center"/>
          </w:tcPr>
          <w:p w:rsidR="00E7613D" w:rsidRDefault="00E7613D" w:rsidP="00E7613D">
            <w:pPr>
              <w:spacing w:after="240"/>
              <w:rPr>
                <w:rFonts w:cstheme="minorHAnsi"/>
              </w:rPr>
            </w:pPr>
            <w:r w:rsidRPr="00AC35E8">
              <w:rPr>
                <w:rFonts w:cstheme="minorHAnsi"/>
              </w:rPr>
              <w:t>% who did not have any difficu</w:t>
            </w:r>
            <w:r>
              <w:rPr>
                <w:rFonts w:cstheme="minorHAnsi"/>
              </w:rPr>
              <w:t>lties accessing health services</w:t>
            </w:r>
          </w:p>
        </w:tc>
        <w:tc>
          <w:tcPr>
            <w:tcW w:w="2365" w:type="dxa"/>
            <w:noWrap/>
            <w:vAlign w:val="center"/>
          </w:tcPr>
          <w:p w:rsidR="00E7613D" w:rsidRDefault="00E7613D" w:rsidP="00E7613D">
            <w:pPr>
              <w:spacing w:after="240"/>
              <w:rPr>
                <w:rFonts w:cstheme="minorHAnsi"/>
              </w:rPr>
            </w:pPr>
            <w:r>
              <w:rPr>
                <w:rFonts w:cstheme="minorHAnsi"/>
              </w:rPr>
              <w:t>Improvement</w:t>
            </w:r>
          </w:p>
        </w:tc>
      </w:tr>
      <w:tr w:rsidR="00E7613D" w:rsidRPr="00715092" w:rsidTr="009B241D">
        <w:trPr>
          <w:trHeight w:val="436"/>
        </w:trPr>
        <w:tc>
          <w:tcPr>
            <w:tcW w:w="1389" w:type="dxa"/>
            <w:noWrap/>
            <w:vAlign w:val="center"/>
          </w:tcPr>
          <w:p w:rsidR="00E7613D" w:rsidRPr="00E23B37" w:rsidRDefault="00E7613D" w:rsidP="00E7613D">
            <w:pPr>
              <w:spacing w:after="240"/>
              <w:rPr>
                <w:rFonts w:cstheme="minorHAnsi"/>
                <w:color w:val="000000"/>
              </w:rPr>
            </w:pPr>
            <w:r>
              <w:rPr>
                <w:rFonts w:cstheme="minorHAnsi"/>
                <w:color w:val="000000"/>
              </w:rPr>
              <w:t>Health and wellbeing</w:t>
            </w:r>
          </w:p>
        </w:tc>
        <w:tc>
          <w:tcPr>
            <w:tcW w:w="1073" w:type="dxa"/>
            <w:noWrap/>
            <w:vAlign w:val="center"/>
          </w:tcPr>
          <w:p w:rsidR="00E7613D" w:rsidRDefault="00E7613D" w:rsidP="00E7613D">
            <w:pPr>
              <w:spacing w:after="240"/>
              <w:rPr>
                <w:rFonts w:cstheme="minorHAnsi"/>
              </w:rPr>
            </w:pPr>
            <w:r>
              <w:rPr>
                <w:rFonts w:cstheme="minorHAnsi"/>
              </w:rPr>
              <w:t>15 and over</w:t>
            </w:r>
          </w:p>
        </w:tc>
        <w:tc>
          <w:tcPr>
            <w:tcW w:w="4751" w:type="dxa"/>
            <w:noWrap/>
            <w:vAlign w:val="center"/>
          </w:tcPr>
          <w:p w:rsidR="00E7613D" w:rsidRDefault="00E7613D" w:rsidP="00E7613D">
            <w:pPr>
              <w:spacing w:after="240"/>
              <w:rPr>
                <w:rFonts w:cstheme="minorHAnsi"/>
              </w:rPr>
            </w:pPr>
            <w:r w:rsidRPr="00AC35E8">
              <w:rPr>
                <w:rFonts w:cstheme="minorHAnsi"/>
              </w:rPr>
              <w:t>% who have been to</w:t>
            </w:r>
            <w:r>
              <w:rPr>
                <w:rFonts w:cstheme="minorHAnsi"/>
              </w:rPr>
              <w:t xml:space="preserve"> hospital in the last 12 months</w:t>
            </w:r>
          </w:p>
        </w:tc>
        <w:tc>
          <w:tcPr>
            <w:tcW w:w="2365" w:type="dxa"/>
            <w:noWrap/>
            <w:vAlign w:val="center"/>
          </w:tcPr>
          <w:p w:rsidR="00E7613D" w:rsidRDefault="00E7613D" w:rsidP="00E7613D">
            <w:pPr>
              <w:spacing w:after="240"/>
              <w:rPr>
                <w:rFonts w:cstheme="minorHAnsi"/>
              </w:rPr>
            </w:pPr>
            <w:r>
              <w:rPr>
                <w:rFonts w:cstheme="minorHAnsi"/>
              </w:rPr>
              <w:t>Improvement</w:t>
            </w:r>
          </w:p>
        </w:tc>
      </w:tr>
      <w:tr w:rsidR="00E7613D" w:rsidRPr="00715092" w:rsidTr="009B241D">
        <w:trPr>
          <w:trHeight w:val="436"/>
        </w:trPr>
        <w:tc>
          <w:tcPr>
            <w:tcW w:w="1389" w:type="dxa"/>
            <w:noWrap/>
            <w:vAlign w:val="center"/>
          </w:tcPr>
          <w:p w:rsidR="00E7613D" w:rsidRPr="00E23B37" w:rsidRDefault="00E7613D" w:rsidP="00E7613D">
            <w:pPr>
              <w:spacing w:after="240"/>
              <w:rPr>
                <w:rFonts w:cstheme="minorHAnsi"/>
                <w:color w:val="000000"/>
              </w:rPr>
            </w:pPr>
            <w:r>
              <w:rPr>
                <w:rFonts w:cstheme="minorHAnsi"/>
                <w:color w:val="000000"/>
              </w:rPr>
              <w:t>Health and wellbeing</w:t>
            </w:r>
          </w:p>
        </w:tc>
        <w:tc>
          <w:tcPr>
            <w:tcW w:w="1073" w:type="dxa"/>
            <w:noWrap/>
            <w:vAlign w:val="center"/>
          </w:tcPr>
          <w:p w:rsidR="00E7613D" w:rsidRDefault="00E7613D" w:rsidP="00E7613D">
            <w:pPr>
              <w:spacing w:after="240"/>
              <w:rPr>
                <w:rFonts w:cstheme="minorHAnsi"/>
              </w:rPr>
            </w:pPr>
            <w:r>
              <w:rPr>
                <w:rFonts w:cstheme="minorHAnsi"/>
              </w:rPr>
              <w:t>15 and over</w:t>
            </w:r>
          </w:p>
        </w:tc>
        <w:tc>
          <w:tcPr>
            <w:tcW w:w="4751" w:type="dxa"/>
            <w:noWrap/>
            <w:vAlign w:val="center"/>
          </w:tcPr>
          <w:p w:rsidR="00E7613D" w:rsidRDefault="00E7613D" w:rsidP="00E7613D">
            <w:pPr>
              <w:spacing w:after="240"/>
              <w:rPr>
                <w:rFonts w:cstheme="minorHAnsi"/>
              </w:rPr>
            </w:pPr>
            <w:r w:rsidRPr="00AC35E8">
              <w:rPr>
                <w:rFonts w:cstheme="minorHAnsi"/>
              </w:rPr>
              <w:t xml:space="preserve">% who rate their health </w:t>
            </w:r>
            <w:r>
              <w:rPr>
                <w:rFonts w:cstheme="minorHAnsi"/>
              </w:rPr>
              <w:t>as excellent, very good or good</w:t>
            </w:r>
          </w:p>
        </w:tc>
        <w:tc>
          <w:tcPr>
            <w:tcW w:w="2365" w:type="dxa"/>
            <w:noWrap/>
            <w:vAlign w:val="center"/>
          </w:tcPr>
          <w:p w:rsidR="00E7613D" w:rsidRDefault="00E7613D" w:rsidP="00E7613D">
            <w:pPr>
              <w:spacing w:after="240"/>
              <w:rPr>
                <w:rFonts w:cstheme="minorHAnsi"/>
              </w:rPr>
            </w:pPr>
            <w:r>
              <w:rPr>
                <w:rFonts w:cstheme="minorHAnsi"/>
              </w:rPr>
              <w:t>Deterioration</w:t>
            </w:r>
          </w:p>
        </w:tc>
      </w:tr>
      <w:tr w:rsidR="00E7613D" w:rsidRPr="00715092" w:rsidTr="009B241D">
        <w:trPr>
          <w:trHeight w:val="436"/>
        </w:trPr>
        <w:tc>
          <w:tcPr>
            <w:tcW w:w="1389" w:type="dxa"/>
            <w:noWrap/>
            <w:vAlign w:val="center"/>
          </w:tcPr>
          <w:p w:rsidR="00E7613D" w:rsidRPr="00E23B37" w:rsidRDefault="00E7613D" w:rsidP="00E7613D">
            <w:pPr>
              <w:spacing w:after="240"/>
              <w:rPr>
                <w:rFonts w:cstheme="minorHAnsi"/>
                <w:color w:val="000000"/>
              </w:rPr>
            </w:pPr>
            <w:r>
              <w:rPr>
                <w:rFonts w:cstheme="minorHAnsi"/>
                <w:color w:val="000000"/>
              </w:rPr>
              <w:t>Health and wellbeing</w:t>
            </w:r>
          </w:p>
        </w:tc>
        <w:tc>
          <w:tcPr>
            <w:tcW w:w="1073" w:type="dxa"/>
            <w:noWrap/>
            <w:vAlign w:val="center"/>
          </w:tcPr>
          <w:p w:rsidR="00E7613D" w:rsidRDefault="00E7613D" w:rsidP="00E7613D">
            <w:pPr>
              <w:spacing w:after="240"/>
              <w:rPr>
                <w:rFonts w:cstheme="minorHAnsi"/>
              </w:rPr>
            </w:pPr>
            <w:r>
              <w:rPr>
                <w:rFonts w:cstheme="minorHAnsi"/>
              </w:rPr>
              <w:t>15 and over</w:t>
            </w:r>
          </w:p>
        </w:tc>
        <w:tc>
          <w:tcPr>
            <w:tcW w:w="4751" w:type="dxa"/>
            <w:noWrap/>
            <w:vAlign w:val="center"/>
          </w:tcPr>
          <w:p w:rsidR="00E7613D" w:rsidRDefault="00E7613D" w:rsidP="00E7613D">
            <w:pPr>
              <w:spacing w:after="240"/>
              <w:rPr>
                <w:rFonts w:cstheme="minorHAnsi"/>
              </w:rPr>
            </w:pPr>
            <w:r w:rsidRPr="00AC35E8">
              <w:rPr>
                <w:rFonts w:cstheme="minorHAnsi"/>
              </w:rPr>
              <w:t>% who feel delighted, pleased or mostly satisfied about their life in</w:t>
            </w:r>
            <w:r>
              <w:rPr>
                <w:rFonts w:cstheme="minorHAnsi"/>
              </w:rPr>
              <w:t xml:space="preserve"> general, now and in the future</w:t>
            </w:r>
          </w:p>
        </w:tc>
        <w:tc>
          <w:tcPr>
            <w:tcW w:w="2365" w:type="dxa"/>
            <w:noWrap/>
            <w:vAlign w:val="center"/>
          </w:tcPr>
          <w:p w:rsidR="00E7613D" w:rsidRDefault="00E7613D" w:rsidP="00E7613D">
            <w:pPr>
              <w:spacing w:after="240"/>
              <w:rPr>
                <w:rFonts w:cstheme="minorHAnsi"/>
              </w:rPr>
            </w:pPr>
            <w:r>
              <w:rPr>
                <w:rFonts w:cstheme="minorHAnsi"/>
              </w:rPr>
              <w:t>Improvement</w:t>
            </w:r>
          </w:p>
        </w:tc>
      </w:tr>
      <w:tr w:rsidR="00E7613D" w:rsidRPr="00715092" w:rsidTr="009B241D">
        <w:trPr>
          <w:trHeight w:val="436"/>
        </w:trPr>
        <w:tc>
          <w:tcPr>
            <w:tcW w:w="1389" w:type="dxa"/>
            <w:noWrap/>
            <w:vAlign w:val="center"/>
          </w:tcPr>
          <w:p w:rsidR="00E7613D" w:rsidRPr="00E23B37" w:rsidRDefault="00E7613D" w:rsidP="00E7613D">
            <w:pPr>
              <w:spacing w:after="240"/>
              <w:rPr>
                <w:rFonts w:cstheme="minorHAnsi"/>
                <w:color w:val="000000"/>
              </w:rPr>
            </w:pPr>
            <w:r>
              <w:rPr>
                <w:rFonts w:cstheme="minorHAnsi"/>
                <w:color w:val="000000"/>
              </w:rPr>
              <w:lastRenderedPageBreak/>
              <w:t>Health and wellbeing</w:t>
            </w:r>
          </w:p>
        </w:tc>
        <w:tc>
          <w:tcPr>
            <w:tcW w:w="1073" w:type="dxa"/>
            <w:noWrap/>
            <w:vAlign w:val="center"/>
          </w:tcPr>
          <w:p w:rsidR="00E7613D" w:rsidRDefault="00E7613D" w:rsidP="00E7613D">
            <w:pPr>
              <w:spacing w:after="240"/>
              <w:rPr>
                <w:rFonts w:cstheme="minorHAnsi"/>
              </w:rPr>
            </w:pPr>
            <w:r>
              <w:rPr>
                <w:rFonts w:cstheme="minorHAnsi"/>
              </w:rPr>
              <w:t>15 and over</w:t>
            </w:r>
          </w:p>
        </w:tc>
        <w:tc>
          <w:tcPr>
            <w:tcW w:w="4751" w:type="dxa"/>
            <w:noWrap/>
            <w:vAlign w:val="center"/>
          </w:tcPr>
          <w:p w:rsidR="00E7613D" w:rsidRDefault="00E7613D" w:rsidP="00E7613D">
            <w:pPr>
              <w:spacing w:after="240"/>
              <w:rPr>
                <w:rFonts w:cstheme="minorHAnsi"/>
              </w:rPr>
            </w:pPr>
            <w:r w:rsidRPr="00AC35E8">
              <w:rPr>
                <w:rFonts w:cstheme="minorHAnsi"/>
              </w:rPr>
              <w:t>% who have received the flu vaccination in the past</w:t>
            </w:r>
            <w:r>
              <w:rPr>
                <w:rFonts w:cstheme="minorHAnsi"/>
              </w:rPr>
              <w:t xml:space="preserve"> 12 months</w:t>
            </w:r>
          </w:p>
        </w:tc>
        <w:tc>
          <w:tcPr>
            <w:tcW w:w="2365" w:type="dxa"/>
            <w:noWrap/>
            <w:vAlign w:val="center"/>
          </w:tcPr>
          <w:p w:rsidR="00E7613D" w:rsidRDefault="00E7613D" w:rsidP="00E7613D">
            <w:pPr>
              <w:spacing w:after="240"/>
              <w:rPr>
                <w:rFonts w:cstheme="minorHAnsi"/>
              </w:rPr>
            </w:pPr>
            <w:r>
              <w:rPr>
                <w:rFonts w:cstheme="minorHAnsi"/>
              </w:rPr>
              <w:t>Improvement</w:t>
            </w:r>
          </w:p>
        </w:tc>
      </w:tr>
      <w:tr w:rsidR="00E7613D" w:rsidRPr="00715092" w:rsidTr="009B241D">
        <w:trPr>
          <w:trHeight w:val="436"/>
        </w:trPr>
        <w:tc>
          <w:tcPr>
            <w:tcW w:w="1389" w:type="dxa"/>
            <w:noWrap/>
            <w:vAlign w:val="center"/>
          </w:tcPr>
          <w:p w:rsidR="00E7613D" w:rsidRPr="00E23B37" w:rsidRDefault="00E7613D" w:rsidP="00E7613D">
            <w:pPr>
              <w:spacing w:after="240"/>
              <w:rPr>
                <w:rFonts w:cstheme="minorHAnsi"/>
                <w:color w:val="000000"/>
              </w:rPr>
            </w:pPr>
            <w:r>
              <w:rPr>
                <w:rFonts w:cstheme="minorHAnsi"/>
                <w:color w:val="000000"/>
              </w:rPr>
              <w:t>Health and wellbeing</w:t>
            </w:r>
          </w:p>
        </w:tc>
        <w:tc>
          <w:tcPr>
            <w:tcW w:w="1073" w:type="dxa"/>
            <w:noWrap/>
            <w:vAlign w:val="center"/>
          </w:tcPr>
          <w:p w:rsidR="00E7613D" w:rsidRDefault="00E7613D" w:rsidP="00E7613D">
            <w:pPr>
              <w:spacing w:after="240"/>
              <w:rPr>
                <w:rFonts w:cstheme="minorHAnsi"/>
              </w:rPr>
            </w:pPr>
            <w:r>
              <w:rPr>
                <w:rFonts w:cstheme="minorHAnsi"/>
              </w:rPr>
              <w:t>15 and over</w:t>
            </w:r>
          </w:p>
        </w:tc>
        <w:tc>
          <w:tcPr>
            <w:tcW w:w="4751" w:type="dxa"/>
            <w:noWrap/>
            <w:vAlign w:val="center"/>
          </w:tcPr>
          <w:p w:rsidR="00E7613D" w:rsidRDefault="00E7613D" w:rsidP="00E7613D">
            <w:pPr>
              <w:spacing w:after="240"/>
              <w:rPr>
                <w:rFonts w:cstheme="minorHAnsi"/>
              </w:rPr>
            </w:pPr>
            <w:r w:rsidRPr="00AC35E8">
              <w:rPr>
                <w:rFonts w:cstheme="minorHAnsi"/>
              </w:rPr>
              <w:t>% who have visited a dentist in the past 12 months</w:t>
            </w:r>
          </w:p>
        </w:tc>
        <w:tc>
          <w:tcPr>
            <w:tcW w:w="2365" w:type="dxa"/>
            <w:noWrap/>
            <w:vAlign w:val="center"/>
          </w:tcPr>
          <w:p w:rsidR="00E7613D" w:rsidRDefault="00E7613D" w:rsidP="00E7613D">
            <w:pPr>
              <w:spacing w:after="240"/>
              <w:rPr>
                <w:rFonts w:cstheme="minorHAnsi"/>
              </w:rPr>
            </w:pPr>
            <w:r>
              <w:rPr>
                <w:rFonts w:cstheme="minorHAnsi"/>
              </w:rPr>
              <w:t>Deterioration</w:t>
            </w:r>
          </w:p>
        </w:tc>
      </w:tr>
    </w:tbl>
    <w:p w:rsidR="00B83265" w:rsidRPr="00AC35E8" w:rsidRDefault="00B83265" w:rsidP="00B83265"/>
    <w:p w:rsidR="00B83265" w:rsidRPr="002817DE" w:rsidRDefault="00B83265" w:rsidP="002817DE">
      <w:pPr>
        <w:pStyle w:val="Heading2"/>
      </w:pPr>
      <w:bookmarkStart w:id="54" w:name="_Toc121151426"/>
      <w:r w:rsidRPr="002817DE">
        <w:t>Slide 44: Participants aged 15 and over – Lifelong learning</w:t>
      </w:r>
      <w:bookmarkEnd w:id="52"/>
      <w:bookmarkEnd w:id="54"/>
    </w:p>
    <w:p w:rsidR="00B83265" w:rsidRPr="00C244FA" w:rsidRDefault="00B83265" w:rsidP="00B83265">
      <w:pPr>
        <w:spacing w:after="240"/>
        <w:rPr>
          <w:rFonts w:cstheme="minorHAnsi"/>
          <w:b/>
        </w:rPr>
      </w:pPr>
      <w:r w:rsidRPr="00C244FA">
        <w:rPr>
          <w:rFonts w:cstheme="minorHAnsi"/>
          <w:b/>
        </w:rPr>
        <w:t>Do you get opportunities to learn new things?</w:t>
      </w:r>
    </w:p>
    <w:p w:rsidR="00B83265" w:rsidRPr="00DD182F" w:rsidRDefault="00B83265" w:rsidP="00B83265">
      <w:pPr>
        <w:spacing w:after="240"/>
        <w:rPr>
          <w:rFonts w:cstheme="minorHAnsi"/>
        </w:rPr>
      </w:pPr>
      <w:r w:rsidRPr="00DD182F">
        <w:rPr>
          <w:rFonts w:cstheme="minorHAnsi"/>
        </w:rPr>
        <w:t>Overall, there is an increasing trend in the percentage of participants who reported getting opportunities to learn new things. The percentage increased (compared to baseline) by between 4.4 and 4.9 percentage points for the C3, C4 and C5 cohorts. However, the trend for this indicator differs by age group:</w:t>
      </w:r>
    </w:p>
    <w:p w:rsidR="00B83265" w:rsidRDefault="00B83265" w:rsidP="00B83265">
      <w:pPr>
        <w:pStyle w:val="ListParagraph"/>
        <w:numPr>
          <w:ilvl w:val="0"/>
          <w:numId w:val="23"/>
        </w:numPr>
        <w:spacing w:after="240"/>
        <w:rPr>
          <w:rFonts w:cstheme="minorHAnsi"/>
        </w:rPr>
      </w:pPr>
      <w:r w:rsidRPr="00DD182F">
        <w:rPr>
          <w:rFonts w:cstheme="minorHAnsi"/>
        </w:rPr>
        <w:t>A much higher percentage of participants in the S-14/15-24 reported positively on this indicator (i.e. above 73%) compared to other age groups. However there was no large longitudinal change except for cohort 4, where there was a deterioration between baseline and fourth review.</w:t>
      </w:r>
    </w:p>
    <w:p w:rsidR="00B83265" w:rsidRDefault="00B83265" w:rsidP="00B83265">
      <w:pPr>
        <w:pStyle w:val="ListParagraph"/>
        <w:numPr>
          <w:ilvl w:val="0"/>
          <w:numId w:val="23"/>
        </w:numPr>
        <w:spacing w:after="240"/>
        <w:rPr>
          <w:rFonts w:cstheme="minorHAnsi"/>
        </w:rPr>
      </w:pPr>
      <w:r w:rsidRPr="00DD182F">
        <w:rPr>
          <w:rFonts w:cstheme="minorHAnsi"/>
        </w:rPr>
        <w:t>The 15-24 age group had the next highest percentage of participants reporting positively on this indicator - 66% at fifth review (cohort 5), with a modest 2.2 to 3.0 percentage point increase between baseline and latest review (across all cohorts).</w:t>
      </w:r>
    </w:p>
    <w:p w:rsidR="00B83265" w:rsidRDefault="00B83265" w:rsidP="00B83265">
      <w:pPr>
        <w:pStyle w:val="ListParagraph"/>
        <w:numPr>
          <w:ilvl w:val="0"/>
          <w:numId w:val="23"/>
        </w:numPr>
        <w:spacing w:after="240"/>
        <w:rPr>
          <w:rFonts w:cstheme="minorHAnsi"/>
        </w:rPr>
      </w:pPr>
      <w:r w:rsidRPr="00DD182F">
        <w:rPr>
          <w:rFonts w:cstheme="minorHAnsi"/>
        </w:rPr>
        <w:t>The 15-24/25+ age group had a strong increasing trend, with gains of between 10.5 and 13.2 percentage points for cohorts 1 through 4.</w:t>
      </w:r>
    </w:p>
    <w:p w:rsidR="00B83265" w:rsidRPr="00DD182F" w:rsidRDefault="00B83265" w:rsidP="00B83265">
      <w:pPr>
        <w:pStyle w:val="ListParagraph"/>
        <w:numPr>
          <w:ilvl w:val="0"/>
          <w:numId w:val="23"/>
        </w:numPr>
        <w:spacing w:after="240"/>
        <w:rPr>
          <w:rFonts w:cstheme="minorHAnsi"/>
        </w:rPr>
      </w:pPr>
      <w:r w:rsidRPr="00DD182F">
        <w:rPr>
          <w:rFonts w:cstheme="minorHAnsi"/>
        </w:rPr>
        <w:t>The 25+ age group also showed an increasing trend - between 2.3 and 5.0 percentage points. However, the group had a lower percentage of participants responding positively on the indictor, when compared to the other age groups.</w:t>
      </w:r>
    </w:p>
    <w:p w:rsidR="00B83265" w:rsidRDefault="00B83265" w:rsidP="00B83265">
      <w:pPr>
        <w:spacing w:after="240"/>
        <w:rPr>
          <w:rFonts w:cstheme="minorHAnsi"/>
        </w:rPr>
      </w:pPr>
      <w:r>
        <w:rPr>
          <w:rFonts w:cstheme="minorHAnsi"/>
        </w:rPr>
        <w:t xml:space="preserve">Five </w:t>
      </w:r>
      <w:r w:rsidR="00A7477C">
        <w:rPr>
          <w:rFonts w:cstheme="minorHAnsi"/>
        </w:rPr>
        <w:t xml:space="preserve">line </w:t>
      </w:r>
      <w:r w:rsidRPr="00715092">
        <w:rPr>
          <w:rFonts w:cstheme="minorHAnsi"/>
        </w:rPr>
        <w:t xml:space="preserve">charts show the percentage who </w:t>
      </w:r>
      <w:r>
        <w:rPr>
          <w:rFonts w:cstheme="minorHAnsi"/>
        </w:rPr>
        <w:t>get opportunities to learn new things at</w:t>
      </w:r>
      <w:r w:rsidRPr="00715092">
        <w:rPr>
          <w:rFonts w:cstheme="minorHAnsi"/>
        </w:rPr>
        <w:t xml:space="preserve"> baseline and at subsequent reviews, separately for participants in the </w:t>
      </w:r>
      <w:r>
        <w:rPr>
          <w:rFonts w:cstheme="minorHAnsi"/>
        </w:rPr>
        <w:t xml:space="preserve">five years, </w:t>
      </w:r>
      <w:r w:rsidRPr="00715092">
        <w:rPr>
          <w:rFonts w:cstheme="minorHAnsi"/>
        </w:rPr>
        <w:t>four years, three years, two years or one year</w:t>
      </w:r>
      <w:r w:rsidR="00C869A5">
        <w:rPr>
          <w:rFonts w:cstheme="minorHAnsi"/>
        </w:rPr>
        <w:t xml:space="preserve"> cohorts</w:t>
      </w:r>
      <w:r w:rsidRPr="00715092">
        <w:rPr>
          <w:rFonts w:cstheme="minorHAnsi"/>
        </w:rPr>
        <w:t>.</w:t>
      </w:r>
      <w:r w:rsidR="00A7477C">
        <w:rPr>
          <w:rFonts w:cstheme="minorHAnsi"/>
        </w:rPr>
        <w:t xml:space="preserve"> Separate lines on each chart show results for </w:t>
      </w:r>
      <w:r w:rsidR="005A6CCC">
        <w:rPr>
          <w:rFonts w:cstheme="minorHAnsi"/>
        </w:rPr>
        <w:t xml:space="preserve">all participants, and for </w:t>
      </w:r>
      <w:r w:rsidR="00A7477C">
        <w:rPr>
          <w:rFonts w:cstheme="minorHAnsi"/>
        </w:rPr>
        <w:t xml:space="preserve">participants in the S-14/15-24, 15-24, 15-24/25+ </w:t>
      </w:r>
      <w:r w:rsidR="005A6CCC">
        <w:rPr>
          <w:rFonts w:cstheme="minorHAnsi"/>
        </w:rPr>
        <w:t>and 25+ age groups.</w:t>
      </w:r>
    </w:p>
    <w:p w:rsidR="005A6CCC" w:rsidRDefault="009E19BB" w:rsidP="00B83265">
      <w:pPr>
        <w:spacing w:after="240"/>
        <w:rPr>
          <w:rFonts w:cstheme="minorHAnsi"/>
        </w:rPr>
      </w:pPr>
      <w:r>
        <w:rPr>
          <w:rFonts w:cstheme="minorHAnsi"/>
        </w:rPr>
        <w:t>For PSto14, analysed by time since first in P15to24, otherwise by time in Scheme.</w:t>
      </w:r>
    </w:p>
    <w:p w:rsidR="00C9157B" w:rsidRDefault="00C9157B" w:rsidP="00B83265">
      <w:pPr>
        <w:spacing w:after="240"/>
        <w:rPr>
          <w:rFonts w:cstheme="minorHAnsi"/>
        </w:rPr>
      </w:pPr>
      <w:r>
        <w:rPr>
          <w:rFonts w:cstheme="minorHAnsi"/>
        </w:rPr>
        <w:t>This indicator improved.</w:t>
      </w:r>
    </w:p>
    <w:p w:rsidR="005A6CCC" w:rsidRDefault="009E19BB" w:rsidP="00B83265">
      <w:pPr>
        <w:spacing w:after="240"/>
        <w:rPr>
          <w:rFonts w:cstheme="minorHAnsi"/>
        </w:rPr>
      </w:pPr>
      <w:r>
        <w:rPr>
          <w:rFonts w:cstheme="minorHAnsi"/>
        </w:rPr>
        <w:t>Results for all participants are labelled on the charts:</w:t>
      </w:r>
    </w:p>
    <w:tbl>
      <w:tblPr>
        <w:tblW w:w="9204" w:type="dxa"/>
        <w:tblLook w:val="04A0" w:firstRow="1" w:lastRow="0" w:firstColumn="1" w:lastColumn="0" w:noHBand="0" w:noVBand="1"/>
      </w:tblPr>
      <w:tblGrid>
        <w:gridCol w:w="1500"/>
        <w:gridCol w:w="1325"/>
        <w:gridCol w:w="1276"/>
        <w:gridCol w:w="1276"/>
        <w:gridCol w:w="1276"/>
        <w:gridCol w:w="1275"/>
        <w:gridCol w:w="1276"/>
      </w:tblGrid>
      <w:tr w:rsidR="009E19BB" w:rsidRPr="00AD165E" w:rsidTr="00632614">
        <w:trPr>
          <w:trHeight w:val="285"/>
        </w:trPr>
        <w:tc>
          <w:tcPr>
            <w:tcW w:w="1500" w:type="dxa"/>
            <w:tcBorders>
              <w:top w:val="single" w:sz="8" w:space="0" w:color="auto"/>
              <w:left w:val="single" w:sz="8" w:space="0" w:color="auto"/>
              <w:bottom w:val="single" w:sz="8" w:space="0" w:color="auto"/>
              <w:right w:val="nil"/>
            </w:tcBorders>
            <w:shd w:val="clear" w:color="auto" w:fill="auto"/>
            <w:noWrap/>
            <w:vAlign w:val="bottom"/>
            <w:hideMark/>
          </w:tcPr>
          <w:p w:rsidR="009E19BB" w:rsidRPr="00AD165E" w:rsidRDefault="009E19BB" w:rsidP="0063261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Cohort</w:t>
            </w:r>
          </w:p>
        </w:tc>
        <w:tc>
          <w:tcPr>
            <w:tcW w:w="13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E19BB" w:rsidRPr="00AD165E" w:rsidRDefault="009E19BB" w:rsidP="0063261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B</w:t>
            </w:r>
            <w:r>
              <w:rPr>
                <w:rFonts w:ascii="Arial" w:eastAsia="Times New Roman" w:hAnsi="Arial" w:cs="Arial"/>
                <w:b/>
                <w:bCs/>
                <w:color w:val="000000"/>
                <w:lang w:eastAsia="en-AU"/>
              </w:rPr>
              <w:t>aseline</w:t>
            </w:r>
          </w:p>
        </w:tc>
        <w:tc>
          <w:tcPr>
            <w:tcW w:w="1276" w:type="dxa"/>
            <w:tcBorders>
              <w:top w:val="single" w:sz="8" w:space="0" w:color="auto"/>
              <w:left w:val="nil"/>
              <w:bottom w:val="single" w:sz="8" w:space="0" w:color="auto"/>
              <w:right w:val="nil"/>
            </w:tcBorders>
            <w:shd w:val="clear" w:color="auto" w:fill="auto"/>
            <w:noWrap/>
            <w:vAlign w:val="bottom"/>
            <w:hideMark/>
          </w:tcPr>
          <w:p w:rsidR="009E19BB" w:rsidRPr="00AD165E" w:rsidRDefault="009E19BB"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1</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E19BB" w:rsidRPr="00AD165E" w:rsidRDefault="009E19BB"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2</w:t>
            </w:r>
          </w:p>
        </w:tc>
        <w:tc>
          <w:tcPr>
            <w:tcW w:w="1276" w:type="dxa"/>
            <w:tcBorders>
              <w:top w:val="single" w:sz="8" w:space="0" w:color="auto"/>
              <w:left w:val="nil"/>
              <w:bottom w:val="single" w:sz="8" w:space="0" w:color="auto"/>
              <w:right w:val="nil"/>
            </w:tcBorders>
            <w:shd w:val="clear" w:color="auto" w:fill="auto"/>
            <w:noWrap/>
            <w:vAlign w:val="bottom"/>
            <w:hideMark/>
          </w:tcPr>
          <w:p w:rsidR="009E19BB" w:rsidRPr="00AD165E" w:rsidRDefault="009E19BB"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3</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E19BB" w:rsidRPr="00AD165E" w:rsidRDefault="009E19BB"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4</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9E19BB" w:rsidRPr="00AD165E" w:rsidRDefault="009E19BB"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5</w:t>
            </w:r>
          </w:p>
        </w:tc>
      </w:tr>
      <w:tr w:rsidR="009E19BB"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9E19BB" w:rsidRPr="00AD165E" w:rsidRDefault="009E19BB" w:rsidP="009E19BB">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5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9E19BB" w:rsidRPr="009E19BB" w:rsidRDefault="009E19BB" w:rsidP="009E19BB">
            <w:pPr>
              <w:spacing w:after="0"/>
              <w:rPr>
                <w:rFonts w:ascii="Arial" w:hAnsi="Arial" w:cs="Arial"/>
              </w:rPr>
            </w:pPr>
            <w:r w:rsidRPr="009E19BB">
              <w:rPr>
                <w:rFonts w:ascii="Arial" w:hAnsi="Arial" w:cs="Arial"/>
              </w:rPr>
              <w:t>51%</w:t>
            </w:r>
          </w:p>
        </w:tc>
        <w:tc>
          <w:tcPr>
            <w:tcW w:w="1276" w:type="dxa"/>
            <w:tcBorders>
              <w:top w:val="nil"/>
              <w:left w:val="nil"/>
              <w:bottom w:val="single" w:sz="4" w:space="0" w:color="auto"/>
              <w:right w:val="nil"/>
            </w:tcBorders>
            <w:shd w:val="clear" w:color="auto" w:fill="auto"/>
            <w:noWrap/>
            <w:vAlign w:val="center"/>
            <w:hideMark/>
          </w:tcPr>
          <w:p w:rsidR="009E19BB" w:rsidRPr="009E19BB" w:rsidRDefault="009E19BB" w:rsidP="009E19BB">
            <w:pPr>
              <w:spacing w:after="0"/>
              <w:rPr>
                <w:rFonts w:ascii="Arial" w:hAnsi="Arial" w:cs="Arial"/>
              </w:rPr>
            </w:pPr>
            <w:r w:rsidRPr="009E19BB">
              <w:rPr>
                <w:rFonts w:ascii="Arial" w:hAnsi="Arial" w:cs="Arial"/>
              </w:rPr>
              <w:t>54%</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9E19BB" w:rsidRPr="009E19BB" w:rsidRDefault="009E19BB" w:rsidP="009E19BB">
            <w:pPr>
              <w:spacing w:after="0"/>
              <w:rPr>
                <w:rFonts w:ascii="Arial" w:hAnsi="Arial" w:cs="Arial"/>
              </w:rPr>
            </w:pPr>
            <w:r w:rsidRPr="009E19BB">
              <w:rPr>
                <w:rFonts w:ascii="Arial" w:hAnsi="Arial" w:cs="Arial"/>
              </w:rPr>
              <w:t>55%</w:t>
            </w:r>
          </w:p>
        </w:tc>
        <w:tc>
          <w:tcPr>
            <w:tcW w:w="1276" w:type="dxa"/>
            <w:tcBorders>
              <w:top w:val="nil"/>
              <w:left w:val="nil"/>
              <w:bottom w:val="single" w:sz="4" w:space="0" w:color="auto"/>
              <w:right w:val="nil"/>
            </w:tcBorders>
            <w:shd w:val="clear" w:color="auto" w:fill="auto"/>
            <w:noWrap/>
            <w:vAlign w:val="center"/>
            <w:hideMark/>
          </w:tcPr>
          <w:p w:rsidR="009E19BB" w:rsidRPr="009E19BB" w:rsidRDefault="009E19BB" w:rsidP="009E19BB">
            <w:pPr>
              <w:spacing w:after="0"/>
              <w:rPr>
                <w:rFonts w:ascii="Arial" w:hAnsi="Arial" w:cs="Arial"/>
              </w:rPr>
            </w:pPr>
            <w:r w:rsidRPr="009E19BB">
              <w:rPr>
                <w:rFonts w:ascii="Arial" w:hAnsi="Arial" w:cs="Arial"/>
              </w:rPr>
              <w:t>55%</w:t>
            </w: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9E19BB" w:rsidRPr="009E19BB" w:rsidRDefault="009E19BB" w:rsidP="009E19BB">
            <w:pPr>
              <w:spacing w:after="0"/>
              <w:rPr>
                <w:rFonts w:ascii="Arial" w:hAnsi="Arial" w:cs="Arial"/>
              </w:rPr>
            </w:pPr>
            <w:r w:rsidRPr="009E19BB">
              <w:rPr>
                <w:rFonts w:ascii="Arial" w:hAnsi="Arial" w:cs="Arial"/>
              </w:rPr>
              <w:t>54%</w:t>
            </w:r>
          </w:p>
        </w:tc>
        <w:tc>
          <w:tcPr>
            <w:tcW w:w="1276" w:type="dxa"/>
            <w:tcBorders>
              <w:top w:val="nil"/>
              <w:left w:val="nil"/>
              <w:bottom w:val="single" w:sz="4" w:space="0" w:color="auto"/>
              <w:right w:val="single" w:sz="8" w:space="0" w:color="auto"/>
            </w:tcBorders>
            <w:shd w:val="clear" w:color="auto" w:fill="auto"/>
            <w:noWrap/>
            <w:vAlign w:val="center"/>
            <w:hideMark/>
          </w:tcPr>
          <w:p w:rsidR="009E19BB" w:rsidRPr="009E19BB" w:rsidRDefault="009E19BB" w:rsidP="009E19BB">
            <w:pPr>
              <w:spacing w:after="0"/>
              <w:rPr>
                <w:rFonts w:ascii="Arial" w:hAnsi="Arial" w:cs="Arial"/>
              </w:rPr>
            </w:pPr>
            <w:r w:rsidRPr="009E19BB">
              <w:rPr>
                <w:rFonts w:ascii="Arial" w:hAnsi="Arial" w:cs="Arial"/>
              </w:rPr>
              <w:t>55%</w:t>
            </w:r>
          </w:p>
        </w:tc>
      </w:tr>
      <w:tr w:rsidR="009E19BB"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9E19BB" w:rsidRPr="00AD165E" w:rsidRDefault="009E19BB" w:rsidP="009E19BB">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4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9E19BB" w:rsidRPr="009E19BB" w:rsidRDefault="009E19BB" w:rsidP="009E19BB">
            <w:pPr>
              <w:spacing w:after="0"/>
              <w:rPr>
                <w:rFonts w:ascii="Arial" w:hAnsi="Arial" w:cs="Arial"/>
              </w:rPr>
            </w:pPr>
            <w:r w:rsidRPr="009E19BB">
              <w:rPr>
                <w:rFonts w:ascii="Arial" w:hAnsi="Arial" w:cs="Arial"/>
              </w:rPr>
              <w:t>49%</w:t>
            </w:r>
          </w:p>
        </w:tc>
        <w:tc>
          <w:tcPr>
            <w:tcW w:w="1276" w:type="dxa"/>
            <w:tcBorders>
              <w:top w:val="nil"/>
              <w:left w:val="nil"/>
              <w:bottom w:val="single" w:sz="4" w:space="0" w:color="auto"/>
              <w:right w:val="nil"/>
            </w:tcBorders>
            <w:shd w:val="clear" w:color="auto" w:fill="auto"/>
            <w:noWrap/>
            <w:vAlign w:val="center"/>
            <w:hideMark/>
          </w:tcPr>
          <w:p w:rsidR="009E19BB" w:rsidRPr="009E19BB" w:rsidRDefault="009E19BB" w:rsidP="009E19BB">
            <w:pPr>
              <w:spacing w:after="0"/>
              <w:rPr>
                <w:rFonts w:ascii="Arial" w:hAnsi="Arial" w:cs="Arial"/>
              </w:rPr>
            </w:pPr>
            <w:r w:rsidRPr="009E19BB">
              <w:rPr>
                <w:rFonts w:ascii="Arial" w:hAnsi="Arial" w:cs="Arial"/>
              </w:rPr>
              <w:t>51%</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9E19BB" w:rsidRPr="009E19BB" w:rsidRDefault="009E19BB" w:rsidP="009E19BB">
            <w:pPr>
              <w:spacing w:after="0"/>
              <w:rPr>
                <w:rFonts w:ascii="Arial" w:hAnsi="Arial" w:cs="Arial"/>
              </w:rPr>
            </w:pPr>
            <w:r w:rsidRPr="009E19BB">
              <w:rPr>
                <w:rFonts w:ascii="Arial" w:hAnsi="Arial" w:cs="Arial"/>
              </w:rPr>
              <w:t>53%</w:t>
            </w:r>
          </w:p>
        </w:tc>
        <w:tc>
          <w:tcPr>
            <w:tcW w:w="1276" w:type="dxa"/>
            <w:tcBorders>
              <w:top w:val="nil"/>
              <w:left w:val="nil"/>
              <w:bottom w:val="single" w:sz="4" w:space="0" w:color="auto"/>
              <w:right w:val="nil"/>
            </w:tcBorders>
            <w:shd w:val="clear" w:color="auto" w:fill="auto"/>
            <w:noWrap/>
            <w:vAlign w:val="center"/>
            <w:hideMark/>
          </w:tcPr>
          <w:p w:rsidR="009E19BB" w:rsidRPr="009E19BB" w:rsidRDefault="009E19BB" w:rsidP="009E19BB">
            <w:pPr>
              <w:spacing w:after="0"/>
              <w:rPr>
                <w:rFonts w:ascii="Arial" w:hAnsi="Arial" w:cs="Arial"/>
              </w:rPr>
            </w:pPr>
            <w:r w:rsidRPr="009E19BB">
              <w:rPr>
                <w:rFonts w:ascii="Arial" w:hAnsi="Arial" w:cs="Arial"/>
              </w:rPr>
              <w:t>53%</w:t>
            </w: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9E19BB" w:rsidRPr="009E19BB" w:rsidRDefault="009E19BB" w:rsidP="009E19BB">
            <w:pPr>
              <w:spacing w:after="0"/>
              <w:rPr>
                <w:rFonts w:ascii="Arial" w:hAnsi="Arial" w:cs="Arial"/>
              </w:rPr>
            </w:pPr>
            <w:r w:rsidRPr="009E19BB">
              <w:rPr>
                <w:rFonts w:ascii="Arial" w:hAnsi="Arial" w:cs="Arial"/>
              </w:rPr>
              <w:t>54%</w:t>
            </w:r>
          </w:p>
        </w:tc>
        <w:tc>
          <w:tcPr>
            <w:tcW w:w="1276" w:type="dxa"/>
            <w:tcBorders>
              <w:top w:val="nil"/>
              <w:left w:val="nil"/>
              <w:bottom w:val="single" w:sz="4" w:space="0" w:color="auto"/>
              <w:right w:val="single" w:sz="8" w:space="0" w:color="auto"/>
            </w:tcBorders>
            <w:shd w:val="clear" w:color="auto" w:fill="auto"/>
            <w:noWrap/>
            <w:vAlign w:val="bottom"/>
            <w:hideMark/>
          </w:tcPr>
          <w:p w:rsidR="009E19BB" w:rsidRPr="009E19BB" w:rsidRDefault="009E19BB" w:rsidP="009E19BB">
            <w:pPr>
              <w:spacing w:after="0" w:line="240" w:lineRule="auto"/>
              <w:rPr>
                <w:rFonts w:ascii="Arial" w:eastAsia="Times New Roman" w:hAnsi="Arial" w:cs="Arial"/>
                <w:color w:val="000000"/>
                <w:lang w:eastAsia="en-AU"/>
              </w:rPr>
            </w:pPr>
            <w:r w:rsidRPr="009E19BB">
              <w:rPr>
                <w:rFonts w:ascii="Arial" w:eastAsia="Times New Roman" w:hAnsi="Arial" w:cs="Arial"/>
                <w:color w:val="000000"/>
                <w:lang w:eastAsia="en-AU"/>
              </w:rPr>
              <w:t> </w:t>
            </w:r>
          </w:p>
        </w:tc>
      </w:tr>
      <w:tr w:rsidR="009E19BB"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9E19BB" w:rsidRPr="00AD165E" w:rsidRDefault="009E19BB" w:rsidP="009E19BB">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3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9E19BB" w:rsidRPr="009E19BB" w:rsidRDefault="009E19BB" w:rsidP="009E19BB">
            <w:pPr>
              <w:spacing w:after="0"/>
              <w:rPr>
                <w:rFonts w:ascii="Arial" w:hAnsi="Arial" w:cs="Arial"/>
              </w:rPr>
            </w:pPr>
            <w:r w:rsidRPr="009E19BB">
              <w:rPr>
                <w:rFonts w:ascii="Arial" w:hAnsi="Arial" w:cs="Arial"/>
              </w:rPr>
              <w:t>46%</w:t>
            </w:r>
          </w:p>
        </w:tc>
        <w:tc>
          <w:tcPr>
            <w:tcW w:w="1276" w:type="dxa"/>
            <w:tcBorders>
              <w:top w:val="nil"/>
              <w:left w:val="nil"/>
              <w:bottom w:val="single" w:sz="4" w:space="0" w:color="auto"/>
              <w:right w:val="nil"/>
            </w:tcBorders>
            <w:shd w:val="clear" w:color="auto" w:fill="auto"/>
            <w:noWrap/>
            <w:vAlign w:val="center"/>
            <w:hideMark/>
          </w:tcPr>
          <w:p w:rsidR="009E19BB" w:rsidRPr="009E19BB" w:rsidRDefault="009E19BB" w:rsidP="009E19BB">
            <w:pPr>
              <w:spacing w:after="0"/>
              <w:rPr>
                <w:rFonts w:ascii="Arial" w:hAnsi="Arial" w:cs="Arial"/>
              </w:rPr>
            </w:pPr>
            <w:r w:rsidRPr="009E19BB">
              <w:rPr>
                <w:rFonts w:ascii="Arial" w:hAnsi="Arial" w:cs="Arial"/>
              </w:rPr>
              <w:t>49%</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9E19BB" w:rsidRPr="009E19BB" w:rsidRDefault="009E19BB" w:rsidP="009E19BB">
            <w:pPr>
              <w:spacing w:after="0"/>
              <w:rPr>
                <w:rFonts w:ascii="Arial" w:hAnsi="Arial" w:cs="Arial"/>
              </w:rPr>
            </w:pPr>
            <w:r w:rsidRPr="009E19BB">
              <w:rPr>
                <w:rFonts w:ascii="Arial" w:hAnsi="Arial" w:cs="Arial"/>
              </w:rPr>
              <w:t>51%</w:t>
            </w:r>
          </w:p>
        </w:tc>
        <w:tc>
          <w:tcPr>
            <w:tcW w:w="1276" w:type="dxa"/>
            <w:tcBorders>
              <w:top w:val="nil"/>
              <w:left w:val="nil"/>
              <w:bottom w:val="single" w:sz="4" w:space="0" w:color="auto"/>
              <w:right w:val="nil"/>
            </w:tcBorders>
            <w:shd w:val="clear" w:color="auto" w:fill="auto"/>
            <w:noWrap/>
            <w:vAlign w:val="center"/>
            <w:hideMark/>
          </w:tcPr>
          <w:p w:rsidR="009E19BB" w:rsidRPr="009E19BB" w:rsidRDefault="009E19BB" w:rsidP="009E19BB">
            <w:pPr>
              <w:spacing w:after="0"/>
              <w:rPr>
                <w:rFonts w:ascii="Arial" w:hAnsi="Arial" w:cs="Arial"/>
              </w:rPr>
            </w:pPr>
            <w:r w:rsidRPr="009E19BB">
              <w:rPr>
                <w:rFonts w:ascii="Arial" w:hAnsi="Arial" w:cs="Arial"/>
              </w:rPr>
              <w:t>51%</w:t>
            </w:r>
          </w:p>
        </w:tc>
        <w:tc>
          <w:tcPr>
            <w:tcW w:w="1275" w:type="dxa"/>
            <w:tcBorders>
              <w:top w:val="nil"/>
              <w:left w:val="single" w:sz="8" w:space="0" w:color="auto"/>
              <w:bottom w:val="single" w:sz="4" w:space="0" w:color="auto"/>
              <w:right w:val="single" w:sz="8" w:space="0" w:color="auto"/>
            </w:tcBorders>
            <w:shd w:val="clear" w:color="auto" w:fill="auto"/>
            <w:noWrap/>
            <w:vAlign w:val="bottom"/>
            <w:hideMark/>
          </w:tcPr>
          <w:p w:rsidR="009E19BB" w:rsidRPr="009E19BB" w:rsidRDefault="009E19BB" w:rsidP="009E19BB">
            <w:pPr>
              <w:spacing w:after="0" w:line="240" w:lineRule="auto"/>
              <w:rPr>
                <w:rFonts w:ascii="Arial" w:eastAsia="Times New Roman" w:hAnsi="Arial" w:cs="Arial"/>
                <w:color w:val="000000"/>
                <w:lang w:eastAsia="en-AU"/>
              </w:rPr>
            </w:pPr>
            <w:r w:rsidRPr="009E19BB">
              <w:rPr>
                <w:rFonts w:ascii="Arial" w:eastAsia="Times New Roman" w:hAnsi="Arial" w:cs="Arial"/>
                <w:color w:val="000000"/>
                <w:lang w:eastAsia="en-AU"/>
              </w:rPr>
              <w:t> </w:t>
            </w:r>
          </w:p>
        </w:tc>
        <w:tc>
          <w:tcPr>
            <w:tcW w:w="1276" w:type="dxa"/>
            <w:tcBorders>
              <w:top w:val="nil"/>
              <w:left w:val="nil"/>
              <w:bottom w:val="single" w:sz="4" w:space="0" w:color="auto"/>
              <w:right w:val="single" w:sz="8" w:space="0" w:color="auto"/>
            </w:tcBorders>
            <w:shd w:val="clear" w:color="auto" w:fill="auto"/>
            <w:noWrap/>
            <w:vAlign w:val="bottom"/>
            <w:hideMark/>
          </w:tcPr>
          <w:p w:rsidR="009E19BB" w:rsidRPr="009E19BB" w:rsidRDefault="009E19BB" w:rsidP="009E19BB">
            <w:pPr>
              <w:spacing w:after="0" w:line="240" w:lineRule="auto"/>
              <w:rPr>
                <w:rFonts w:ascii="Arial" w:eastAsia="Times New Roman" w:hAnsi="Arial" w:cs="Arial"/>
                <w:color w:val="000000"/>
                <w:lang w:eastAsia="en-AU"/>
              </w:rPr>
            </w:pPr>
            <w:r w:rsidRPr="009E19BB">
              <w:rPr>
                <w:rFonts w:ascii="Arial" w:eastAsia="Times New Roman" w:hAnsi="Arial" w:cs="Arial"/>
                <w:color w:val="000000"/>
                <w:lang w:eastAsia="en-AU"/>
              </w:rPr>
              <w:t> </w:t>
            </w:r>
          </w:p>
        </w:tc>
      </w:tr>
      <w:tr w:rsidR="009E19BB"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9E19BB" w:rsidRPr="00AD165E" w:rsidRDefault="009E19BB" w:rsidP="009E19BB">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2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9E19BB" w:rsidRPr="009E19BB" w:rsidRDefault="009E19BB" w:rsidP="009E19BB">
            <w:pPr>
              <w:spacing w:after="0"/>
              <w:rPr>
                <w:rFonts w:ascii="Arial" w:hAnsi="Arial" w:cs="Arial"/>
              </w:rPr>
            </w:pPr>
            <w:r w:rsidRPr="009E19BB">
              <w:rPr>
                <w:rFonts w:ascii="Arial" w:hAnsi="Arial" w:cs="Arial"/>
              </w:rPr>
              <w:t>44%</w:t>
            </w:r>
          </w:p>
        </w:tc>
        <w:tc>
          <w:tcPr>
            <w:tcW w:w="1276" w:type="dxa"/>
            <w:tcBorders>
              <w:top w:val="nil"/>
              <w:left w:val="nil"/>
              <w:bottom w:val="single" w:sz="4" w:space="0" w:color="auto"/>
              <w:right w:val="nil"/>
            </w:tcBorders>
            <w:shd w:val="clear" w:color="auto" w:fill="auto"/>
            <w:noWrap/>
            <w:vAlign w:val="center"/>
            <w:hideMark/>
          </w:tcPr>
          <w:p w:rsidR="009E19BB" w:rsidRPr="009E19BB" w:rsidRDefault="009E19BB" w:rsidP="009E19BB">
            <w:pPr>
              <w:spacing w:after="0"/>
              <w:rPr>
                <w:rFonts w:ascii="Arial" w:hAnsi="Arial" w:cs="Arial"/>
              </w:rPr>
            </w:pPr>
            <w:r w:rsidRPr="009E19BB">
              <w:rPr>
                <w:rFonts w:ascii="Arial" w:hAnsi="Arial" w:cs="Arial"/>
              </w:rPr>
              <w:t>47%</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9E19BB" w:rsidRPr="009E19BB" w:rsidRDefault="009E19BB" w:rsidP="009E19BB">
            <w:pPr>
              <w:spacing w:after="0"/>
              <w:rPr>
                <w:rFonts w:ascii="Arial" w:hAnsi="Arial" w:cs="Arial"/>
              </w:rPr>
            </w:pPr>
            <w:r w:rsidRPr="009E19BB">
              <w:rPr>
                <w:rFonts w:ascii="Arial" w:hAnsi="Arial" w:cs="Arial"/>
              </w:rPr>
              <w:t>47%</w:t>
            </w:r>
          </w:p>
        </w:tc>
        <w:tc>
          <w:tcPr>
            <w:tcW w:w="1276" w:type="dxa"/>
            <w:tcBorders>
              <w:top w:val="nil"/>
              <w:left w:val="nil"/>
              <w:bottom w:val="single" w:sz="4" w:space="0" w:color="auto"/>
              <w:right w:val="nil"/>
            </w:tcBorders>
            <w:shd w:val="clear" w:color="auto" w:fill="auto"/>
            <w:noWrap/>
            <w:vAlign w:val="bottom"/>
            <w:hideMark/>
          </w:tcPr>
          <w:p w:rsidR="009E19BB" w:rsidRPr="009E19BB" w:rsidRDefault="009E19BB" w:rsidP="009E19BB">
            <w:pPr>
              <w:spacing w:after="0" w:line="240" w:lineRule="auto"/>
              <w:rPr>
                <w:rFonts w:ascii="Arial" w:eastAsia="Times New Roman" w:hAnsi="Arial" w:cs="Arial"/>
                <w:color w:val="000000"/>
                <w:lang w:eastAsia="en-AU"/>
              </w:rPr>
            </w:pPr>
            <w:r w:rsidRPr="009E19BB">
              <w:rPr>
                <w:rFonts w:ascii="Arial" w:eastAsia="Times New Roman" w:hAnsi="Arial" w:cs="Arial"/>
                <w:color w:val="000000"/>
                <w:lang w:eastAsia="en-AU"/>
              </w:rPr>
              <w:t> </w:t>
            </w:r>
          </w:p>
        </w:tc>
        <w:tc>
          <w:tcPr>
            <w:tcW w:w="1275" w:type="dxa"/>
            <w:tcBorders>
              <w:top w:val="nil"/>
              <w:left w:val="single" w:sz="8" w:space="0" w:color="auto"/>
              <w:bottom w:val="single" w:sz="4" w:space="0" w:color="auto"/>
              <w:right w:val="single" w:sz="8" w:space="0" w:color="auto"/>
            </w:tcBorders>
            <w:shd w:val="clear" w:color="auto" w:fill="auto"/>
            <w:noWrap/>
            <w:vAlign w:val="bottom"/>
            <w:hideMark/>
          </w:tcPr>
          <w:p w:rsidR="009E19BB" w:rsidRPr="009E19BB" w:rsidRDefault="009E19BB" w:rsidP="009E19BB">
            <w:pPr>
              <w:spacing w:after="0" w:line="240" w:lineRule="auto"/>
              <w:rPr>
                <w:rFonts w:ascii="Arial" w:eastAsia="Times New Roman" w:hAnsi="Arial" w:cs="Arial"/>
                <w:color w:val="000000"/>
                <w:lang w:eastAsia="en-AU"/>
              </w:rPr>
            </w:pPr>
            <w:r w:rsidRPr="009E19BB">
              <w:rPr>
                <w:rFonts w:ascii="Arial" w:eastAsia="Times New Roman" w:hAnsi="Arial" w:cs="Arial"/>
                <w:color w:val="000000"/>
                <w:lang w:eastAsia="en-AU"/>
              </w:rPr>
              <w:t> </w:t>
            </w:r>
          </w:p>
        </w:tc>
        <w:tc>
          <w:tcPr>
            <w:tcW w:w="1276" w:type="dxa"/>
            <w:tcBorders>
              <w:top w:val="nil"/>
              <w:left w:val="nil"/>
              <w:bottom w:val="single" w:sz="4" w:space="0" w:color="auto"/>
              <w:right w:val="single" w:sz="8" w:space="0" w:color="auto"/>
            </w:tcBorders>
            <w:shd w:val="clear" w:color="auto" w:fill="auto"/>
            <w:noWrap/>
            <w:vAlign w:val="bottom"/>
            <w:hideMark/>
          </w:tcPr>
          <w:p w:rsidR="009E19BB" w:rsidRPr="009E19BB" w:rsidRDefault="009E19BB" w:rsidP="009E19BB">
            <w:pPr>
              <w:spacing w:after="0" w:line="240" w:lineRule="auto"/>
              <w:rPr>
                <w:rFonts w:ascii="Arial" w:eastAsia="Times New Roman" w:hAnsi="Arial" w:cs="Arial"/>
                <w:color w:val="000000"/>
                <w:lang w:eastAsia="en-AU"/>
              </w:rPr>
            </w:pPr>
            <w:r w:rsidRPr="009E19BB">
              <w:rPr>
                <w:rFonts w:ascii="Arial" w:eastAsia="Times New Roman" w:hAnsi="Arial" w:cs="Arial"/>
                <w:color w:val="000000"/>
                <w:lang w:eastAsia="en-AU"/>
              </w:rPr>
              <w:t> </w:t>
            </w:r>
          </w:p>
        </w:tc>
      </w:tr>
      <w:tr w:rsidR="009E19BB" w:rsidRPr="00AD165E" w:rsidTr="00632614">
        <w:trPr>
          <w:trHeight w:val="285"/>
        </w:trPr>
        <w:tc>
          <w:tcPr>
            <w:tcW w:w="1500" w:type="dxa"/>
            <w:tcBorders>
              <w:top w:val="nil"/>
              <w:left w:val="single" w:sz="8" w:space="0" w:color="auto"/>
              <w:bottom w:val="single" w:sz="8" w:space="0" w:color="auto"/>
              <w:right w:val="nil"/>
            </w:tcBorders>
            <w:shd w:val="clear" w:color="auto" w:fill="auto"/>
            <w:noWrap/>
            <w:vAlign w:val="bottom"/>
            <w:hideMark/>
          </w:tcPr>
          <w:p w:rsidR="009E19BB" w:rsidRPr="00AD165E" w:rsidRDefault="009E19BB" w:rsidP="009E19BB">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1 year</w:t>
            </w:r>
          </w:p>
        </w:tc>
        <w:tc>
          <w:tcPr>
            <w:tcW w:w="1325" w:type="dxa"/>
            <w:tcBorders>
              <w:top w:val="nil"/>
              <w:left w:val="single" w:sz="8" w:space="0" w:color="auto"/>
              <w:bottom w:val="single" w:sz="8" w:space="0" w:color="auto"/>
              <w:right w:val="single" w:sz="8" w:space="0" w:color="auto"/>
            </w:tcBorders>
            <w:shd w:val="clear" w:color="auto" w:fill="auto"/>
            <w:noWrap/>
            <w:vAlign w:val="center"/>
            <w:hideMark/>
          </w:tcPr>
          <w:p w:rsidR="009E19BB" w:rsidRPr="009E19BB" w:rsidRDefault="009E19BB" w:rsidP="009E19BB">
            <w:pPr>
              <w:spacing w:after="0"/>
              <w:rPr>
                <w:rFonts w:ascii="Arial" w:hAnsi="Arial" w:cs="Arial"/>
              </w:rPr>
            </w:pPr>
            <w:r w:rsidRPr="009E19BB">
              <w:rPr>
                <w:rFonts w:ascii="Arial" w:hAnsi="Arial" w:cs="Arial"/>
              </w:rPr>
              <w:t>40%</w:t>
            </w:r>
          </w:p>
        </w:tc>
        <w:tc>
          <w:tcPr>
            <w:tcW w:w="1276" w:type="dxa"/>
            <w:tcBorders>
              <w:top w:val="nil"/>
              <w:left w:val="nil"/>
              <w:bottom w:val="single" w:sz="8" w:space="0" w:color="auto"/>
              <w:right w:val="nil"/>
            </w:tcBorders>
            <w:shd w:val="clear" w:color="auto" w:fill="auto"/>
            <w:noWrap/>
            <w:vAlign w:val="center"/>
            <w:hideMark/>
          </w:tcPr>
          <w:p w:rsidR="009E19BB" w:rsidRPr="009E19BB" w:rsidRDefault="009E19BB" w:rsidP="009E19BB">
            <w:pPr>
              <w:spacing w:after="0"/>
              <w:rPr>
                <w:rFonts w:ascii="Arial" w:hAnsi="Arial" w:cs="Arial"/>
              </w:rPr>
            </w:pPr>
            <w:r w:rsidRPr="009E19BB">
              <w:rPr>
                <w:rFonts w:ascii="Arial" w:hAnsi="Arial" w:cs="Arial"/>
              </w:rPr>
              <w:t>43%</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9E19BB" w:rsidRPr="009E19BB" w:rsidRDefault="009E19BB" w:rsidP="009E19BB">
            <w:pPr>
              <w:spacing w:after="0" w:line="240" w:lineRule="auto"/>
              <w:rPr>
                <w:rFonts w:ascii="Arial" w:eastAsia="Times New Roman" w:hAnsi="Arial" w:cs="Arial"/>
                <w:color w:val="000000"/>
                <w:lang w:eastAsia="en-AU"/>
              </w:rPr>
            </w:pPr>
            <w:r w:rsidRPr="009E19BB">
              <w:rPr>
                <w:rFonts w:ascii="Arial" w:eastAsia="Times New Roman" w:hAnsi="Arial" w:cs="Arial"/>
                <w:color w:val="000000"/>
                <w:lang w:eastAsia="en-AU"/>
              </w:rPr>
              <w:t> </w:t>
            </w:r>
          </w:p>
        </w:tc>
        <w:tc>
          <w:tcPr>
            <w:tcW w:w="1276" w:type="dxa"/>
            <w:tcBorders>
              <w:top w:val="nil"/>
              <w:left w:val="nil"/>
              <w:bottom w:val="single" w:sz="8" w:space="0" w:color="auto"/>
              <w:right w:val="nil"/>
            </w:tcBorders>
            <w:shd w:val="clear" w:color="auto" w:fill="auto"/>
            <w:noWrap/>
            <w:vAlign w:val="bottom"/>
            <w:hideMark/>
          </w:tcPr>
          <w:p w:rsidR="009E19BB" w:rsidRPr="009E19BB" w:rsidRDefault="009E19BB" w:rsidP="009E19BB">
            <w:pPr>
              <w:spacing w:after="0" w:line="240" w:lineRule="auto"/>
              <w:rPr>
                <w:rFonts w:ascii="Arial" w:eastAsia="Times New Roman" w:hAnsi="Arial" w:cs="Arial"/>
                <w:color w:val="000000"/>
                <w:lang w:eastAsia="en-AU"/>
              </w:rPr>
            </w:pPr>
            <w:r w:rsidRPr="009E19BB">
              <w:rPr>
                <w:rFonts w:ascii="Arial" w:eastAsia="Times New Roman" w:hAnsi="Arial" w:cs="Arial"/>
                <w:color w:val="000000"/>
                <w:lang w:eastAsia="en-AU"/>
              </w:rPr>
              <w:t> </w:t>
            </w:r>
          </w:p>
        </w:tc>
        <w:tc>
          <w:tcPr>
            <w:tcW w:w="1275" w:type="dxa"/>
            <w:tcBorders>
              <w:top w:val="nil"/>
              <w:left w:val="single" w:sz="8" w:space="0" w:color="auto"/>
              <w:bottom w:val="single" w:sz="8" w:space="0" w:color="auto"/>
              <w:right w:val="single" w:sz="8" w:space="0" w:color="auto"/>
            </w:tcBorders>
            <w:shd w:val="clear" w:color="auto" w:fill="auto"/>
            <w:noWrap/>
            <w:vAlign w:val="bottom"/>
            <w:hideMark/>
          </w:tcPr>
          <w:p w:rsidR="009E19BB" w:rsidRPr="009E19BB" w:rsidRDefault="009E19BB" w:rsidP="009E19BB">
            <w:pPr>
              <w:spacing w:after="0" w:line="240" w:lineRule="auto"/>
              <w:rPr>
                <w:rFonts w:ascii="Arial" w:eastAsia="Times New Roman" w:hAnsi="Arial" w:cs="Arial"/>
                <w:color w:val="000000"/>
                <w:lang w:eastAsia="en-AU"/>
              </w:rPr>
            </w:pPr>
            <w:r w:rsidRPr="009E19BB">
              <w:rPr>
                <w:rFonts w:ascii="Arial" w:eastAsia="Times New Roman" w:hAnsi="Arial" w:cs="Arial"/>
                <w:color w:val="000000"/>
                <w:lang w:eastAsia="en-AU"/>
              </w:rPr>
              <w:t> </w:t>
            </w:r>
          </w:p>
        </w:tc>
        <w:tc>
          <w:tcPr>
            <w:tcW w:w="1276" w:type="dxa"/>
            <w:tcBorders>
              <w:top w:val="nil"/>
              <w:left w:val="nil"/>
              <w:bottom w:val="single" w:sz="8" w:space="0" w:color="auto"/>
              <w:right w:val="single" w:sz="8" w:space="0" w:color="auto"/>
            </w:tcBorders>
            <w:shd w:val="clear" w:color="auto" w:fill="auto"/>
            <w:noWrap/>
            <w:vAlign w:val="bottom"/>
            <w:hideMark/>
          </w:tcPr>
          <w:p w:rsidR="009E19BB" w:rsidRPr="009E19BB" w:rsidRDefault="009E19BB" w:rsidP="009E19BB">
            <w:pPr>
              <w:spacing w:after="0" w:line="240" w:lineRule="auto"/>
              <w:rPr>
                <w:rFonts w:ascii="Arial" w:eastAsia="Times New Roman" w:hAnsi="Arial" w:cs="Arial"/>
                <w:color w:val="000000"/>
                <w:lang w:eastAsia="en-AU"/>
              </w:rPr>
            </w:pPr>
            <w:r w:rsidRPr="009E19BB">
              <w:rPr>
                <w:rFonts w:ascii="Arial" w:eastAsia="Times New Roman" w:hAnsi="Arial" w:cs="Arial"/>
                <w:color w:val="000000"/>
                <w:lang w:eastAsia="en-AU"/>
              </w:rPr>
              <w:t> </w:t>
            </w:r>
          </w:p>
        </w:tc>
      </w:tr>
    </w:tbl>
    <w:p w:rsidR="009E19BB" w:rsidRDefault="009E19BB" w:rsidP="00B83265">
      <w:pPr>
        <w:spacing w:after="240"/>
        <w:rPr>
          <w:rFonts w:cstheme="minorHAnsi"/>
        </w:rPr>
      </w:pPr>
    </w:p>
    <w:p w:rsidR="00B83265" w:rsidRPr="002817DE" w:rsidRDefault="00B83265" w:rsidP="002817DE">
      <w:pPr>
        <w:pStyle w:val="Heading2"/>
      </w:pPr>
      <w:bookmarkStart w:id="55" w:name="_Toc121151427"/>
      <w:r w:rsidRPr="002817DE">
        <w:lastRenderedPageBreak/>
        <w:t>Slide 45: Participants aged 15 and over – Lifelong learning</w:t>
      </w:r>
      <w:bookmarkEnd w:id="55"/>
    </w:p>
    <w:p w:rsidR="00B83265" w:rsidRPr="00C244FA" w:rsidRDefault="00B83265" w:rsidP="00B83265">
      <w:pPr>
        <w:rPr>
          <w:b/>
        </w:rPr>
      </w:pPr>
      <w:r w:rsidRPr="00C244FA">
        <w:rPr>
          <w:b/>
        </w:rPr>
        <w:t>% who wanted to do a course or training in the last 12 months but could not</w:t>
      </w:r>
    </w:p>
    <w:p w:rsidR="00B83265" w:rsidRPr="00801FCF" w:rsidRDefault="00B83265" w:rsidP="00B83265">
      <w:pPr>
        <w:spacing w:after="240"/>
        <w:rPr>
          <w:rFonts w:cstheme="minorHAnsi"/>
        </w:rPr>
      </w:pPr>
      <w:r w:rsidRPr="00801FCF">
        <w:rPr>
          <w:rFonts w:cstheme="minorHAnsi"/>
        </w:rPr>
        <w:t xml:space="preserve">There is a decreasing trend (improvement) in the percentage of participants who wanted to do a course or training in the last 12 months, but could not. For C5, the percentage decreased from 33.8% at baseline to 29.0% at fifth review (4.8 percentage points). Similar improvement (5.0 percentage points) was observed for C4, with smaller improvements (1.0 to 3.2 percentage points) for C1 to C3. </w:t>
      </w:r>
    </w:p>
    <w:p w:rsidR="00B83265" w:rsidRPr="00801FCF" w:rsidRDefault="00B83265" w:rsidP="00B83265">
      <w:pPr>
        <w:spacing w:after="240"/>
        <w:rPr>
          <w:rFonts w:cstheme="minorHAnsi"/>
        </w:rPr>
      </w:pPr>
      <w:r w:rsidRPr="00801FCF">
        <w:rPr>
          <w:rFonts w:cstheme="minorHAnsi"/>
        </w:rPr>
        <w:t>There was some variation by age group:</w:t>
      </w:r>
    </w:p>
    <w:p w:rsidR="00B83265" w:rsidRDefault="00B83265" w:rsidP="00B83265">
      <w:pPr>
        <w:pStyle w:val="ListParagraph"/>
        <w:numPr>
          <w:ilvl w:val="0"/>
          <w:numId w:val="24"/>
        </w:numPr>
        <w:spacing w:after="240"/>
        <w:rPr>
          <w:rFonts w:cstheme="minorHAnsi"/>
        </w:rPr>
      </w:pPr>
      <w:r w:rsidRPr="00801FCF">
        <w:rPr>
          <w:rFonts w:cstheme="minorHAnsi"/>
        </w:rPr>
        <w:t>The youngest S-14/15-24 group reported lower (more favourable) percentages but an increasing (deteriorating) trend.</w:t>
      </w:r>
    </w:p>
    <w:p w:rsidR="00B83265" w:rsidRDefault="00B83265" w:rsidP="00B83265">
      <w:pPr>
        <w:pStyle w:val="ListParagraph"/>
        <w:numPr>
          <w:ilvl w:val="0"/>
          <w:numId w:val="24"/>
        </w:numPr>
        <w:spacing w:after="240"/>
        <w:rPr>
          <w:rFonts w:cstheme="minorHAnsi"/>
        </w:rPr>
      </w:pPr>
      <w:r w:rsidRPr="00801FCF">
        <w:rPr>
          <w:rFonts w:cstheme="minorHAnsi"/>
        </w:rPr>
        <w:t>The 15-24 age group was fairly stable across all cohorts.</w:t>
      </w:r>
    </w:p>
    <w:p w:rsidR="00B83265" w:rsidRDefault="00B83265" w:rsidP="00B83265">
      <w:pPr>
        <w:pStyle w:val="ListParagraph"/>
        <w:numPr>
          <w:ilvl w:val="0"/>
          <w:numId w:val="24"/>
        </w:numPr>
        <w:spacing w:after="240"/>
        <w:rPr>
          <w:rFonts w:cstheme="minorHAnsi"/>
        </w:rPr>
      </w:pPr>
      <w:r w:rsidRPr="00801FCF">
        <w:rPr>
          <w:rFonts w:cstheme="minorHAnsi"/>
        </w:rPr>
        <w:t>The 15-24/25+ group showed substantial improvement between baseline and latest review (e.g. 13 percentage point reductions for C4 and C5).</w:t>
      </w:r>
    </w:p>
    <w:p w:rsidR="00B83265" w:rsidRPr="00801FCF" w:rsidRDefault="00B83265" w:rsidP="00B83265">
      <w:pPr>
        <w:pStyle w:val="ListParagraph"/>
        <w:numPr>
          <w:ilvl w:val="0"/>
          <w:numId w:val="24"/>
        </w:numPr>
        <w:spacing w:after="240"/>
        <w:rPr>
          <w:rFonts w:cstheme="minorHAnsi"/>
        </w:rPr>
      </w:pPr>
      <w:r w:rsidRPr="00801FCF">
        <w:rPr>
          <w:rFonts w:cstheme="minorHAnsi"/>
        </w:rPr>
        <w:t>The 25+ age group showed similar improvements to overall.</w:t>
      </w:r>
    </w:p>
    <w:p w:rsidR="006565A1" w:rsidRDefault="00B83265" w:rsidP="006565A1">
      <w:pPr>
        <w:spacing w:after="240"/>
        <w:rPr>
          <w:rFonts w:cstheme="minorHAnsi"/>
        </w:rPr>
      </w:pPr>
      <w:r>
        <w:rPr>
          <w:rFonts w:cstheme="minorHAnsi"/>
        </w:rPr>
        <w:t>Five</w:t>
      </w:r>
      <w:r w:rsidRPr="00715092">
        <w:rPr>
          <w:rFonts w:cstheme="minorHAnsi"/>
        </w:rPr>
        <w:t xml:space="preserve"> charts show the percentage who </w:t>
      </w:r>
      <w:r>
        <w:rPr>
          <w:rFonts w:cstheme="minorHAnsi"/>
        </w:rPr>
        <w:t xml:space="preserve">wanted to do a course or training in the last 12 months but could not </w:t>
      </w:r>
      <w:r w:rsidRPr="00715092">
        <w:rPr>
          <w:rFonts w:cstheme="minorHAnsi"/>
        </w:rPr>
        <w:t>at baseline and at subsequent reviews</w:t>
      </w:r>
      <w:r w:rsidR="006565A1" w:rsidRPr="00715092">
        <w:rPr>
          <w:rFonts w:cstheme="minorHAnsi"/>
        </w:rPr>
        <w:t xml:space="preserve">, separately for participants in the </w:t>
      </w:r>
      <w:r w:rsidR="006565A1">
        <w:rPr>
          <w:rFonts w:cstheme="minorHAnsi"/>
        </w:rPr>
        <w:t xml:space="preserve">five years, </w:t>
      </w:r>
      <w:r w:rsidR="006565A1" w:rsidRPr="00715092">
        <w:rPr>
          <w:rFonts w:cstheme="minorHAnsi"/>
        </w:rPr>
        <w:t>four years, three years, two years or one year</w:t>
      </w:r>
      <w:r w:rsidR="006565A1">
        <w:rPr>
          <w:rFonts w:cstheme="minorHAnsi"/>
        </w:rPr>
        <w:t xml:space="preserve"> cohorts</w:t>
      </w:r>
      <w:r w:rsidR="006565A1" w:rsidRPr="00715092">
        <w:rPr>
          <w:rFonts w:cstheme="minorHAnsi"/>
        </w:rPr>
        <w:t>.</w:t>
      </w:r>
      <w:r w:rsidR="006565A1">
        <w:rPr>
          <w:rFonts w:cstheme="minorHAnsi"/>
        </w:rPr>
        <w:t xml:space="preserve"> Separate lines on each chart show results for all participants, and for participants in the S-14/15-24, 15-24, 15-24/25+ and 25+ age groups.</w:t>
      </w:r>
    </w:p>
    <w:p w:rsidR="006565A1" w:rsidRDefault="006565A1" w:rsidP="006565A1">
      <w:pPr>
        <w:spacing w:after="240"/>
        <w:rPr>
          <w:rFonts w:cstheme="minorHAnsi"/>
        </w:rPr>
      </w:pPr>
      <w:r>
        <w:rPr>
          <w:rFonts w:cstheme="minorHAnsi"/>
        </w:rPr>
        <w:t>For PSto14, analysed by time since first in P15to24, otherwise by time in Scheme.</w:t>
      </w:r>
    </w:p>
    <w:p w:rsidR="00C9157B" w:rsidRDefault="00C9157B" w:rsidP="006565A1">
      <w:pPr>
        <w:spacing w:after="240"/>
        <w:rPr>
          <w:rFonts w:cstheme="minorHAnsi"/>
        </w:rPr>
      </w:pPr>
      <w:r>
        <w:rPr>
          <w:rFonts w:cstheme="minorHAnsi"/>
        </w:rPr>
        <w:t>This indicator improved.</w:t>
      </w:r>
    </w:p>
    <w:p w:rsidR="006565A1" w:rsidRDefault="006565A1" w:rsidP="006565A1">
      <w:pPr>
        <w:spacing w:after="240"/>
        <w:rPr>
          <w:rFonts w:cstheme="minorHAnsi"/>
        </w:rPr>
      </w:pPr>
      <w:r>
        <w:rPr>
          <w:rFonts w:cstheme="minorHAnsi"/>
        </w:rPr>
        <w:t>Results for all participants are labelled on the charts:</w:t>
      </w:r>
    </w:p>
    <w:tbl>
      <w:tblPr>
        <w:tblW w:w="9204" w:type="dxa"/>
        <w:tblLook w:val="04A0" w:firstRow="1" w:lastRow="0" w:firstColumn="1" w:lastColumn="0" w:noHBand="0" w:noVBand="1"/>
      </w:tblPr>
      <w:tblGrid>
        <w:gridCol w:w="1500"/>
        <w:gridCol w:w="1325"/>
        <w:gridCol w:w="1276"/>
        <w:gridCol w:w="1276"/>
        <w:gridCol w:w="1276"/>
        <w:gridCol w:w="1275"/>
        <w:gridCol w:w="1276"/>
      </w:tblGrid>
      <w:tr w:rsidR="006565A1" w:rsidRPr="00AD165E" w:rsidTr="00632614">
        <w:trPr>
          <w:trHeight w:val="285"/>
        </w:trPr>
        <w:tc>
          <w:tcPr>
            <w:tcW w:w="1500" w:type="dxa"/>
            <w:tcBorders>
              <w:top w:val="single" w:sz="8" w:space="0" w:color="auto"/>
              <w:left w:val="single" w:sz="8" w:space="0" w:color="auto"/>
              <w:bottom w:val="single" w:sz="8" w:space="0" w:color="auto"/>
              <w:right w:val="nil"/>
            </w:tcBorders>
            <w:shd w:val="clear" w:color="auto" w:fill="auto"/>
            <w:noWrap/>
            <w:vAlign w:val="bottom"/>
            <w:hideMark/>
          </w:tcPr>
          <w:p w:rsidR="006565A1" w:rsidRPr="00AD165E" w:rsidRDefault="006565A1" w:rsidP="0063261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Cohort</w:t>
            </w:r>
          </w:p>
        </w:tc>
        <w:tc>
          <w:tcPr>
            <w:tcW w:w="13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565A1" w:rsidRPr="00AD165E" w:rsidRDefault="006565A1" w:rsidP="0063261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B</w:t>
            </w:r>
            <w:r>
              <w:rPr>
                <w:rFonts w:ascii="Arial" w:eastAsia="Times New Roman" w:hAnsi="Arial" w:cs="Arial"/>
                <w:b/>
                <w:bCs/>
                <w:color w:val="000000"/>
                <w:lang w:eastAsia="en-AU"/>
              </w:rPr>
              <w:t>aseline</w:t>
            </w:r>
          </w:p>
        </w:tc>
        <w:tc>
          <w:tcPr>
            <w:tcW w:w="1276" w:type="dxa"/>
            <w:tcBorders>
              <w:top w:val="single" w:sz="8" w:space="0" w:color="auto"/>
              <w:left w:val="nil"/>
              <w:bottom w:val="single" w:sz="8" w:space="0" w:color="auto"/>
              <w:right w:val="nil"/>
            </w:tcBorders>
            <w:shd w:val="clear" w:color="auto" w:fill="auto"/>
            <w:noWrap/>
            <w:vAlign w:val="bottom"/>
            <w:hideMark/>
          </w:tcPr>
          <w:p w:rsidR="006565A1" w:rsidRPr="00AD165E" w:rsidRDefault="006565A1"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1</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565A1" w:rsidRPr="00AD165E" w:rsidRDefault="006565A1"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2</w:t>
            </w:r>
          </w:p>
        </w:tc>
        <w:tc>
          <w:tcPr>
            <w:tcW w:w="1276" w:type="dxa"/>
            <w:tcBorders>
              <w:top w:val="single" w:sz="8" w:space="0" w:color="auto"/>
              <w:left w:val="nil"/>
              <w:bottom w:val="single" w:sz="8" w:space="0" w:color="auto"/>
              <w:right w:val="nil"/>
            </w:tcBorders>
            <w:shd w:val="clear" w:color="auto" w:fill="auto"/>
            <w:noWrap/>
            <w:vAlign w:val="bottom"/>
            <w:hideMark/>
          </w:tcPr>
          <w:p w:rsidR="006565A1" w:rsidRPr="00AD165E" w:rsidRDefault="006565A1"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3</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565A1" w:rsidRPr="00AD165E" w:rsidRDefault="006565A1"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4</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6565A1" w:rsidRPr="00AD165E" w:rsidRDefault="006565A1"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5</w:t>
            </w:r>
          </w:p>
        </w:tc>
      </w:tr>
      <w:tr w:rsidR="006565A1"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6565A1" w:rsidRPr="00AD165E" w:rsidRDefault="006565A1" w:rsidP="006565A1">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5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6565A1" w:rsidRPr="00715092" w:rsidRDefault="006565A1" w:rsidP="006565A1">
            <w:pPr>
              <w:spacing w:after="0"/>
              <w:rPr>
                <w:rFonts w:cstheme="minorHAnsi"/>
              </w:rPr>
            </w:pPr>
            <w:r>
              <w:rPr>
                <w:rFonts w:cstheme="minorHAnsi"/>
              </w:rPr>
              <w:t>34</w:t>
            </w:r>
            <w:r w:rsidRPr="00715092">
              <w:rPr>
                <w:rFonts w:cstheme="minorHAnsi"/>
              </w:rPr>
              <w:t>%</w:t>
            </w:r>
          </w:p>
        </w:tc>
        <w:tc>
          <w:tcPr>
            <w:tcW w:w="1276" w:type="dxa"/>
            <w:tcBorders>
              <w:top w:val="nil"/>
              <w:left w:val="nil"/>
              <w:bottom w:val="single" w:sz="4" w:space="0" w:color="auto"/>
              <w:right w:val="nil"/>
            </w:tcBorders>
            <w:shd w:val="clear" w:color="auto" w:fill="auto"/>
            <w:noWrap/>
            <w:vAlign w:val="center"/>
            <w:hideMark/>
          </w:tcPr>
          <w:p w:rsidR="006565A1" w:rsidRPr="00715092" w:rsidRDefault="006565A1" w:rsidP="006565A1">
            <w:pPr>
              <w:spacing w:after="0"/>
              <w:rPr>
                <w:rFonts w:cstheme="minorHAnsi"/>
              </w:rPr>
            </w:pPr>
            <w:r>
              <w:rPr>
                <w:rFonts w:cstheme="minorHAnsi"/>
              </w:rPr>
              <w:t>35%</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6565A1" w:rsidRPr="00715092" w:rsidRDefault="006565A1" w:rsidP="006565A1">
            <w:pPr>
              <w:spacing w:after="0"/>
              <w:rPr>
                <w:rFonts w:cstheme="minorHAnsi"/>
              </w:rPr>
            </w:pPr>
            <w:r>
              <w:rPr>
                <w:rFonts w:cstheme="minorHAnsi"/>
              </w:rPr>
              <w:t>34%</w:t>
            </w:r>
          </w:p>
        </w:tc>
        <w:tc>
          <w:tcPr>
            <w:tcW w:w="1276" w:type="dxa"/>
            <w:tcBorders>
              <w:top w:val="nil"/>
              <w:left w:val="nil"/>
              <w:bottom w:val="single" w:sz="4" w:space="0" w:color="auto"/>
              <w:right w:val="nil"/>
            </w:tcBorders>
            <w:shd w:val="clear" w:color="auto" w:fill="auto"/>
            <w:noWrap/>
            <w:vAlign w:val="center"/>
            <w:hideMark/>
          </w:tcPr>
          <w:p w:rsidR="006565A1" w:rsidRPr="00715092" w:rsidRDefault="006565A1" w:rsidP="006565A1">
            <w:pPr>
              <w:spacing w:after="0"/>
              <w:rPr>
                <w:rFonts w:cstheme="minorHAnsi"/>
              </w:rPr>
            </w:pPr>
            <w:r>
              <w:rPr>
                <w:rFonts w:cstheme="minorHAnsi"/>
              </w:rPr>
              <w:t>33%</w:t>
            </w: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6565A1" w:rsidRPr="00715092" w:rsidRDefault="006565A1" w:rsidP="006565A1">
            <w:pPr>
              <w:spacing w:after="0"/>
              <w:rPr>
                <w:rFonts w:cstheme="minorHAnsi"/>
              </w:rPr>
            </w:pPr>
            <w:r>
              <w:rPr>
                <w:rFonts w:cstheme="minorHAnsi"/>
              </w:rPr>
              <w:t>32%</w:t>
            </w:r>
          </w:p>
        </w:tc>
        <w:tc>
          <w:tcPr>
            <w:tcW w:w="1276" w:type="dxa"/>
            <w:tcBorders>
              <w:top w:val="nil"/>
              <w:left w:val="nil"/>
              <w:bottom w:val="single" w:sz="4" w:space="0" w:color="auto"/>
              <w:right w:val="single" w:sz="8" w:space="0" w:color="auto"/>
            </w:tcBorders>
            <w:shd w:val="clear" w:color="auto" w:fill="auto"/>
            <w:noWrap/>
            <w:vAlign w:val="center"/>
            <w:hideMark/>
          </w:tcPr>
          <w:p w:rsidR="006565A1" w:rsidRPr="00715092" w:rsidRDefault="006565A1" w:rsidP="006565A1">
            <w:pPr>
              <w:spacing w:after="0"/>
              <w:rPr>
                <w:rFonts w:cstheme="minorHAnsi"/>
              </w:rPr>
            </w:pPr>
            <w:r>
              <w:rPr>
                <w:rFonts w:cstheme="minorHAnsi"/>
              </w:rPr>
              <w:t>29%</w:t>
            </w:r>
          </w:p>
        </w:tc>
      </w:tr>
      <w:tr w:rsidR="006565A1"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6565A1" w:rsidRPr="00AD165E" w:rsidRDefault="006565A1" w:rsidP="006565A1">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4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6565A1" w:rsidRPr="00715092" w:rsidRDefault="006565A1" w:rsidP="006565A1">
            <w:pPr>
              <w:spacing w:after="0"/>
              <w:rPr>
                <w:rFonts w:cstheme="minorHAnsi"/>
              </w:rPr>
            </w:pPr>
            <w:r>
              <w:rPr>
                <w:rFonts w:cstheme="minorHAnsi"/>
              </w:rPr>
              <w:t>37</w:t>
            </w:r>
            <w:r w:rsidRPr="00715092">
              <w:rPr>
                <w:rFonts w:cstheme="minorHAnsi"/>
              </w:rPr>
              <w:t>%</w:t>
            </w:r>
          </w:p>
        </w:tc>
        <w:tc>
          <w:tcPr>
            <w:tcW w:w="1276" w:type="dxa"/>
            <w:tcBorders>
              <w:top w:val="nil"/>
              <w:left w:val="nil"/>
              <w:bottom w:val="single" w:sz="4" w:space="0" w:color="auto"/>
              <w:right w:val="nil"/>
            </w:tcBorders>
            <w:shd w:val="clear" w:color="auto" w:fill="auto"/>
            <w:noWrap/>
            <w:vAlign w:val="center"/>
            <w:hideMark/>
          </w:tcPr>
          <w:p w:rsidR="006565A1" w:rsidRPr="00715092" w:rsidRDefault="006565A1" w:rsidP="006565A1">
            <w:pPr>
              <w:spacing w:after="0"/>
              <w:rPr>
                <w:rFonts w:cstheme="minorHAnsi"/>
              </w:rPr>
            </w:pPr>
            <w:r>
              <w:rPr>
                <w:rFonts w:cstheme="minorHAnsi"/>
              </w:rPr>
              <w:t>37%</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6565A1" w:rsidRPr="00715092" w:rsidRDefault="006565A1" w:rsidP="006565A1">
            <w:pPr>
              <w:spacing w:after="0"/>
              <w:rPr>
                <w:rFonts w:cstheme="minorHAnsi"/>
              </w:rPr>
            </w:pPr>
            <w:r>
              <w:rPr>
                <w:rFonts w:cstheme="minorHAnsi"/>
              </w:rPr>
              <w:t>36%</w:t>
            </w:r>
          </w:p>
        </w:tc>
        <w:tc>
          <w:tcPr>
            <w:tcW w:w="1276" w:type="dxa"/>
            <w:tcBorders>
              <w:top w:val="nil"/>
              <w:left w:val="nil"/>
              <w:bottom w:val="single" w:sz="4" w:space="0" w:color="auto"/>
              <w:right w:val="nil"/>
            </w:tcBorders>
            <w:shd w:val="clear" w:color="auto" w:fill="auto"/>
            <w:noWrap/>
            <w:vAlign w:val="center"/>
            <w:hideMark/>
          </w:tcPr>
          <w:p w:rsidR="006565A1" w:rsidRPr="00715092" w:rsidRDefault="006565A1" w:rsidP="006565A1">
            <w:pPr>
              <w:spacing w:after="0"/>
              <w:rPr>
                <w:rFonts w:cstheme="minorHAnsi"/>
              </w:rPr>
            </w:pPr>
            <w:r>
              <w:rPr>
                <w:rFonts w:cstheme="minorHAnsi"/>
              </w:rPr>
              <w:t>34%</w:t>
            </w: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6565A1" w:rsidRPr="00715092" w:rsidRDefault="006565A1" w:rsidP="006565A1">
            <w:pPr>
              <w:spacing w:after="0"/>
              <w:rPr>
                <w:rFonts w:cstheme="minorHAnsi"/>
              </w:rPr>
            </w:pPr>
            <w:r>
              <w:rPr>
                <w:rFonts w:cstheme="minorHAnsi"/>
              </w:rPr>
              <w:t>32%</w:t>
            </w:r>
          </w:p>
        </w:tc>
        <w:tc>
          <w:tcPr>
            <w:tcW w:w="1276" w:type="dxa"/>
            <w:tcBorders>
              <w:top w:val="nil"/>
              <w:left w:val="nil"/>
              <w:bottom w:val="single" w:sz="4" w:space="0" w:color="auto"/>
              <w:right w:val="single" w:sz="8" w:space="0" w:color="auto"/>
            </w:tcBorders>
            <w:shd w:val="clear" w:color="auto" w:fill="auto"/>
            <w:noWrap/>
            <w:vAlign w:val="bottom"/>
            <w:hideMark/>
          </w:tcPr>
          <w:p w:rsidR="006565A1" w:rsidRPr="009E19BB" w:rsidRDefault="006565A1" w:rsidP="006565A1">
            <w:pPr>
              <w:spacing w:after="0" w:line="240" w:lineRule="auto"/>
              <w:rPr>
                <w:rFonts w:ascii="Arial" w:eastAsia="Times New Roman" w:hAnsi="Arial" w:cs="Arial"/>
                <w:color w:val="000000"/>
                <w:lang w:eastAsia="en-AU"/>
              </w:rPr>
            </w:pPr>
            <w:r w:rsidRPr="009E19BB">
              <w:rPr>
                <w:rFonts w:ascii="Arial" w:eastAsia="Times New Roman" w:hAnsi="Arial" w:cs="Arial"/>
                <w:color w:val="000000"/>
                <w:lang w:eastAsia="en-AU"/>
              </w:rPr>
              <w:t> </w:t>
            </w:r>
          </w:p>
        </w:tc>
      </w:tr>
      <w:tr w:rsidR="006565A1"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6565A1" w:rsidRPr="00AD165E" w:rsidRDefault="006565A1" w:rsidP="006565A1">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3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6565A1" w:rsidRPr="00715092" w:rsidRDefault="006565A1" w:rsidP="006565A1">
            <w:pPr>
              <w:spacing w:after="0"/>
              <w:rPr>
                <w:rFonts w:cstheme="minorHAnsi"/>
              </w:rPr>
            </w:pPr>
            <w:r>
              <w:rPr>
                <w:rFonts w:cstheme="minorHAnsi"/>
              </w:rPr>
              <w:t>37%</w:t>
            </w:r>
          </w:p>
        </w:tc>
        <w:tc>
          <w:tcPr>
            <w:tcW w:w="1276" w:type="dxa"/>
            <w:tcBorders>
              <w:top w:val="nil"/>
              <w:left w:val="nil"/>
              <w:bottom w:val="single" w:sz="4" w:space="0" w:color="auto"/>
              <w:right w:val="nil"/>
            </w:tcBorders>
            <w:shd w:val="clear" w:color="auto" w:fill="auto"/>
            <w:noWrap/>
            <w:vAlign w:val="center"/>
            <w:hideMark/>
          </w:tcPr>
          <w:p w:rsidR="006565A1" w:rsidRPr="00715092" w:rsidRDefault="006565A1" w:rsidP="006565A1">
            <w:pPr>
              <w:spacing w:after="0"/>
              <w:rPr>
                <w:rFonts w:cstheme="minorHAnsi"/>
              </w:rPr>
            </w:pPr>
            <w:r>
              <w:rPr>
                <w:rFonts w:cstheme="minorHAnsi"/>
              </w:rPr>
              <w:t>36%</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6565A1" w:rsidRPr="00715092" w:rsidRDefault="006565A1" w:rsidP="006565A1">
            <w:pPr>
              <w:spacing w:after="0"/>
              <w:rPr>
                <w:rFonts w:cstheme="minorHAnsi"/>
              </w:rPr>
            </w:pPr>
            <w:r>
              <w:rPr>
                <w:rFonts w:cstheme="minorHAnsi"/>
              </w:rPr>
              <w:t>36%</w:t>
            </w:r>
          </w:p>
        </w:tc>
        <w:tc>
          <w:tcPr>
            <w:tcW w:w="1276" w:type="dxa"/>
            <w:tcBorders>
              <w:top w:val="nil"/>
              <w:left w:val="nil"/>
              <w:bottom w:val="single" w:sz="4" w:space="0" w:color="auto"/>
              <w:right w:val="nil"/>
            </w:tcBorders>
            <w:shd w:val="clear" w:color="auto" w:fill="auto"/>
            <w:noWrap/>
            <w:vAlign w:val="center"/>
            <w:hideMark/>
          </w:tcPr>
          <w:p w:rsidR="006565A1" w:rsidRPr="00715092" w:rsidRDefault="006565A1" w:rsidP="006565A1">
            <w:pPr>
              <w:spacing w:after="0"/>
              <w:rPr>
                <w:rFonts w:cstheme="minorHAnsi"/>
              </w:rPr>
            </w:pPr>
            <w:r>
              <w:rPr>
                <w:rFonts w:cstheme="minorHAnsi"/>
              </w:rPr>
              <w:t>34%</w:t>
            </w:r>
          </w:p>
        </w:tc>
        <w:tc>
          <w:tcPr>
            <w:tcW w:w="1275" w:type="dxa"/>
            <w:tcBorders>
              <w:top w:val="nil"/>
              <w:left w:val="single" w:sz="8" w:space="0" w:color="auto"/>
              <w:bottom w:val="single" w:sz="4" w:space="0" w:color="auto"/>
              <w:right w:val="single" w:sz="8" w:space="0" w:color="auto"/>
            </w:tcBorders>
            <w:shd w:val="clear" w:color="auto" w:fill="auto"/>
            <w:noWrap/>
            <w:vAlign w:val="bottom"/>
            <w:hideMark/>
          </w:tcPr>
          <w:p w:rsidR="006565A1" w:rsidRPr="009E19BB" w:rsidRDefault="006565A1" w:rsidP="006565A1">
            <w:pPr>
              <w:spacing w:after="0" w:line="240" w:lineRule="auto"/>
              <w:rPr>
                <w:rFonts w:ascii="Arial" w:eastAsia="Times New Roman" w:hAnsi="Arial" w:cs="Arial"/>
                <w:color w:val="000000"/>
                <w:lang w:eastAsia="en-AU"/>
              </w:rPr>
            </w:pPr>
            <w:r w:rsidRPr="009E19BB">
              <w:rPr>
                <w:rFonts w:ascii="Arial" w:eastAsia="Times New Roman" w:hAnsi="Arial" w:cs="Arial"/>
                <w:color w:val="000000"/>
                <w:lang w:eastAsia="en-AU"/>
              </w:rPr>
              <w:t> </w:t>
            </w:r>
          </w:p>
        </w:tc>
        <w:tc>
          <w:tcPr>
            <w:tcW w:w="1276" w:type="dxa"/>
            <w:tcBorders>
              <w:top w:val="nil"/>
              <w:left w:val="nil"/>
              <w:bottom w:val="single" w:sz="4" w:space="0" w:color="auto"/>
              <w:right w:val="single" w:sz="8" w:space="0" w:color="auto"/>
            </w:tcBorders>
            <w:shd w:val="clear" w:color="auto" w:fill="auto"/>
            <w:noWrap/>
            <w:vAlign w:val="bottom"/>
            <w:hideMark/>
          </w:tcPr>
          <w:p w:rsidR="006565A1" w:rsidRPr="009E19BB" w:rsidRDefault="006565A1" w:rsidP="006565A1">
            <w:pPr>
              <w:spacing w:after="0" w:line="240" w:lineRule="auto"/>
              <w:rPr>
                <w:rFonts w:ascii="Arial" w:eastAsia="Times New Roman" w:hAnsi="Arial" w:cs="Arial"/>
                <w:color w:val="000000"/>
                <w:lang w:eastAsia="en-AU"/>
              </w:rPr>
            </w:pPr>
            <w:r w:rsidRPr="009E19BB">
              <w:rPr>
                <w:rFonts w:ascii="Arial" w:eastAsia="Times New Roman" w:hAnsi="Arial" w:cs="Arial"/>
                <w:color w:val="000000"/>
                <w:lang w:eastAsia="en-AU"/>
              </w:rPr>
              <w:t> </w:t>
            </w:r>
          </w:p>
        </w:tc>
      </w:tr>
      <w:tr w:rsidR="006565A1"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6565A1" w:rsidRPr="00AD165E" w:rsidRDefault="006565A1" w:rsidP="006565A1">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2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6565A1" w:rsidRPr="00715092" w:rsidRDefault="006565A1" w:rsidP="006565A1">
            <w:pPr>
              <w:spacing w:after="0"/>
              <w:rPr>
                <w:rFonts w:cstheme="minorHAnsi"/>
              </w:rPr>
            </w:pPr>
            <w:r>
              <w:rPr>
                <w:rFonts w:cstheme="minorHAnsi"/>
              </w:rPr>
              <w:t>37</w:t>
            </w:r>
            <w:r w:rsidRPr="00715092">
              <w:rPr>
                <w:rFonts w:cstheme="minorHAnsi"/>
              </w:rPr>
              <w:t>%</w:t>
            </w:r>
          </w:p>
        </w:tc>
        <w:tc>
          <w:tcPr>
            <w:tcW w:w="1276" w:type="dxa"/>
            <w:tcBorders>
              <w:top w:val="nil"/>
              <w:left w:val="nil"/>
              <w:bottom w:val="single" w:sz="4" w:space="0" w:color="auto"/>
              <w:right w:val="nil"/>
            </w:tcBorders>
            <w:shd w:val="clear" w:color="auto" w:fill="auto"/>
            <w:noWrap/>
            <w:vAlign w:val="center"/>
            <w:hideMark/>
          </w:tcPr>
          <w:p w:rsidR="006565A1" w:rsidRPr="00715092" w:rsidRDefault="006565A1" w:rsidP="006565A1">
            <w:pPr>
              <w:spacing w:after="0"/>
              <w:rPr>
                <w:rFonts w:cstheme="minorHAnsi"/>
              </w:rPr>
            </w:pPr>
            <w:r>
              <w:rPr>
                <w:rFonts w:cstheme="minorHAnsi"/>
              </w:rPr>
              <w:t>37%</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6565A1" w:rsidRPr="00715092" w:rsidRDefault="006565A1" w:rsidP="006565A1">
            <w:pPr>
              <w:spacing w:after="0"/>
              <w:rPr>
                <w:rFonts w:cstheme="minorHAnsi"/>
              </w:rPr>
            </w:pPr>
            <w:r>
              <w:rPr>
                <w:rFonts w:cstheme="minorHAnsi"/>
              </w:rPr>
              <w:t>35%</w:t>
            </w:r>
          </w:p>
        </w:tc>
        <w:tc>
          <w:tcPr>
            <w:tcW w:w="1276" w:type="dxa"/>
            <w:tcBorders>
              <w:top w:val="nil"/>
              <w:left w:val="nil"/>
              <w:bottom w:val="single" w:sz="4" w:space="0" w:color="auto"/>
              <w:right w:val="nil"/>
            </w:tcBorders>
            <w:shd w:val="clear" w:color="auto" w:fill="auto"/>
            <w:noWrap/>
            <w:vAlign w:val="bottom"/>
            <w:hideMark/>
          </w:tcPr>
          <w:p w:rsidR="006565A1" w:rsidRPr="009E19BB" w:rsidRDefault="006565A1" w:rsidP="006565A1">
            <w:pPr>
              <w:spacing w:after="0" w:line="240" w:lineRule="auto"/>
              <w:rPr>
                <w:rFonts w:ascii="Arial" w:eastAsia="Times New Roman" w:hAnsi="Arial" w:cs="Arial"/>
                <w:color w:val="000000"/>
                <w:lang w:eastAsia="en-AU"/>
              </w:rPr>
            </w:pPr>
            <w:r w:rsidRPr="009E19BB">
              <w:rPr>
                <w:rFonts w:ascii="Arial" w:eastAsia="Times New Roman" w:hAnsi="Arial" w:cs="Arial"/>
                <w:color w:val="000000"/>
                <w:lang w:eastAsia="en-AU"/>
              </w:rPr>
              <w:t> </w:t>
            </w:r>
          </w:p>
        </w:tc>
        <w:tc>
          <w:tcPr>
            <w:tcW w:w="1275" w:type="dxa"/>
            <w:tcBorders>
              <w:top w:val="nil"/>
              <w:left w:val="single" w:sz="8" w:space="0" w:color="auto"/>
              <w:bottom w:val="single" w:sz="4" w:space="0" w:color="auto"/>
              <w:right w:val="single" w:sz="8" w:space="0" w:color="auto"/>
            </w:tcBorders>
            <w:shd w:val="clear" w:color="auto" w:fill="auto"/>
            <w:noWrap/>
            <w:vAlign w:val="bottom"/>
            <w:hideMark/>
          </w:tcPr>
          <w:p w:rsidR="006565A1" w:rsidRPr="009E19BB" w:rsidRDefault="006565A1" w:rsidP="006565A1">
            <w:pPr>
              <w:spacing w:after="0" w:line="240" w:lineRule="auto"/>
              <w:rPr>
                <w:rFonts w:ascii="Arial" w:eastAsia="Times New Roman" w:hAnsi="Arial" w:cs="Arial"/>
                <w:color w:val="000000"/>
                <w:lang w:eastAsia="en-AU"/>
              </w:rPr>
            </w:pPr>
            <w:r w:rsidRPr="009E19BB">
              <w:rPr>
                <w:rFonts w:ascii="Arial" w:eastAsia="Times New Roman" w:hAnsi="Arial" w:cs="Arial"/>
                <w:color w:val="000000"/>
                <w:lang w:eastAsia="en-AU"/>
              </w:rPr>
              <w:t> </w:t>
            </w:r>
          </w:p>
        </w:tc>
        <w:tc>
          <w:tcPr>
            <w:tcW w:w="1276" w:type="dxa"/>
            <w:tcBorders>
              <w:top w:val="nil"/>
              <w:left w:val="nil"/>
              <w:bottom w:val="single" w:sz="4" w:space="0" w:color="auto"/>
              <w:right w:val="single" w:sz="8" w:space="0" w:color="auto"/>
            </w:tcBorders>
            <w:shd w:val="clear" w:color="auto" w:fill="auto"/>
            <w:noWrap/>
            <w:vAlign w:val="bottom"/>
            <w:hideMark/>
          </w:tcPr>
          <w:p w:rsidR="006565A1" w:rsidRPr="009E19BB" w:rsidRDefault="006565A1" w:rsidP="006565A1">
            <w:pPr>
              <w:spacing w:after="0" w:line="240" w:lineRule="auto"/>
              <w:rPr>
                <w:rFonts w:ascii="Arial" w:eastAsia="Times New Roman" w:hAnsi="Arial" w:cs="Arial"/>
                <w:color w:val="000000"/>
                <w:lang w:eastAsia="en-AU"/>
              </w:rPr>
            </w:pPr>
            <w:r w:rsidRPr="009E19BB">
              <w:rPr>
                <w:rFonts w:ascii="Arial" w:eastAsia="Times New Roman" w:hAnsi="Arial" w:cs="Arial"/>
                <w:color w:val="000000"/>
                <w:lang w:eastAsia="en-AU"/>
              </w:rPr>
              <w:t> </w:t>
            </w:r>
          </w:p>
        </w:tc>
      </w:tr>
      <w:tr w:rsidR="006565A1" w:rsidRPr="00AD165E" w:rsidTr="00632614">
        <w:trPr>
          <w:trHeight w:val="285"/>
        </w:trPr>
        <w:tc>
          <w:tcPr>
            <w:tcW w:w="1500" w:type="dxa"/>
            <w:tcBorders>
              <w:top w:val="nil"/>
              <w:left w:val="single" w:sz="8" w:space="0" w:color="auto"/>
              <w:bottom w:val="single" w:sz="8" w:space="0" w:color="auto"/>
              <w:right w:val="nil"/>
            </w:tcBorders>
            <w:shd w:val="clear" w:color="auto" w:fill="auto"/>
            <w:noWrap/>
            <w:vAlign w:val="bottom"/>
            <w:hideMark/>
          </w:tcPr>
          <w:p w:rsidR="006565A1" w:rsidRPr="00AD165E" w:rsidRDefault="006565A1" w:rsidP="006565A1">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1 year</w:t>
            </w:r>
          </w:p>
        </w:tc>
        <w:tc>
          <w:tcPr>
            <w:tcW w:w="1325" w:type="dxa"/>
            <w:tcBorders>
              <w:top w:val="nil"/>
              <w:left w:val="single" w:sz="8" w:space="0" w:color="auto"/>
              <w:bottom w:val="single" w:sz="8" w:space="0" w:color="auto"/>
              <w:right w:val="single" w:sz="8" w:space="0" w:color="auto"/>
            </w:tcBorders>
            <w:shd w:val="clear" w:color="auto" w:fill="auto"/>
            <w:noWrap/>
            <w:vAlign w:val="center"/>
            <w:hideMark/>
          </w:tcPr>
          <w:p w:rsidR="006565A1" w:rsidRPr="00715092" w:rsidRDefault="006565A1" w:rsidP="006565A1">
            <w:pPr>
              <w:spacing w:after="0"/>
              <w:rPr>
                <w:rFonts w:cstheme="minorHAnsi"/>
              </w:rPr>
            </w:pPr>
            <w:r>
              <w:rPr>
                <w:rFonts w:cstheme="minorHAnsi"/>
              </w:rPr>
              <w:t>37</w:t>
            </w:r>
            <w:r w:rsidRPr="00715092">
              <w:rPr>
                <w:rFonts w:cstheme="minorHAnsi"/>
              </w:rPr>
              <w:t>%</w:t>
            </w:r>
          </w:p>
        </w:tc>
        <w:tc>
          <w:tcPr>
            <w:tcW w:w="1276" w:type="dxa"/>
            <w:tcBorders>
              <w:top w:val="nil"/>
              <w:left w:val="nil"/>
              <w:bottom w:val="single" w:sz="8" w:space="0" w:color="auto"/>
              <w:right w:val="nil"/>
            </w:tcBorders>
            <w:shd w:val="clear" w:color="auto" w:fill="auto"/>
            <w:noWrap/>
            <w:vAlign w:val="center"/>
            <w:hideMark/>
          </w:tcPr>
          <w:p w:rsidR="006565A1" w:rsidRPr="00715092" w:rsidRDefault="006565A1" w:rsidP="006565A1">
            <w:pPr>
              <w:spacing w:after="0"/>
              <w:rPr>
                <w:rFonts w:cstheme="minorHAnsi"/>
              </w:rPr>
            </w:pPr>
            <w:r>
              <w:rPr>
                <w:rFonts w:cstheme="minorHAnsi"/>
              </w:rPr>
              <w:t>36%</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6565A1" w:rsidRPr="009E19BB" w:rsidRDefault="006565A1" w:rsidP="006565A1">
            <w:pPr>
              <w:spacing w:after="0" w:line="240" w:lineRule="auto"/>
              <w:rPr>
                <w:rFonts w:ascii="Arial" w:eastAsia="Times New Roman" w:hAnsi="Arial" w:cs="Arial"/>
                <w:color w:val="000000"/>
                <w:lang w:eastAsia="en-AU"/>
              </w:rPr>
            </w:pPr>
            <w:r w:rsidRPr="009E19BB">
              <w:rPr>
                <w:rFonts w:ascii="Arial" w:eastAsia="Times New Roman" w:hAnsi="Arial" w:cs="Arial"/>
                <w:color w:val="000000"/>
                <w:lang w:eastAsia="en-AU"/>
              </w:rPr>
              <w:t> </w:t>
            </w:r>
          </w:p>
        </w:tc>
        <w:tc>
          <w:tcPr>
            <w:tcW w:w="1276" w:type="dxa"/>
            <w:tcBorders>
              <w:top w:val="nil"/>
              <w:left w:val="nil"/>
              <w:bottom w:val="single" w:sz="8" w:space="0" w:color="auto"/>
              <w:right w:val="nil"/>
            </w:tcBorders>
            <w:shd w:val="clear" w:color="auto" w:fill="auto"/>
            <w:noWrap/>
            <w:vAlign w:val="bottom"/>
            <w:hideMark/>
          </w:tcPr>
          <w:p w:rsidR="006565A1" w:rsidRPr="009E19BB" w:rsidRDefault="006565A1" w:rsidP="006565A1">
            <w:pPr>
              <w:spacing w:after="0" w:line="240" w:lineRule="auto"/>
              <w:rPr>
                <w:rFonts w:ascii="Arial" w:eastAsia="Times New Roman" w:hAnsi="Arial" w:cs="Arial"/>
                <w:color w:val="000000"/>
                <w:lang w:eastAsia="en-AU"/>
              </w:rPr>
            </w:pPr>
            <w:r w:rsidRPr="009E19BB">
              <w:rPr>
                <w:rFonts w:ascii="Arial" w:eastAsia="Times New Roman" w:hAnsi="Arial" w:cs="Arial"/>
                <w:color w:val="000000"/>
                <w:lang w:eastAsia="en-AU"/>
              </w:rPr>
              <w:t> </w:t>
            </w:r>
          </w:p>
        </w:tc>
        <w:tc>
          <w:tcPr>
            <w:tcW w:w="1275" w:type="dxa"/>
            <w:tcBorders>
              <w:top w:val="nil"/>
              <w:left w:val="single" w:sz="8" w:space="0" w:color="auto"/>
              <w:bottom w:val="single" w:sz="8" w:space="0" w:color="auto"/>
              <w:right w:val="single" w:sz="8" w:space="0" w:color="auto"/>
            </w:tcBorders>
            <w:shd w:val="clear" w:color="auto" w:fill="auto"/>
            <w:noWrap/>
            <w:vAlign w:val="bottom"/>
            <w:hideMark/>
          </w:tcPr>
          <w:p w:rsidR="006565A1" w:rsidRPr="009E19BB" w:rsidRDefault="006565A1" w:rsidP="006565A1">
            <w:pPr>
              <w:spacing w:after="0" w:line="240" w:lineRule="auto"/>
              <w:rPr>
                <w:rFonts w:ascii="Arial" w:eastAsia="Times New Roman" w:hAnsi="Arial" w:cs="Arial"/>
                <w:color w:val="000000"/>
                <w:lang w:eastAsia="en-AU"/>
              </w:rPr>
            </w:pPr>
            <w:r w:rsidRPr="009E19BB">
              <w:rPr>
                <w:rFonts w:ascii="Arial" w:eastAsia="Times New Roman" w:hAnsi="Arial" w:cs="Arial"/>
                <w:color w:val="000000"/>
                <w:lang w:eastAsia="en-AU"/>
              </w:rPr>
              <w:t> </w:t>
            </w:r>
          </w:p>
        </w:tc>
        <w:tc>
          <w:tcPr>
            <w:tcW w:w="1276" w:type="dxa"/>
            <w:tcBorders>
              <w:top w:val="nil"/>
              <w:left w:val="nil"/>
              <w:bottom w:val="single" w:sz="8" w:space="0" w:color="auto"/>
              <w:right w:val="single" w:sz="8" w:space="0" w:color="auto"/>
            </w:tcBorders>
            <w:shd w:val="clear" w:color="auto" w:fill="auto"/>
            <w:noWrap/>
            <w:vAlign w:val="bottom"/>
            <w:hideMark/>
          </w:tcPr>
          <w:p w:rsidR="006565A1" w:rsidRPr="009E19BB" w:rsidRDefault="006565A1" w:rsidP="006565A1">
            <w:pPr>
              <w:spacing w:after="0" w:line="240" w:lineRule="auto"/>
              <w:rPr>
                <w:rFonts w:ascii="Arial" w:eastAsia="Times New Roman" w:hAnsi="Arial" w:cs="Arial"/>
                <w:color w:val="000000"/>
                <w:lang w:eastAsia="en-AU"/>
              </w:rPr>
            </w:pPr>
            <w:r w:rsidRPr="009E19BB">
              <w:rPr>
                <w:rFonts w:ascii="Arial" w:eastAsia="Times New Roman" w:hAnsi="Arial" w:cs="Arial"/>
                <w:color w:val="000000"/>
                <w:lang w:eastAsia="en-AU"/>
              </w:rPr>
              <w:t> </w:t>
            </w:r>
          </w:p>
        </w:tc>
      </w:tr>
    </w:tbl>
    <w:p w:rsidR="00B83265" w:rsidRDefault="00B83265" w:rsidP="00B83265">
      <w:pPr>
        <w:spacing w:after="240"/>
        <w:rPr>
          <w:rFonts w:cstheme="minorHAnsi"/>
        </w:rPr>
      </w:pPr>
    </w:p>
    <w:p w:rsidR="00B83265" w:rsidRPr="002817DE" w:rsidRDefault="00B83265" w:rsidP="002817DE">
      <w:pPr>
        <w:pStyle w:val="Heading2"/>
      </w:pPr>
      <w:bookmarkStart w:id="56" w:name="_Toc121151428"/>
      <w:r w:rsidRPr="002817DE">
        <w:t>Slide 46: Participants aged 15 and over – Lifelong learning</w:t>
      </w:r>
      <w:bookmarkEnd w:id="56"/>
    </w:p>
    <w:p w:rsidR="00B83265" w:rsidRPr="00BB5E10" w:rsidRDefault="00B83265" w:rsidP="00B83265">
      <w:pPr>
        <w:rPr>
          <w:b/>
        </w:rPr>
      </w:pPr>
      <w:r w:rsidRPr="00BB5E10">
        <w:rPr>
          <w:b/>
        </w:rPr>
        <w:t>Completed year 12 or above – benchmark</w:t>
      </w:r>
    </w:p>
    <w:p w:rsidR="00B83265" w:rsidRDefault="00B83265" w:rsidP="00B83265">
      <w:pPr>
        <w:spacing w:after="240"/>
        <w:rPr>
          <w:rFonts w:cstheme="minorHAnsi"/>
        </w:rPr>
      </w:pPr>
      <w:r w:rsidRPr="00801FCF">
        <w:rPr>
          <w:rFonts w:cstheme="minorHAnsi"/>
        </w:rPr>
        <w:t>Compared to the general Australian population</w:t>
      </w:r>
      <w:r w:rsidR="00233603">
        <w:rPr>
          <w:rFonts w:cstheme="minorHAnsi"/>
        </w:rPr>
        <w:t xml:space="preserve"> (</w:t>
      </w:r>
      <w:r w:rsidR="0080201D">
        <w:rPr>
          <w:rFonts w:cstheme="minorHAnsi"/>
        </w:rPr>
        <w:t>Footnote 1</w:t>
      </w:r>
      <w:r w:rsidR="00233603">
        <w:rPr>
          <w:rFonts w:cstheme="minorHAnsi"/>
        </w:rPr>
        <w:t>)</w:t>
      </w:r>
      <w:r w:rsidRPr="00801FCF">
        <w:rPr>
          <w:rFonts w:cstheme="minorHAnsi"/>
        </w:rPr>
        <w:t xml:space="preserve"> (76.6%), a substantially lower percentage of NDIS participants aged 15 and over have completed year 12 or above (across all cohorts). Notwithstanding, there is an increasing trend for cohorts 1 through 4. Cohort 5 displays an increasing trend to review three, with a decline between third and fifth review.</w:t>
      </w:r>
    </w:p>
    <w:p w:rsidR="00B83265" w:rsidRPr="00715092" w:rsidRDefault="00B83265" w:rsidP="00B83265">
      <w:pPr>
        <w:spacing w:after="240"/>
        <w:rPr>
          <w:rFonts w:cstheme="minorHAnsi"/>
        </w:rPr>
      </w:pPr>
      <w:r>
        <w:rPr>
          <w:rFonts w:cstheme="minorHAnsi"/>
        </w:rPr>
        <w:t>A</w:t>
      </w:r>
      <w:r w:rsidRPr="00715092">
        <w:rPr>
          <w:rFonts w:cstheme="minorHAnsi"/>
        </w:rPr>
        <w:t xml:space="preserve"> charts show the percentage who </w:t>
      </w:r>
      <w:r>
        <w:rPr>
          <w:rFonts w:cstheme="minorHAnsi"/>
        </w:rPr>
        <w:t xml:space="preserve">have completed year 12 or above </w:t>
      </w:r>
      <w:r w:rsidRPr="00715092">
        <w:rPr>
          <w:rFonts w:cstheme="minorHAnsi"/>
        </w:rPr>
        <w:t xml:space="preserve">at baseline and at subsequent reviews, for participants in the </w:t>
      </w:r>
      <w:r>
        <w:rPr>
          <w:rFonts w:cstheme="minorHAnsi"/>
        </w:rPr>
        <w:t xml:space="preserve">five years, </w:t>
      </w:r>
      <w:r w:rsidRPr="00715092">
        <w:rPr>
          <w:rFonts w:cstheme="minorHAnsi"/>
        </w:rPr>
        <w:t>four years, three years, two years or one year</w:t>
      </w:r>
      <w:r w:rsidR="00A92BD0">
        <w:rPr>
          <w:rFonts w:cstheme="minorHAnsi"/>
        </w:rPr>
        <w:t xml:space="preserve"> cohorts</w:t>
      </w:r>
      <w:r w:rsidRPr="00715092">
        <w:rPr>
          <w:rFonts w:cstheme="minorHAnsi"/>
        </w:rPr>
        <w:t>.</w:t>
      </w:r>
      <w:r>
        <w:rPr>
          <w:rFonts w:cstheme="minorHAnsi"/>
        </w:rPr>
        <w:t xml:space="preserve"> The benchmark for the Australian population is also shown.</w:t>
      </w:r>
    </w:p>
    <w:p w:rsidR="00B83265" w:rsidRDefault="00B83265" w:rsidP="00B83265">
      <w:pPr>
        <w:spacing w:after="240"/>
        <w:rPr>
          <w:rFonts w:cstheme="minorHAnsi"/>
        </w:rPr>
      </w:pPr>
      <w:r>
        <w:rPr>
          <w:rFonts w:cstheme="minorHAnsi"/>
        </w:rPr>
        <w:t>Completed year 12 or above</w:t>
      </w:r>
      <w:r w:rsidR="00C9157B">
        <w:rPr>
          <w:rFonts w:cstheme="minorHAnsi"/>
        </w:rPr>
        <w:t xml:space="preserve"> (improved)</w:t>
      </w:r>
    </w:p>
    <w:tbl>
      <w:tblPr>
        <w:tblpPr w:leftFromText="180" w:rightFromText="180" w:vertAnchor="text" w:tblpY="1"/>
        <w:tblOverlap w:val="never"/>
        <w:tblW w:w="9776" w:type="dxa"/>
        <w:tblLook w:val="04A0" w:firstRow="1" w:lastRow="0" w:firstColumn="1" w:lastColumn="0" w:noHBand="0" w:noVBand="1"/>
      </w:tblPr>
      <w:tblGrid>
        <w:gridCol w:w="2263"/>
        <w:gridCol w:w="1134"/>
        <w:gridCol w:w="1276"/>
        <w:gridCol w:w="1276"/>
        <w:gridCol w:w="1267"/>
        <w:gridCol w:w="1284"/>
        <w:gridCol w:w="1276"/>
      </w:tblGrid>
      <w:tr w:rsidR="00B83265" w:rsidRPr="002532DD" w:rsidTr="005B13DC">
        <w:trPr>
          <w:trHeight w:val="282"/>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83265" w:rsidRPr="002532DD" w:rsidRDefault="00FA38AE" w:rsidP="002532DD">
            <w:pPr>
              <w:spacing w:after="0" w:line="240" w:lineRule="auto"/>
              <w:rPr>
                <w:rFonts w:ascii="Arial" w:eastAsia="Times New Roman" w:hAnsi="Arial" w:cs="Arial"/>
                <w:b/>
                <w:bCs/>
                <w:color w:val="000000"/>
                <w:lang w:eastAsia="zh-CN"/>
              </w:rPr>
            </w:pPr>
            <w:r w:rsidRPr="002532DD">
              <w:rPr>
                <w:rFonts w:ascii="Arial" w:eastAsia="Times New Roman" w:hAnsi="Arial" w:cs="Arial"/>
                <w:b/>
                <w:bCs/>
                <w:color w:val="000000"/>
                <w:lang w:eastAsia="zh-CN"/>
              </w:rPr>
              <w:lastRenderedPageBreak/>
              <w:t>Benchmark/</w:t>
            </w:r>
            <w:r w:rsidR="00B83265" w:rsidRPr="002532DD">
              <w:rPr>
                <w:rFonts w:ascii="Arial" w:eastAsia="Times New Roman" w:hAnsi="Arial" w:cs="Arial"/>
                <w:b/>
                <w:bCs/>
                <w:color w:val="000000"/>
                <w:lang w:eastAsia="zh-CN"/>
              </w:rPr>
              <w:t>Cohort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B83265" w:rsidRPr="002532DD" w:rsidRDefault="00B83265" w:rsidP="002532DD">
            <w:pPr>
              <w:spacing w:after="0" w:line="240" w:lineRule="auto"/>
              <w:rPr>
                <w:rFonts w:ascii="Arial" w:eastAsia="Times New Roman" w:hAnsi="Arial" w:cs="Arial"/>
                <w:b/>
                <w:bCs/>
                <w:color w:val="000000"/>
                <w:lang w:eastAsia="zh-CN"/>
              </w:rPr>
            </w:pPr>
            <w:r w:rsidRPr="002532DD">
              <w:rPr>
                <w:rFonts w:ascii="Arial" w:eastAsia="Times New Roman" w:hAnsi="Arial" w:cs="Arial"/>
                <w:b/>
                <w:bCs/>
                <w:color w:val="000000"/>
                <w:lang w:eastAsia="zh-CN"/>
              </w:rPr>
              <w:t>Baseline</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83265" w:rsidRPr="002532DD" w:rsidRDefault="00B83265" w:rsidP="002532DD">
            <w:pPr>
              <w:spacing w:after="0" w:line="240" w:lineRule="auto"/>
              <w:rPr>
                <w:rFonts w:ascii="Arial" w:eastAsia="Times New Roman" w:hAnsi="Arial" w:cs="Arial"/>
                <w:b/>
                <w:bCs/>
                <w:color w:val="000000"/>
                <w:lang w:eastAsia="zh-CN"/>
              </w:rPr>
            </w:pPr>
            <w:r w:rsidRPr="002532DD">
              <w:rPr>
                <w:rFonts w:ascii="Arial" w:eastAsia="Times New Roman" w:hAnsi="Arial" w:cs="Arial"/>
                <w:b/>
                <w:bCs/>
                <w:color w:val="000000"/>
                <w:lang w:eastAsia="zh-CN"/>
              </w:rPr>
              <w:t>Review 1</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83265" w:rsidRPr="002532DD" w:rsidRDefault="00B83265" w:rsidP="002532DD">
            <w:pPr>
              <w:spacing w:after="0" w:line="240" w:lineRule="auto"/>
              <w:rPr>
                <w:rFonts w:ascii="Arial" w:eastAsia="Times New Roman" w:hAnsi="Arial" w:cs="Arial"/>
                <w:b/>
                <w:bCs/>
                <w:color w:val="000000"/>
                <w:lang w:eastAsia="zh-CN"/>
              </w:rPr>
            </w:pPr>
            <w:r w:rsidRPr="002532DD">
              <w:rPr>
                <w:rFonts w:ascii="Arial" w:eastAsia="Times New Roman" w:hAnsi="Arial" w:cs="Arial"/>
                <w:b/>
                <w:bCs/>
                <w:color w:val="000000"/>
                <w:lang w:eastAsia="zh-CN"/>
              </w:rPr>
              <w:t>Review 2</w:t>
            </w:r>
          </w:p>
        </w:tc>
        <w:tc>
          <w:tcPr>
            <w:tcW w:w="1267" w:type="dxa"/>
            <w:tcBorders>
              <w:top w:val="single" w:sz="4" w:space="0" w:color="auto"/>
              <w:left w:val="nil"/>
              <w:bottom w:val="single" w:sz="4" w:space="0" w:color="auto"/>
              <w:right w:val="single" w:sz="4" w:space="0" w:color="auto"/>
            </w:tcBorders>
            <w:shd w:val="clear" w:color="000000" w:fill="FFFFFF"/>
            <w:noWrap/>
            <w:vAlign w:val="center"/>
            <w:hideMark/>
          </w:tcPr>
          <w:p w:rsidR="00B83265" w:rsidRPr="002532DD" w:rsidRDefault="00B83265" w:rsidP="002532DD">
            <w:pPr>
              <w:spacing w:after="0" w:line="240" w:lineRule="auto"/>
              <w:rPr>
                <w:rFonts w:ascii="Arial" w:eastAsia="Times New Roman" w:hAnsi="Arial" w:cs="Arial"/>
                <w:b/>
                <w:bCs/>
                <w:color w:val="000000"/>
                <w:lang w:eastAsia="zh-CN"/>
              </w:rPr>
            </w:pPr>
            <w:r w:rsidRPr="002532DD">
              <w:rPr>
                <w:rFonts w:ascii="Arial" w:eastAsia="Times New Roman" w:hAnsi="Arial" w:cs="Arial"/>
                <w:b/>
                <w:bCs/>
                <w:color w:val="000000"/>
                <w:lang w:eastAsia="zh-CN"/>
              </w:rPr>
              <w:t>Review 3</w:t>
            </w:r>
          </w:p>
        </w:tc>
        <w:tc>
          <w:tcPr>
            <w:tcW w:w="1284" w:type="dxa"/>
            <w:tcBorders>
              <w:top w:val="single" w:sz="4" w:space="0" w:color="auto"/>
              <w:left w:val="nil"/>
              <w:bottom w:val="single" w:sz="4" w:space="0" w:color="auto"/>
              <w:right w:val="single" w:sz="4" w:space="0" w:color="auto"/>
            </w:tcBorders>
            <w:shd w:val="clear" w:color="000000" w:fill="FFFFFF"/>
            <w:noWrap/>
            <w:vAlign w:val="center"/>
            <w:hideMark/>
          </w:tcPr>
          <w:p w:rsidR="00B83265" w:rsidRPr="002532DD" w:rsidRDefault="00B83265" w:rsidP="002532DD">
            <w:pPr>
              <w:spacing w:after="0" w:line="240" w:lineRule="auto"/>
              <w:rPr>
                <w:rFonts w:ascii="Arial" w:eastAsia="Times New Roman" w:hAnsi="Arial" w:cs="Arial"/>
                <w:b/>
                <w:bCs/>
                <w:color w:val="000000"/>
                <w:lang w:eastAsia="zh-CN"/>
              </w:rPr>
            </w:pPr>
            <w:r w:rsidRPr="002532DD">
              <w:rPr>
                <w:rFonts w:ascii="Arial" w:eastAsia="Times New Roman" w:hAnsi="Arial" w:cs="Arial"/>
                <w:b/>
                <w:bCs/>
                <w:color w:val="000000"/>
                <w:lang w:eastAsia="zh-CN"/>
              </w:rPr>
              <w:t>Review 4</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B83265" w:rsidRPr="002532DD" w:rsidRDefault="00B83265" w:rsidP="002532DD">
            <w:pPr>
              <w:spacing w:after="0" w:line="240" w:lineRule="auto"/>
              <w:rPr>
                <w:rFonts w:ascii="Arial" w:eastAsia="Times New Roman" w:hAnsi="Arial" w:cs="Arial"/>
                <w:b/>
                <w:bCs/>
                <w:color w:val="000000"/>
                <w:lang w:eastAsia="zh-CN"/>
              </w:rPr>
            </w:pPr>
            <w:r w:rsidRPr="002532DD">
              <w:rPr>
                <w:rFonts w:ascii="Arial" w:eastAsia="Times New Roman" w:hAnsi="Arial" w:cs="Arial"/>
                <w:b/>
                <w:bCs/>
                <w:color w:val="000000"/>
                <w:lang w:eastAsia="zh-CN"/>
              </w:rPr>
              <w:t>Review 5</w:t>
            </w:r>
          </w:p>
        </w:tc>
      </w:tr>
      <w:tr w:rsidR="00B83265" w:rsidRPr="002532DD" w:rsidTr="005B13DC">
        <w:trPr>
          <w:trHeight w:val="282"/>
        </w:trPr>
        <w:tc>
          <w:tcPr>
            <w:tcW w:w="2263" w:type="dxa"/>
            <w:tcBorders>
              <w:top w:val="nil"/>
              <w:left w:val="single" w:sz="4" w:space="0" w:color="auto"/>
              <w:bottom w:val="single" w:sz="4" w:space="0" w:color="auto"/>
              <w:right w:val="single" w:sz="4" w:space="0" w:color="auto"/>
            </w:tcBorders>
            <w:shd w:val="clear" w:color="000000" w:fill="FFFFFF"/>
            <w:noWrap/>
            <w:vAlign w:val="center"/>
            <w:hideMark/>
          </w:tcPr>
          <w:p w:rsidR="00B83265" w:rsidRPr="002532DD" w:rsidRDefault="00B83265" w:rsidP="002532DD">
            <w:pPr>
              <w:spacing w:after="0"/>
              <w:rPr>
                <w:rFonts w:ascii="Arial" w:hAnsi="Arial" w:cs="Arial"/>
              </w:rPr>
            </w:pPr>
            <w:r w:rsidRPr="002532DD">
              <w:rPr>
                <w:rFonts w:ascii="Arial" w:hAnsi="Arial" w:cs="Arial"/>
              </w:rPr>
              <w:t>Benchmark</w:t>
            </w:r>
          </w:p>
        </w:tc>
        <w:tc>
          <w:tcPr>
            <w:tcW w:w="1134" w:type="dxa"/>
            <w:tcBorders>
              <w:top w:val="nil"/>
              <w:left w:val="nil"/>
              <w:bottom w:val="single" w:sz="4" w:space="0" w:color="auto"/>
              <w:right w:val="single" w:sz="4" w:space="0" w:color="auto"/>
            </w:tcBorders>
            <w:shd w:val="clear" w:color="000000" w:fill="FFFFFF"/>
            <w:noWrap/>
            <w:vAlign w:val="center"/>
          </w:tcPr>
          <w:p w:rsidR="00B83265" w:rsidRPr="002532DD" w:rsidRDefault="00B83265" w:rsidP="002532DD">
            <w:pPr>
              <w:spacing w:after="0"/>
              <w:rPr>
                <w:rFonts w:ascii="Arial" w:hAnsi="Arial" w:cs="Arial"/>
              </w:rPr>
            </w:pPr>
            <w:r w:rsidRPr="002532DD">
              <w:rPr>
                <w:rFonts w:ascii="Arial" w:hAnsi="Arial" w:cs="Arial"/>
              </w:rPr>
              <w:t>76.6%</w:t>
            </w:r>
          </w:p>
        </w:tc>
        <w:tc>
          <w:tcPr>
            <w:tcW w:w="1276" w:type="dxa"/>
            <w:tcBorders>
              <w:top w:val="nil"/>
              <w:left w:val="nil"/>
              <w:bottom w:val="single" w:sz="4" w:space="0" w:color="auto"/>
              <w:right w:val="single" w:sz="4" w:space="0" w:color="auto"/>
            </w:tcBorders>
            <w:shd w:val="clear" w:color="000000" w:fill="FFFFFF"/>
            <w:noWrap/>
            <w:vAlign w:val="center"/>
          </w:tcPr>
          <w:p w:rsidR="00B83265" w:rsidRPr="002532DD" w:rsidRDefault="00B83265" w:rsidP="002532DD">
            <w:pPr>
              <w:spacing w:after="0"/>
              <w:rPr>
                <w:rFonts w:ascii="Arial" w:hAnsi="Arial" w:cs="Arial"/>
              </w:rPr>
            </w:pPr>
            <w:r w:rsidRPr="002532DD">
              <w:rPr>
                <w:rFonts w:ascii="Arial" w:hAnsi="Arial" w:cs="Arial"/>
              </w:rPr>
              <w:t>76.6%</w:t>
            </w:r>
          </w:p>
        </w:tc>
        <w:tc>
          <w:tcPr>
            <w:tcW w:w="1276" w:type="dxa"/>
            <w:tcBorders>
              <w:top w:val="nil"/>
              <w:left w:val="nil"/>
              <w:bottom w:val="single" w:sz="4" w:space="0" w:color="auto"/>
              <w:right w:val="single" w:sz="4" w:space="0" w:color="auto"/>
            </w:tcBorders>
            <w:shd w:val="clear" w:color="000000" w:fill="FFFFFF"/>
            <w:noWrap/>
            <w:vAlign w:val="center"/>
          </w:tcPr>
          <w:p w:rsidR="00B83265" w:rsidRPr="002532DD" w:rsidRDefault="00B83265" w:rsidP="002532DD">
            <w:pPr>
              <w:spacing w:after="0"/>
              <w:rPr>
                <w:rFonts w:ascii="Arial" w:hAnsi="Arial" w:cs="Arial"/>
              </w:rPr>
            </w:pPr>
            <w:r w:rsidRPr="002532DD">
              <w:rPr>
                <w:rFonts w:ascii="Arial" w:hAnsi="Arial" w:cs="Arial"/>
              </w:rPr>
              <w:t>76.6%</w:t>
            </w:r>
          </w:p>
        </w:tc>
        <w:tc>
          <w:tcPr>
            <w:tcW w:w="1267" w:type="dxa"/>
            <w:tcBorders>
              <w:top w:val="nil"/>
              <w:left w:val="nil"/>
              <w:bottom w:val="single" w:sz="4" w:space="0" w:color="auto"/>
              <w:right w:val="single" w:sz="4" w:space="0" w:color="auto"/>
            </w:tcBorders>
            <w:shd w:val="clear" w:color="000000" w:fill="FFFFFF"/>
            <w:noWrap/>
            <w:vAlign w:val="center"/>
          </w:tcPr>
          <w:p w:rsidR="00B83265" w:rsidRPr="002532DD" w:rsidRDefault="00B83265" w:rsidP="002532DD">
            <w:pPr>
              <w:spacing w:after="0"/>
              <w:rPr>
                <w:rFonts w:ascii="Arial" w:hAnsi="Arial" w:cs="Arial"/>
              </w:rPr>
            </w:pPr>
            <w:r w:rsidRPr="002532DD">
              <w:rPr>
                <w:rFonts w:ascii="Arial" w:hAnsi="Arial" w:cs="Arial"/>
              </w:rPr>
              <w:t>76.6%</w:t>
            </w:r>
          </w:p>
        </w:tc>
        <w:tc>
          <w:tcPr>
            <w:tcW w:w="1284" w:type="dxa"/>
            <w:tcBorders>
              <w:top w:val="nil"/>
              <w:left w:val="nil"/>
              <w:bottom w:val="single" w:sz="4" w:space="0" w:color="auto"/>
              <w:right w:val="single" w:sz="4" w:space="0" w:color="auto"/>
            </w:tcBorders>
            <w:shd w:val="clear" w:color="000000" w:fill="FFFFFF"/>
            <w:noWrap/>
            <w:vAlign w:val="center"/>
          </w:tcPr>
          <w:p w:rsidR="00B83265" w:rsidRPr="002532DD" w:rsidRDefault="00B83265" w:rsidP="002532DD">
            <w:pPr>
              <w:spacing w:after="0"/>
              <w:rPr>
                <w:rFonts w:ascii="Arial" w:hAnsi="Arial" w:cs="Arial"/>
              </w:rPr>
            </w:pPr>
            <w:r w:rsidRPr="002532DD">
              <w:rPr>
                <w:rFonts w:ascii="Arial" w:hAnsi="Arial" w:cs="Arial"/>
              </w:rPr>
              <w:t>76.6%</w:t>
            </w:r>
          </w:p>
        </w:tc>
        <w:tc>
          <w:tcPr>
            <w:tcW w:w="1276" w:type="dxa"/>
            <w:tcBorders>
              <w:top w:val="nil"/>
              <w:left w:val="nil"/>
              <w:bottom w:val="single" w:sz="4" w:space="0" w:color="auto"/>
              <w:right w:val="single" w:sz="4" w:space="0" w:color="auto"/>
            </w:tcBorders>
            <w:shd w:val="clear" w:color="000000" w:fill="FFFFFF"/>
            <w:vAlign w:val="center"/>
          </w:tcPr>
          <w:p w:rsidR="00B83265" w:rsidRPr="002532DD" w:rsidRDefault="00B83265" w:rsidP="002532DD">
            <w:pPr>
              <w:spacing w:after="0"/>
              <w:rPr>
                <w:rFonts w:ascii="Arial" w:hAnsi="Arial" w:cs="Arial"/>
              </w:rPr>
            </w:pPr>
            <w:r w:rsidRPr="002532DD">
              <w:rPr>
                <w:rFonts w:ascii="Arial" w:hAnsi="Arial" w:cs="Arial"/>
              </w:rPr>
              <w:t>76.6%</w:t>
            </w:r>
          </w:p>
        </w:tc>
      </w:tr>
      <w:tr w:rsidR="00B83265" w:rsidRPr="002532DD" w:rsidTr="005B13DC">
        <w:trPr>
          <w:trHeight w:val="282"/>
        </w:trPr>
        <w:tc>
          <w:tcPr>
            <w:tcW w:w="2263" w:type="dxa"/>
            <w:tcBorders>
              <w:top w:val="nil"/>
              <w:left w:val="single" w:sz="4" w:space="0" w:color="auto"/>
              <w:bottom w:val="single" w:sz="4" w:space="0" w:color="auto"/>
              <w:right w:val="single" w:sz="4" w:space="0" w:color="auto"/>
            </w:tcBorders>
            <w:shd w:val="clear" w:color="000000" w:fill="FFFFFF"/>
            <w:noWrap/>
            <w:vAlign w:val="center"/>
          </w:tcPr>
          <w:p w:rsidR="00B83265" w:rsidRPr="002532DD" w:rsidRDefault="00FA38AE" w:rsidP="002532DD">
            <w:pPr>
              <w:spacing w:after="0"/>
              <w:rPr>
                <w:rFonts w:ascii="Arial" w:hAnsi="Arial" w:cs="Arial"/>
              </w:rPr>
            </w:pPr>
            <w:r w:rsidRPr="002532DD">
              <w:rPr>
                <w:rFonts w:ascii="Arial" w:hAnsi="Arial" w:cs="Arial"/>
              </w:rPr>
              <w:t>5 years</w:t>
            </w:r>
          </w:p>
        </w:tc>
        <w:tc>
          <w:tcPr>
            <w:tcW w:w="1134" w:type="dxa"/>
            <w:tcBorders>
              <w:top w:val="nil"/>
              <w:left w:val="nil"/>
              <w:bottom w:val="single" w:sz="4" w:space="0" w:color="auto"/>
              <w:right w:val="single" w:sz="4" w:space="0" w:color="auto"/>
            </w:tcBorders>
            <w:shd w:val="clear" w:color="000000" w:fill="FFFFFF"/>
            <w:noWrap/>
            <w:vAlign w:val="center"/>
          </w:tcPr>
          <w:p w:rsidR="00B83265" w:rsidRPr="002532DD" w:rsidRDefault="00B83265" w:rsidP="002532DD">
            <w:pPr>
              <w:spacing w:after="0"/>
              <w:rPr>
                <w:rFonts w:ascii="Arial" w:hAnsi="Arial" w:cs="Arial"/>
              </w:rPr>
            </w:pPr>
            <w:r w:rsidRPr="002532DD">
              <w:rPr>
                <w:rFonts w:ascii="Arial" w:hAnsi="Arial" w:cs="Arial"/>
              </w:rPr>
              <w:t>46.4%</w:t>
            </w:r>
          </w:p>
        </w:tc>
        <w:tc>
          <w:tcPr>
            <w:tcW w:w="1276" w:type="dxa"/>
            <w:tcBorders>
              <w:top w:val="nil"/>
              <w:left w:val="nil"/>
              <w:bottom w:val="single" w:sz="4" w:space="0" w:color="auto"/>
              <w:right w:val="single" w:sz="4" w:space="0" w:color="auto"/>
            </w:tcBorders>
            <w:shd w:val="clear" w:color="000000" w:fill="FFFFFF"/>
            <w:noWrap/>
            <w:vAlign w:val="center"/>
          </w:tcPr>
          <w:p w:rsidR="00B83265" w:rsidRPr="002532DD" w:rsidRDefault="00B83265" w:rsidP="002532DD">
            <w:pPr>
              <w:spacing w:after="0"/>
              <w:rPr>
                <w:rFonts w:ascii="Arial" w:hAnsi="Arial" w:cs="Arial"/>
              </w:rPr>
            </w:pPr>
            <w:r w:rsidRPr="002532DD">
              <w:rPr>
                <w:rFonts w:ascii="Arial" w:hAnsi="Arial" w:cs="Arial"/>
              </w:rPr>
              <w:t>50.5%</w:t>
            </w:r>
          </w:p>
        </w:tc>
        <w:tc>
          <w:tcPr>
            <w:tcW w:w="1276" w:type="dxa"/>
            <w:tcBorders>
              <w:top w:val="nil"/>
              <w:left w:val="nil"/>
              <w:bottom w:val="single" w:sz="4" w:space="0" w:color="auto"/>
              <w:right w:val="single" w:sz="4" w:space="0" w:color="auto"/>
            </w:tcBorders>
            <w:shd w:val="clear" w:color="000000" w:fill="FFFFFF"/>
            <w:noWrap/>
            <w:vAlign w:val="center"/>
          </w:tcPr>
          <w:p w:rsidR="00B83265" w:rsidRPr="002532DD" w:rsidRDefault="00B83265" w:rsidP="002532DD">
            <w:pPr>
              <w:spacing w:after="0"/>
              <w:rPr>
                <w:rFonts w:ascii="Arial" w:hAnsi="Arial" w:cs="Arial"/>
              </w:rPr>
            </w:pPr>
            <w:r w:rsidRPr="002532DD">
              <w:rPr>
                <w:rFonts w:ascii="Arial" w:hAnsi="Arial" w:cs="Arial"/>
              </w:rPr>
              <w:t>52.9%</w:t>
            </w:r>
          </w:p>
        </w:tc>
        <w:tc>
          <w:tcPr>
            <w:tcW w:w="1267" w:type="dxa"/>
            <w:tcBorders>
              <w:top w:val="nil"/>
              <w:left w:val="nil"/>
              <w:bottom w:val="single" w:sz="4" w:space="0" w:color="auto"/>
              <w:right w:val="single" w:sz="4" w:space="0" w:color="auto"/>
            </w:tcBorders>
            <w:shd w:val="clear" w:color="000000" w:fill="FFFFFF"/>
            <w:noWrap/>
            <w:vAlign w:val="center"/>
          </w:tcPr>
          <w:p w:rsidR="00B83265" w:rsidRPr="002532DD" w:rsidRDefault="00B83265" w:rsidP="002532DD">
            <w:pPr>
              <w:spacing w:after="0"/>
              <w:rPr>
                <w:rFonts w:ascii="Arial" w:hAnsi="Arial" w:cs="Arial"/>
              </w:rPr>
            </w:pPr>
            <w:r w:rsidRPr="002532DD">
              <w:rPr>
                <w:rFonts w:ascii="Arial" w:hAnsi="Arial" w:cs="Arial"/>
              </w:rPr>
              <w:t>54.3%</w:t>
            </w:r>
          </w:p>
        </w:tc>
        <w:tc>
          <w:tcPr>
            <w:tcW w:w="1284" w:type="dxa"/>
            <w:tcBorders>
              <w:top w:val="nil"/>
              <w:left w:val="nil"/>
              <w:bottom w:val="single" w:sz="4" w:space="0" w:color="auto"/>
              <w:right w:val="single" w:sz="4" w:space="0" w:color="auto"/>
            </w:tcBorders>
            <w:shd w:val="clear" w:color="000000" w:fill="FFFFFF"/>
            <w:noWrap/>
            <w:vAlign w:val="center"/>
          </w:tcPr>
          <w:p w:rsidR="00B83265" w:rsidRPr="002532DD" w:rsidRDefault="00B83265" w:rsidP="002532DD">
            <w:pPr>
              <w:spacing w:after="0"/>
              <w:rPr>
                <w:rFonts w:ascii="Arial" w:hAnsi="Arial" w:cs="Arial"/>
              </w:rPr>
            </w:pPr>
            <w:r w:rsidRPr="002532DD">
              <w:rPr>
                <w:rFonts w:ascii="Arial" w:hAnsi="Arial" w:cs="Arial"/>
              </w:rPr>
              <w:t>53.3%</w:t>
            </w:r>
          </w:p>
        </w:tc>
        <w:tc>
          <w:tcPr>
            <w:tcW w:w="1276" w:type="dxa"/>
            <w:tcBorders>
              <w:top w:val="nil"/>
              <w:left w:val="nil"/>
              <w:bottom w:val="single" w:sz="4" w:space="0" w:color="auto"/>
              <w:right w:val="single" w:sz="4" w:space="0" w:color="auto"/>
            </w:tcBorders>
            <w:shd w:val="clear" w:color="000000" w:fill="FFFFFF"/>
            <w:vAlign w:val="center"/>
          </w:tcPr>
          <w:p w:rsidR="00B83265" w:rsidRPr="002532DD" w:rsidRDefault="00B83265" w:rsidP="002532DD">
            <w:pPr>
              <w:spacing w:after="0"/>
              <w:rPr>
                <w:rFonts w:ascii="Arial" w:hAnsi="Arial" w:cs="Arial"/>
              </w:rPr>
            </w:pPr>
            <w:r w:rsidRPr="002532DD">
              <w:rPr>
                <w:rFonts w:ascii="Arial" w:hAnsi="Arial" w:cs="Arial"/>
              </w:rPr>
              <w:t>52.1%</w:t>
            </w:r>
          </w:p>
        </w:tc>
      </w:tr>
      <w:tr w:rsidR="00B83265" w:rsidRPr="002532DD" w:rsidTr="005B13DC">
        <w:trPr>
          <w:trHeight w:val="282"/>
        </w:trPr>
        <w:tc>
          <w:tcPr>
            <w:tcW w:w="2263" w:type="dxa"/>
            <w:tcBorders>
              <w:top w:val="nil"/>
              <w:left w:val="single" w:sz="4" w:space="0" w:color="auto"/>
              <w:bottom w:val="single" w:sz="4" w:space="0" w:color="auto"/>
              <w:right w:val="single" w:sz="4" w:space="0" w:color="auto"/>
            </w:tcBorders>
            <w:shd w:val="clear" w:color="000000" w:fill="FFFFFF"/>
            <w:noWrap/>
            <w:vAlign w:val="center"/>
            <w:hideMark/>
          </w:tcPr>
          <w:p w:rsidR="00B83265" w:rsidRPr="002532DD" w:rsidRDefault="00B83265" w:rsidP="002532DD">
            <w:pPr>
              <w:spacing w:after="0"/>
              <w:rPr>
                <w:rFonts w:ascii="Arial" w:hAnsi="Arial" w:cs="Arial"/>
              </w:rPr>
            </w:pPr>
            <w:r w:rsidRPr="002532DD">
              <w:rPr>
                <w:rFonts w:ascii="Arial" w:hAnsi="Arial" w:cs="Arial"/>
              </w:rPr>
              <w:t xml:space="preserve">4 </w:t>
            </w:r>
            <w:r w:rsidR="00FA38AE" w:rsidRPr="002532DD">
              <w:rPr>
                <w:rFonts w:ascii="Arial" w:hAnsi="Arial" w:cs="Arial"/>
              </w:rPr>
              <w:t xml:space="preserve"> years</w:t>
            </w:r>
          </w:p>
        </w:tc>
        <w:tc>
          <w:tcPr>
            <w:tcW w:w="1134" w:type="dxa"/>
            <w:tcBorders>
              <w:top w:val="nil"/>
              <w:left w:val="nil"/>
              <w:bottom w:val="single" w:sz="4" w:space="0" w:color="auto"/>
              <w:right w:val="single" w:sz="4" w:space="0" w:color="auto"/>
            </w:tcBorders>
            <w:shd w:val="clear" w:color="000000" w:fill="FFFFFF"/>
            <w:noWrap/>
            <w:vAlign w:val="center"/>
          </w:tcPr>
          <w:p w:rsidR="00B83265" w:rsidRPr="002532DD" w:rsidRDefault="00B83265" w:rsidP="002532DD">
            <w:pPr>
              <w:spacing w:after="0"/>
              <w:rPr>
                <w:rFonts w:ascii="Arial" w:hAnsi="Arial" w:cs="Arial"/>
              </w:rPr>
            </w:pPr>
            <w:r w:rsidRPr="002532DD">
              <w:rPr>
                <w:rFonts w:ascii="Arial" w:hAnsi="Arial" w:cs="Arial"/>
              </w:rPr>
              <w:t>43.7%</w:t>
            </w:r>
          </w:p>
        </w:tc>
        <w:tc>
          <w:tcPr>
            <w:tcW w:w="1276" w:type="dxa"/>
            <w:tcBorders>
              <w:top w:val="nil"/>
              <w:left w:val="nil"/>
              <w:bottom w:val="single" w:sz="4" w:space="0" w:color="auto"/>
              <w:right w:val="single" w:sz="4" w:space="0" w:color="auto"/>
            </w:tcBorders>
            <w:shd w:val="clear" w:color="000000" w:fill="FFFFFF"/>
            <w:noWrap/>
            <w:vAlign w:val="center"/>
          </w:tcPr>
          <w:p w:rsidR="00B83265" w:rsidRPr="002532DD" w:rsidRDefault="00B83265" w:rsidP="002532DD">
            <w:pPr>
              <w:spacing w:after="0"/>
              <w:rPr>
                <w:rFonts w:ascii="Arial" w:hAnsi="Arial" w:cs="Arial"/>
              </w:rPr>
            </w:pPr>
            <w:r w:rsidRPr="002532DD">
              <w:rPr>
                <w:rFonts w:ascii="Arial" w:hAnsi="Arial" w:cs="Arial"/>
              </w:rPr>
              <w:t>46.0%</w:t>
            </w:r>
          </w:p>
        </w:tc>
        <w:tc>
          <w:tcPr>
            <w:tcW w:w="1276" w:type="dxa"/>
            <w:tcBorders>
              <w:top w:val="nil"/>
              <w:left w:val="nil"/>
              <w:bottom w:val="single" w:sz="4" w:space="0" w:color="auto"/>
              <w:right w:val="single" w:sz="4" w:space="0" w:color="auto"/>
            </w:tcBorders>
            <w:shd w:val="clear" w:color="000000" w:fill="FFFFFF"/>
            <w:noWrap/>
            <w:vAlign w:val="center"/>
          </w:tcPr>
          <w:p w:rsidR="00B83265" w:rsidRPr="002532DD" w:rsidRDefault="00B83265" w:rsidP="002532DD">
            <w:pPr>
              <w:spacing w:after="0"/>
              <w:rPr>
                <w:rFonts w:ascii="Arial" w:hAnsi="Arial" w:cs="Arial"/>
              </w:rPr>
            </w:pPr>
            <w:r w:rsidRPr="002532DD">
              <w:rPr>
                <w:rFonts w:ascii="Arial" w:hAnsi="Arial" w:cs="Arial"/>
              </w:rPr>
              <w:t>49.5%</w:t>
            </w:r>
          </w:p>
        </w:tc>
        <w:tc>
          <w:tcPr>
            <w:tcW w:w="1267" w:type="dxa"/>
            <w:tcBorders>
              <w:top w:val="nil"/>
              <w:left w:val="nil"/>
              <w:bottom w:val="single" w:sz="4" w:space="0" w:color="auto"/>
              <w:right w:val="single" w:sz="4" w:space="0" w:color="auto"/>
            </w:tcBorders>
            <w:shd w:val="clear" w:color="000000" w:fill="FFFFFF"/>
            <w:noWrap/>
            <w:vAlign w:val="center"/>
          </w:tcPr>
          <w:p w:rsidR="00B83265" w:rsidRPr="002532DD" w:rsidRDefault="00B83265" w:rsidP="002532DD">
            <w:pPr>
              <w:spacing w:after="0"/>
              <w:rPr>
                <w:rFonts w:ascii="Arial" w:hAnsi="Arial" w:cs="Arial"/>
              </w:rPr>
            </w:pPr>
            <w:r w:rsidRPr="002532DD">
              <w:rPr>
                <w:rFonts w:ascii="Arial" w:hAnsi="Arial" w:cs="Arial"/>
              </w:rPr>
              <w:t>51.1%</w:t>
            </w:r>
          </w:p>
        </w:tc>
        <w:tc>
          <w:tcPr>
            <w:tcW w:w="1284" w:type="dxa"/>
            <w:tcBorders>
              <w:top w:val="nil"/>
              <w:left w:val="nil"/>
              <w:bottom w:val="single" w:sz="4" w:space="0" w:color="auto"/>
              <w:right w:val="single" w:sz="4" w:space="0" w:color="auto"/>
            </w:tcBorders>
            <w:shd w:val="clear" w:color="000000" w:fill="FFFFFF"/>
            <w:noWrap/>
            <w:vAlign w:val="center"/>
          </w:tcPr>
          <w:p w:rsidR="00B83265" w:rsidRPr="002532DD" w:rsidRDefault="00B83265" w:rsidP="002532DD">
            <w:pPr>
              <w:spacing w:after="0"/>
              <w:rPr>
                <w:rFonts w:ascii="Arial" w:hAnsi="Arial" w:cs="Arial"/>
              </w:rPr>
            </w:pPr>
            <w:r w:rsidRPr="002532DD">
              <w:rPr>
                <w:rFonts w:ascii="Arial" w:hAnsi="Arial" w:cs="Arial"/>
              </w:rPr>
              <w:t>51.4%</w:t>
            </w:r>
          </w:p>
        </w:tc>
        <w:tc>
          <w:tcPr>
            <w:tcW w:w="1276" w:type="dxa"/>
            <w:tcBorders>
              <w:top w:val="nil"/>
              <w:left w:val="nil"/>
              <w:bottom w:val="single" w:sz="4" w:space="0" w:color="auto"/>
              <w:right w:val="single" w:sz="4" w:space="0" w:color="auto"/>
            </w:tcBorders>
            <w:shd w:val="clear" w:color="000000" w:fill="FFFFFF"/>
            <w:vAlign w:val="center"/>
          </w:tcPr>
          <w:p w:rsidR="00B83265" w:rsidRPr="002532DD" w:rsidRDefault="00B83265" w:rsidP="002532DD">
            <w:pPr>
              <w:spacing w:after="0"/>
              <w:rPr>
                <w:rFonts w:ascii="Arial" w:hAnsi="Arial" w:cs="Arial"/>
              </w:rPr>
            </w:pPr>
          </w:p>
        </w:tc>
      </w:tr>
      <w:tr w:rsidR="00B83265" w:rsidRPr="002532DD" w:rsidTr="005B13DC">
        <w:trPr>
          <w:trHeight w:val="282"/>
        </w:trPr>
        <w:tc>
          <w:tcPr>
            <w:tcW w:w="2263" w:type="dxa"/>
            <w:tcBorders>
              <w:top w:val="nil"/>
              <w:left w:val="single" w:sz="4" w:space="0" w:color="auto"/>
              <w:bottom w:val="single" w:sz="4" w:space="0" w:color="auto"/>
              <w:right w:val="single" w:sz="4" w:space="0" w:color="auto"/>
            </w:tcBorders>
            <w:shd w:val="clear" w:color="000000" w:fill="FFFFFF"/>
            <w:noWrap/>
            <w:vAlign w:val="center"/>
            <w:hideMark/>
          </w:tcPr>
          <w:p w:rsidR="00B83265" w:rsidRPr="002532DD" w:rsidRDefault="00B83265" w:rsidP="002532DD">
            <w:pPr>
              <w:spacing w:after="0"/>
              <w:rPr>
                <w:rFonts w:ascii="Arial" w:hAnsi="Arial" w:cs="Arial"/>
              </w:rPr>
            </w:pPr>
            <w:r w:rsidRPr="002532DD">
              <w:rPr>
                <w:rFonts w:ascii="Arial" w:hAnsi="Arial" w:cs="Arial"/>
              </w:rPr>
              <w:t xml:space="preserve">3 </w:t>
            </w:r>
            <w:r w:rsidR="00FA38AE" w:rsidRPr="002532DD">
              <w:rPr>
                <w:rFonts w:ascii="Arial" w:hAnsi="Arial" w:cs="Arial"/>
              </w:rPr>
              <w:t xml:space="preserve"> years</w:t>
            </w:r>
          </w:p>
        </w:tc>
        <w:tc>
          <w:tcPr>
            <w:tcW w:w="1134" w:type="dxa"/>
            <w:tcBorders>
              <w:top w:val="nil"/>
              <w:left w:val="nil"/>
              <w:bottom w:val="single" w:sz="4" w:space="0" w:color="auto"/>
              <w:right w:val="single" w:sz="4" w:space="0" w:color="auto"/>
            </w:tcBorders>
            <w:shd w:val="clear" w:color="000000" w:fill="FFFFFF"/>
            <w:noWrap/>
            <w:vAlign w:val="center"/>
          </w:tcPr>
          <w:p w:rsidR="00B83265" w:rsidRPr="002532DD" w:rsidRDefault="00B83265" w:rsidP="002532DD">
            <w:pPr>
              <w:spacing w:after="0"/>
              <w:rPr>
                <w:rFonts w:ascii="Arial" w:hAnsi="Arial" w:cs="Arial"/>
              </w:rPr>
            </w:pPr>
            <w:r w:rsidRPr="002532DD">
              <w:rPr>
                <w:rFonts w:ascii="Arial" w:hAnsi="Arial" w:cs="Arial"/>
              </w:rPr>
              <w:t>42.6%</w:t>
            </w:r>
          </w:p>
        </w:tc>
        <w:tc>
          <w:tcPr>
            <w:tcW w:w="1276" w:type="dxa"/>
            <w:tcBorders>
              <w:top w:val="nil"/>
              <w:left w:val="nil"/>
              <w:bottom w:val="single" w:sz="4" w:space="0" w:color="auto"/>
              <w:right w:val="single" w:sz="4" w:space="0" w:color="auto"/>
            </w:tcBorders>
            <w:shd w:val="clear" w:color="000000" w:fill="FFFFFF"/>
            <w:noWrap/>
            <w:vAlign w:val="center"/>
          </w:tcPr>
          <w:p w:rsidR="00B83265" w:rsidRPr="002532DD" w:rsidRDefault="00B83265" w:rsidP="002532DD">
            <w:pPr>
              <w:spacing w:after="0"/>
              <w:rPr>
                <w:rFonts w:ascii="Arial" w:hAnsi="Arial" w:cs="Arial"/>
              </w:rPr>
            </w:pPr>
            <w:r w:rsidRPr="002532DD">
              <w:rPr>
                <w:rFonts w:ascii="Arial" w:hAnsi="Arial" w:cs="Arial"/>
              </w:rPr>
              <w:t>45.2%</w:t>
            </w:r>
          </w:p>
        </w:tc>
        <w:tc>
          <w:tcPr>
            <w:tcW w:w="1276" w:type="dxa"/>
            <w:tcBorders>
              <w:top w:val="nil"/>
              <w:left w:val="nil"/>
              <w:bottom w:val="single" w:sz="4" w:space="0" w:color="auto"/>
              <w:right w:val="single" w:sz="4" w:space="0" w:color="auto"/>
            </w:tcBorders>
            <w:shd w:val="clear" w:color="000000" w:fill="FFFFFF"/>
            <w:noWrap/>
            <w:vAlign w:val="center"/>
          </w:tcPr>
          <w:p w:rsidR="00B83265" w:rsidRPr="002532DD" w:rsidRDefault="00B83265" w:rsidP="002532DD">
            <w:pPr>
              <w:spacing w:after="0"/>
              <w:rPr>
                <w:rFonts w:ascii="Arial" w:hAnsi="Arial" w:cs="Arial"/>
              </w:rPr>
            </w:pPr>
            <w:r w:rsidRPr="002532DD">
              <w:rPr>
                <w:rFonts w:ascii="Arial" w:hAnsi="Arial" w:cs="Arial"/>
              </w:rPr>
              <w:t>47.3%</w:t>
            </w:r>
          </w:p>
        </w:tc>
        <w:tc>
          <w:tcPr>
            <w:tcW w:w="1267" w:type="dxa"/>
            <w:tcBorders>
              <w:top w:val="nil"/>
              <w:left w:val="nil"/>
              <w:bottom w:val="single" w:sz="4" w:space="0" w:color="auto"/>
              <w:right w:val="single" w:sz="4" w:space="0" w:color="auto"/>
            </w:tcBorders>
            <w:shd w:val="clear" w:color="000000" w:fill="FFFFFF"/>
            <w:noWrap/>
            <w:vAlign w:val="center"/>
          </w:tcPr>
          <w:p w:rsidR="00B83265" w:rsidRPr="002532DD" w:rsidRDefault="00B83265" w:rsidP="002532DD">
            <w:pPr>
              <w:spacing w:after="0"/>
              <w:rPr>
                <w:rFonts w:ascii="Arial" w:hAnsi="Arial" w:cs="Arial"/>
              </w:rPr>
            </w:pPr>
            <w:r w:rsidRPr="002532DD">
              <w:rPr>
                <w:rFonts w:ascii="Arial" w:hAnsi="Arial" w:cs="Arial"/>
              </w:rPr>
              <w:t>50.7%</w:t>
            </w:r>
          </w:p>
        </w:tc>
        <w:tc>
          <w:tcPr>
            <w:tcW w:w="1284" w:type="dxa"/>
            <w:tcBorders>
              <w:top w:val="nil"/>
              <w:left w:val="nil"/>
              <w:bottom w:val="single" w:sz="4" w:space="0" w:color="auto"/>
              <w:right w:val="single" w:sz="4" w:space="0" w:color="auto"/>
            </w:tcBorders>
            <w:shd w:val="clear" w:color="000000" w:fill="FFFFFF"/>
            <w:noWrap/>
            <w:vAlign w:val="center"/>
          </w:tcPr>
          <w:p w:rsidR="00B83265" w:rsidRPr="002532DD" w:rsidRDefault="00B83265" w:rsidP="002532DD">
            <w:pPr>
              <w:spacing w:after="0"/>
              <w:rPr>
                <w:rFonts w:ascii="Arial" w:hAnsi="Arial" w:cs="Arial"/>
              </w:rPr>
            </w:pPr>
          </w:p>
        </w:tc>
        <w:tc>
          <w:tcPr>
            <w:tcW w:w="1276" w:type="dxa"/>
            <w:tcBorders>
              <w:top w:val="nil"/>
              <w:left w:val="nil"/>
              <w:bottom w:val="single" w:sz="4" w:space="0" w:color="auto"/>
              <w:right w:val="single" w:sz="4" w:space="0" w:color="auto"/>
            </w:tcBorders>
            <w:shd w:val="clear" w:color="000000" w:fill="FFFFFF"/>
            <w:vAlign w:val="center"/>
          </w:tcPr>
          <w:p w:rsidR="00B83265" w:rsidRPr="002532DD" w:rsidRDefault="00B83265" w:rsidP="002532DD">
            <w:pPr>
              <w:spacing w:after="0"/>
              <w:rPr>
                <w:rFonts w:ascii="Arial" w:hAnsi="Arial" w:cs="Arial"/>
              </w:rPr>
            </w:pPr>
          </w:p>
        </w:tc>
      </w:tr>
      <w:tr w:rsidR="00B83265" w:rsidRPr="002532DD" w:rsidTr="005B13DC">
        <w:trPr>
          <w:trHeight w:val="282"/>
        </w:trPr>
        <w:tc>
          <w:tcPr>
            <w:tcW w:w="2263" w:type="dxa"/>
            <w:tcBorders>
              <w:top w:val="nil"/>
              <w:left w:val="single" w:sz="4" w:space="0" w:color="auto"/>
              <w:bottom w:val="single" w:sz="4" w:space="0" w:color="auto"/>
              <w:right w:val="single" w:sz="4" w:space="0" w:color="auto"/>
            </w:tcBorders>
            <w:shd w:val="clear" w:color="000000" w:fill="FFFFFF"/>
            <w:noWrap/>
            <w:vAlign w:val="center"/>
            <w:hideMark/>
          </w:tcPr>
          <w:p w:rsidR="00B83265" w:rsidRPr="002532DD" w:rsidRDefault="00B83265" w:rsidP="002532DD">
            <w:pPr>
              <w:spacing w:after="0"/>
              <w:rPr>
                <w:rFonts w:ascii="Arial" w:hAnsi="Arial" w:cs="Arial"/>
              </w:rPr>
            </w:pPr>
            <w:r w:rsidRPr="002532DD">
              <w:rPr>
                <w:rFonts w:ascii="Arial" w:hAnsi="Arial" w:cs="Arial"/>
              </w:rPr>
              <w:t xml:space="preserve">2 </w:t>
            </w:r>
            <w:r w:rsidR="00FA38AE" w:rsidRPr="002532DD">
              <w:rPr>
                <w:rFonts w:ascii="Arial" w:hAnsi="Arial" w:cs="Arial"/>
              </w:rPr>
              <w:t xml:space="preserve"> years</w:t>
            </w:r>
          </w:p>
        </w:tc>
        <w:tc>
          <w:tcPr>
            <w:tcW w:w="1134" w:type="dxa"/>
            <w:tcBorders>
              <w:top w:val="nil"/>
              <w:left w:val="nil"/>
              <w:bottom w:val="single" w:sz="4" w:space="0" w:color="auto"/>
              <w:right w:val="single" w:sz="4" w:space="0" w:color="auto"/>
            </w:tcBorders>
            <w:shd w:val="clear" w:color="000000" w:fill="FFFFFF"/>
            <w:noWrap/>
            <w:vAlign w:val="center"/>
          </w:tcPr>
          <w:p w:rsidR="00B83265" w:rsidRPr="002532DD" w:rsidRDefault="00B83265" w:rsidP="002532DD">
            <w:pPr>
              <w:spacing w:after="0"/>
              <w:rPr>
                <w:rFonts w:ascii="Arial" w:hAnsi="Arial" w:cs="Arial"/>
              </w:rPr>
            </w:pPr>
            <w:r w:rsidRPr="002532DD">
              <w:rPr>
                <w:rFonts w:ascii="Arial" w:hAnsi="Arial" w:cs="Arial"/>
              </w:rPr>
              <w:t>41.3%</w:t>
            </w:r>
          </w:p>
        </w:tc>
        <w:tc>
          <w:tcPr>
            <w:tcW w:w="1276" w:type="dxa"/>
            <w:tcBorders>
              <w:top w:val="nil"/>
              <w:left w:val="nil"/>
              <w:bottom w:val="single" w:sz="4" w:space="0" w:color="auto"/>
              <w:right w:val="single" w:sz="4" w:space="0" w:color="auto"/>
            </w:tcBorders>
            <w:shd w:val="clear" w:color="000000" w:fill="FFFFFF"/>
            <w:noWrap/>
            <w:vAlign w:val="center"/>
          </w:tcPr>
          <w:p w:rsidR="00B83265" w:rsidRPr="002532DD" w:rsidRDefault="00B83265" w:rsidP="002532DD">
            <w:pPr>
              <w:spacing w:after="0"/>
              <w:rPr>
                <w:rFonts w:ascii="Arial" w:hAnsi="Arial" w:cs="Arial"/>
              </w:rPr>
            </w:pPr>
            <w:r w:rsidRPr="002532DD">
              <w:rPr>
                <w:rFonts w:ascii="Arial" w:hAnsi="Arial" w:cs="Arial"/>
              </w:rPr>
              <w:t>44.0%</w:t>
            </w:r>
          </w:p>
        </w:tc>
        <w:tc>
          <w:tcPr>
            <w:tcW w:w="1276" w:type="dxa"/>
            <w:tcBorders>
              <w:top w:val="nil"/>
              <w:left w:val="nil"/>
              <w:bottom w:val="single" w:sz="4" w:space="0" w:color="auto"/>
              <w:right w:val="single" w:sz="4" w:space="0" w:color="auto"/>
            </w:tcBorders>
            <w:shd w:val="clear" w:color="000000" w:fill="FFFFFF"/>
            <w:noWrap/>
            <w:vAlign w:val="center"/>
          </w:tcPr>
          <w:p w:rsidR="00B83265" w:rsidRPr="002532DD" w:rsidRDefault="00B83265" w:rsidP="002532DD">
            <w:pPr>
              <w:spacing w:after="0"/>
              <w:rPr>
                <w:rFonts w:ascii="Arial" w:hAnsi="Arial" w:cs="Arial"/>
              </w:rPr>
            </w:pPr>
            <w:r w:rsidRPr="002532DD">
              <w:rPr>
                <w:rFonts w:ascii="Arial" w:hAnsi="Arial" w:cs="Arial"/>
              </w:rPr>
              <w:t>47.3%</w:t>
            </w:r>
          </w:p>
        </w:tc>
        <w:tc>
          <w:tcPr>
            <w:tcW w:w="1267" w:type="dxa"/>
            <w:tcBorders>
              <w:top w:val="nil"/>
              <w:left w:val="nil"/>
              <w:bottom w:val="single" w:sz="4" w:space="0" w:color="auto"/>
              <w:right w:val="single" w:sz="4" w:space="0" w:color="auto"/>
            </w:tcBorders>
            <w:shd w:val="clear" w:color="000000" w:fill="FFFFFF"/>
            <w:noWrap/>
            <w:vAlign w:val="center"/>
          </w:tcPr>
          <w:p w:rsidR="00B83265" w:rsidRPr="002532DD" w:rsidRDefault="00B83265" w:rsidP="002532DD">
            <w:pPr>
              <w:spacing w:after="0"/>
              <w:rPr>
                <w:rFonts w:ascii="Arial" w:hAnsi="Arial" w:cs="Arial"/>
              </w:rPr>
            </w:pPr>
          </w:p>
        </w:tc>
        <w:tc>
          <w:tcPr>
            <w:tcW w:w="1284" w:type="dxa"/>
            <w:tcBorders>
              <w:top w:val="nil"/>
              <w:left w:val="nil"/>
              <w:bottom w:val="single" w:sz="4" w:space="0" w:color="auto"/>
              <w:right w:val="single" w:sz="4" w:space="0" w:color="auto"/>
            </w:tcBorders>
            <w:shd w:val="clear" w:color="000000" w:fill="FFFFFF"/>
            <w:noWrap/>
            <w:vAlign w:val="center"/>
          </w:tcPr>
          <w:p w:rsidR="00B83265" w:rsidRPr="002532DD" w:rsidRDefault="00B83265" w:rsidP="002532DD">
            <w:pPr>
              <w:spacing w:after="0"/>
              <w:rPr>
                <w:rFonts w:ascii="Arial" w:hAnsi="Arial" w:cs="Arial"/>
              </w:rPr>
            </w:pPr>
          </w:p>
        </w:tc>
        <w:tc>
          <w:tcPr>
            <w:tcW w:w="1276" w:type="dxa"/>
            <w:tcBorders>
              <w:top w:val="nil"/>
              <w:left w:val="nil"/>
              <w:bottom w:val="single" w:sz="4" w:space="0" w:color="auto"/>
              <w:right w:val="single" w:sz="4" w:space="0" w:color="auto"/>
            </w:tcBorders>
            <w:shd w:val="clear" w:color="000000" w:fill="FFFFFF"/>
            <w:vAlign w:val="center"/>
          </w:tcPr>
          <w:p w:rsidR="00B83265" w:rsidRPr="002532DD" w:rsidRDefault="00B83265" w:rsidP="002532DD">
            <w:pPr>
              <w:spacing w:after="0"/>
              <w:rPr>
                <w:rFonts w:ascii="Arial" w:hAnsi="Arial" w:cs="Arial"/>
              </w:rPr>
            </w:pPr>
          </w:p>
        </w:tc>
      </w:tr>
      <w:tr w:rsidR="00B83265" w:rsidRPr="002532DD" w:rsidTr="005B13DC">
        <w:trPr>
          <w:trHeight w:val="282"/>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83265" w:rsidRPr="002532DD" w:rsidRDefault="00FA38AE" w:rsidP="002532DD">
            <w:pPr>
              <w:spacing w:after="0"/>
              <w:rPr>
                <w:rFonts w:ascii="Arial" w:hAnsi="Arial" w:cs="Arial"/>
              </w:rPr>
            </w:pPr>
            <w:r w:rsidRPr="002532DD">
              <w:rPr>
                <w:rFonts w:ascii="Arial" w:hAnsi="Arial" w:cs="Arial"/>
              </w:rPr>
              <w:t>1 year</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B83265" w:rsidRPr="002532DD" w:rsidRDefault="00B83265" w:rsidP="002532DD">
            <w:pPr>
              <w:spacing w:after="0"/>
              <w:rPr>
                <w:rFonts w:ascii="Arial" w:hAnsi="Arial" w:cs="Arial"/>
              </w:rPr>
            </w:pPr>
            <w:r w:rsidRPr="002532DD">
              <w:rPr>
                <w:rFonts w:ascii="Arial" w:hAnsi="Arial" w:cs="Arial"/>
              </w:rPr>
              <w:t>43.1%</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B83265" w:rsidRPr="002532DD" w:rsidRDefault="00B83265" w:rsidP="002532DD">
            <w:pPr>
              <w:spacing w:after="0"/>
              <w:rPr>
                <w:rFonts w:ascii="Arial" w:hAnsi="Arial" w:cs="Arial"/>
              </w:rPr>
            </w:pPr>
            <w:r w:rsidRPr="002532DD">
              <w:rPr>
                <w:rFonts w:ascii="Arial" w:hAnsi="Arial" w:cs="Arial"/>
              </w:rPr>
              <w:t>45.2%</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B83265" w:rsidRPr="002532DD" w:rsidRDefault="00B83265" w:rsidP="002532DD">
            <w:pPr>
              <w:spacing w:after="0"/>
              <w:rPr>
                <w:rFonts w:ascii="Arial" w:hAnsi="Arial" w:cs="Arial"/>
              </w:rPr>
            </w:pPr>
          </w:p>
        </w:tc>
        <w:tc>
          <w:tcPr>
            <w:tcW w:w="1267" w:type="dxa"/>
            <w:tcBorders>
              <w:top w:val="single" w:sz="4" w:space="0" w:color="auto"/>
              <w:left w:val="nil"/>
              <w:bottom w:val="single" w:sz="4" w:space="0" w:color="auto"/>
              <w:right w:val="single" w:sz="4" w:space="0" w:color="auto"/>
            </w:tcBorders>
            <w:shd w:val="clear" w:color="000000" w:fill="FFFFFF"/>
            <w:noWrap/>
            <w:vAlign w:val="center"/>
          </w:tcPr>
          <w:p w:rsidR="00B83265" w:rsidRPr="002532DD" w:rsidRDefault="00B83265" w:rsidP="002532DD">
            <w:pPr>
              <w:spacing w:after="0"/>
              <w:rPr>
                <w:rFonts w:ascii="Arial" w:hAnsi="Arial" w:cs="Arial"/>
              </w:rPr>
            </w:pPr>
          </w:p>
        </w:tc>
        <w:tc>
          <w:tcPr>
            <w:tcW w:w="1284" w:type="dxa"/>
            <w:tcBorders>
              <w:top w:val="single" w:sz="4" w:space="0" w:color="auto"/>
              <w:left w:val="nil"/>
              <w:bottom w:val="single" w:sz="4" w:space="0" w:color="auto"/>
              <w:right w:val="single" w:sz="4" w:space="0" w:color="auto"/>
            </w:tcBorders>
            <w:shd w:val="clear" w:color="000000" w:fill="FFFFFF"/>
            <w:noWrap/>
            <w:vAlign w:val="center"/>
          </w:tcPr>
          <w:p w:rsidR="00B83265" w:rsidRPr="002532DD" w:rsidRDefault="00B83265" w:rsidP="002532DD">
            <w:pPr>
              <w:spacing w:after="0"/>
              <w:rPr>
                <w:rFonts w:ascii="Arial" w:hAnsi="Arial" w:cs="Arial"/>
              </w:rPr>
            </w:pPr>
          </w:p>
        </w:tc>
        <w:tc>
          <w:tcPr>
            <w:tcW w:w="1276" w:type="dxa"/>
            <w:tcBorders>
              <w:top w:val="single" w:sz="4" w:space="0" w:color="auto"/>
              <w:left w:val="nil"/>
              <w:bottom w:val="single" w:sz="4" w:space="0" w:color="auto"/>
              <w:right w:val="single" w:sz="4" w:space="0" w:color="auto"/>
            </w:tcBorders>
            <w:shd w:val="clear" w:color="000000" w:fill="FFFFFF"/>
            <w:vAlign w:val="center"/>
          </w:tcPr>
          <w:p w:rsidR="00B83265" w:rsidRPr="002532DD" w:rsidRDefault="00B83265" w:rsidP="002532DD">
            <w:pPr>
              <w:spacing w:after="0"/>
              <w:rPr>
                <w:rFonts w:ascii="Arial" w:hAnsi="Arial" w:cs="Arial"/>
              </w:rPr>
            </w:pPr>
          </w:p>
        </w:tc>
      </w:tr>
    </w:tbl>
    <w:p w:rsidR="00B83265" w:rsidRDefault="00B83265" w:rsidP="00B83265">
      <w:pPr>
        <w:spacing w:after="240"/>
        <w:rPr>
          <w:rFonts w:cstheme="minorHAnsi"/>
        </w:rPr>
      </w:pPr>
    </w:p>
    <w:p w:rsidR="00B83265" w:rsidRPr="00715092" w:rsidRDefault="0080201D" w:rsidP="00B83265">
      <w:pPr>
        <w:spacing w:after="240"/>
        <w:rPr>
          <w:rFonts w:cstheme="minorHAnsi"/>
        </w:rPr>
      </w:pPr>
      <w:r>
        <w:rPr>
          <w:rFonts w:cstheme="minorHAnsi"/>
        </w:rPr>
        <w:t>Footnote 1</w:t>
      </w:r>
      <w:r w:rsidR="00233603">
        <w:rPr>
          <w:rFonts w:cstheme="minorHAnsi"/>
        </w:rPr>
        <w:t xml:space="preserve">: </w:t>
      </w:r>
      <w:r w:rsidR="00B83265" w:rsidRPr="00801FCF">
        <w:rPr>
          <w:rFonts w:cstheme="minorHAnsi"/>
        </w:rPr>
        <w:t>Population benchmark data is from the Australian Bureau of Statistics (ABS), Education and Work May 2021, standardised for NDIS participant gender distribution</w:t>
      </w:r>
      <w:r w:rsidR="00B83265">
        <w:rPr>
          <w:rFonts w:cstheme="minorHAnsi"/>
        </w:rPr>
        <w:t>.</w:t>
      </w:r>
    </w:p>
    <w:p w:rsidR="00B83265" w:rsidRPr="002817DE" w:rsidRDefault="00B83265" w:rsidP="002817DE">
      <w:pPr>
        <w:pStyle w:val="Heading2"/>
      </w:pPr>
      <w:bookmarkStart w:id="57" w:name="_Toc121151429"/>
      <w:r w:rsidRPr="002817DE">
        <w:t>Slide 47: Participants aged 15 and over – Lifelong learning</w:t>
      </w:r>
      <w:bookmarkEnd w:id="57"/>
    </w:p>
    <w:p w:rsidR="00B83265" w:rsidRPr="00BB5E10" w:rsidRDefault="00B83265" w:rsidP="00B83265">
      <w:pPr>
        <w:rPr>
          <w:b/>
        </w:rPr>
      </w:pPr>
      <w:r w:rsidRPr="00BB5E10">
        <w:rPr>
          <w:b/>
        </w:rPr>
        <w:t>% currently participating in education, training or skill development</w:t>
      </w:r>
    </w:p>
    <w:p w:rsidR="00B83265" w:rsidRPr="00C174AB" w:rsidRDefault="00B83265" w:rsidP="00B83265">
      <w:pPr>
        <w:spacing w:after="240"/>
        <w:rPr>
          <w:rFonts w:cstheme="minorHAnsi"/>
        </w:rPr>
      </w:pPr>
      <w:r w:rsidRPr="00C174AB">
        <w:rPr>
          <w:rFonts w:cstheme="minorHAnsi"/>
        </w:rPr>
        <w:t>After an initial increase in the first year, participation in education/training has shown a decreasing trend overall. For cohort 5, there was an overall decrease of 5.1 percentage points between baseline (22.7%) and fifth review (17.6%), despite a 2.6 percentage point increase at first review (25.3%).</w:t>
      </w:r>
    </w:p>
    <w:p w:rsidR="00B83265" w:rsidRDefault="00B83265" w:rsidP="00B83265">
      <w:pPr>
        <w:pStyle w:val="ListParagraph"/>
        <w:numPr>
          <w:ilvl w:val="0"/>
          <w:numId w:val="25"/>
        </w:numPr>
        <w:spacing w:after="240"/>
        <w:rPr>
          <w:rFonts w:cstheme="minorHAnsi"/>
        </w:rPr>
      </w:pPr>
      <w:r w:rsidRPr="00C174AB">
        <w:rPr>
          <w:rFonts w:cstheme="minorHAnsi"/>
        </w:rPr>
        <w:t>The S-14/15-24 group had by far the highest percentages participating, possibly due to still attending school. However, there was a decline of 25.2 percentage points over four years for cohort 4, from 71.8% to 46.5%.</w:t>
      </w:r>
    </w:p>
    <w:p w:rsidR="00B83265" w:rsidRDefault="00B83265" w:rsidP="00B83265">
      <w:pPr>
        <w:pStyle w:val="ListParagraph"/>
        <w:numPr>
          <w:ilvl w:val="0"/>
          <w:numId w:val="25"/>
        </w:numPr>
        <w:spacing w:after="240"/>
        <w:rPr>
          <w:rFonts w:cstheme="minorHAnsi"/>
        </w:rPr>
      </w:pPr>
      <w:r w:rsidRPr="00C174AB">
        <w:rPr>
          <w:rFonts w:cstheme="minorHAnsi"/>
        </w:rPr>
        <w:t>The 15-24 group also experienced a decline of 19.3 percentage points over four years for cohort 4, from 53.5% to 34.2%.</w:t>
      </w:r>
    </w:p>
    <w:p w:rsidR="00B83265" w:rsidRDefault="00B83265" w:rsidP="00B83265">
      <w:pPr>
        <w:pStyle w:val="ListParagraph"/>
        <w:numPr>
          <w:ilvl w:val="0"/>
          <w:numId w:val="25"/>
        </w:numPr>
        <w:spacing w:after="240"/>
        <w:rPr>
          <w:rFonts w:cstheme="minorHAnsi"/>
        </w:rPr>
      </w:pPr>
      <w:r w:rsidRPr="00C174AB">
        <w:rPr>
          <w:rFonts w:cstheme="minorHAnsi"/>
        </w:rPr>
        <w:t>The 25+ age group had the lowest percentages participating. For example, for cohort 5, about 14% of participants aged 25+ did some sort of education or training and this remained fairly stable across review periods. This is consistent across cohorts, although cohorts 1 and 2 had slightly lower percentages.</w:t>
      </w:r>
    </w:p>
    <w:p w:rsidR="00EC7ADD" w:rsidRDefault="00B83265" w:rsidP="00EC7ADD">
      <w:pPr>
        <w:spacing w:after="240"/>
        <w:rPr>
          <w:rFonts w:cstheme="minorHAnsi"/>
        </w:rPr>
      </w:pPr>
      <w:r w:rsidRPr="00C174AB">
        <w:rPr>
          <w:rFonts w:cstheme="minorHAnsi"/>
        </w:rPr>
        <w:t xml:space="preserve">Five charts show the percentage </w:t>
      </w:r>
      <w:r>
        <w:rPr>
          <w:rFonts w:cstheme="minorHAnsi"/>
        </w:rPr>
        <w:t xml:space="preserve">currently participating in education, training or skill development </w:t>
      </w:r>
      <w:r w:rsidRPr="00C174AB">
        <w:rPr>
          <w:rFonts w:cstheme="minorHAnsi"/>
        </w:rPr>
        <w:t>at baseline and at subsequent reviews</w:t>
      </w:r>
      <w:r w:rsidR="00EC7ADD" w:rsidRPr="00715092">
        <w:rPr>
          <w:rFonts w:cstheme="minorHAnsi"/>
        </w:rPr>
        <w:t xml:space="preserve">, separately for participants in the </w:t>
      </w:r>
      <w:r w:rsidR="00EC7ADD">
        <w:rPr>
          <w:rFonts w:cstheme="minorHAnsi"/>
        </w:rPr>
        <w:t xml:space="preserve">five years, </w:t>
      </w:r>
      <w:r w:rsidR="00EC7ADD" w:rsidRPr="00715092">
        <w:rPr>
          <w:rFonts w:cstheme="minorHAnsi"/>
        </w:rPr>
        <w:t>four years, three years, two years or one year</w:t>
      </w:r>
      <w:r w:rsidR="00EC7ADD">
        <w:rPr>
          <w:rFonts w:cstheme="minorHAnsi"/>
        </w:rPr>
        <w:t xml:space="preserve"> cohorts</w:t>
      </w:r>
      <w:r w:rsidR="00EC7ADD" w:rsidRPr="00715092">
        <w:rPr>
          <w:rFonts w:cstheme="minorHAnsi"/>
        </w:rPr>
        <w:t>.</w:t>
      </w:r>
      <w:r w:rsidR="00EC7ADD">
        <w:rPr>
          <w:rFonts w:cstheme="minorHAnsi"/>
        </w:rPr>
        <w:t xml:space="preserve"> Separate lines on each chart show results for all participants, and for participants in the S-14/15-24, 15-24, 15-24/25+ and 25+ age groups.</w:t>
      </w:r>
    </w:p>
    <w:p w:rsidR="00EC7ADD" w:rsidRDefault="00EC7ADD" w:rsidP="00EC7ADD">
      <w:pPr>
        <w:spacing w:after="240"/>
        <w:rPr>
          <w:rFonts w:cstheme="minorHAnsi"/>
        </w:rPr>
      </w:pPr>
      <w:r>
        <w:rPr>
          <w:rFonts w:cstheme="minorHAnsi"/>
        </w:rPr>
        <w:t>For PSto14, analysed by time since first in P15to24, otherwise by time in Scheme.</w:t>
      </w:r>
    </w:p>
    <w:p w:rsidR="00C9157B" w:rsidRDefault="00C9157B" w:rsidP="00EC7ADD">
      <w:pPr>
        <w:spacing w:after="240"/>
        <w:rPr>
          <w:rFonts w:cstheme="minorHAnsi"/>
        </w:rPr>
      </w:pPr>
      <w:r>
        <w:rPr>
          <w:rFonts w:cstheme="minorHAnsi"/>
        </w:rPr>
        <w:t>This indicator deteriorated.</w:t>
      </w:r>
    </w:p>
    <w:p w:rsidR="00EC7ADD" w:rsidRDefault="00EC7ADD" w:rsidP="00EC7ADD">
      <w:pPr>
        <w:spacing w:after="240"/>
        <w:rPr>
          <w:rFonts w:cstheme="minorHAnsi"/>
        </w:rPr>
      </w:pPr>
      <w:r>
        <w:rPr>
          <w:rFonts w:cstheme="minorHAnsi"/>
        </w:rPr>
        <w:t>Results for all participants are labelled on the charts:</w:t>
      </w:r>
    </w:p>
    <w:tbl>
      <w:tblPr>
        <w:tblW w:w="9204" w:type="dxa"/>
        <w:tblLook w:val="04A0" w:firstRow="1" w:lastRow="0" w:firstColumn="1" w:lastColumn="0" w:noHBand="0" w:noVBand="1"/>
      </w:tblPr>
      <w:tblGrid>
        <w:gridCol w:w="1500"/>
        <w:gridCol w:w="1325"/>
        <w:gridCol w:w="1276"/>
        <w:gridCol w:w="1276"/>
        <w:gridCol w:w="1276"/>
        <w:gridCol w:w="1275"/>
        <w:gridCol w:w="1276"/>
      </w:tblGrid>
      <w:tr w:rsidR="00EC7ADD" w:rsidRPr="00AD165E" w:rsidTr="00632614">
        <w:trPr>
          <w:trHeight w:val="285"/>
        </w:trPr>
        <w:tc>
          <w:tcPr>
            <w:tcW w:w="1500" w:type="dxa"/>
            <w:tcBorders>
              <w:top w:val="single" w:sz="8" w:space="0" w:color="auto"/>
              <w:left w:val="single" w:sz="8" w:space="0" w:color="auto"/>
              <w:bottom w:val="single" w:sz="8" w:space="0" w:color="auto"/>
              <w:right w:val="nil"/>
            </w:tcBorders>
            <w:shd w:val="clear" w:color="auto" w:fill="auto"/>
            <w:noWrap/>
            <w:vAlign w:val="bottom"/>
            <w:hideMark/>
          </w:tcPr>
          <w:p w:rsidR="00EC7ADD" w:rsidRPr="00AD165E" w:rsidRDefault="00EC7ADD" w:rsidP="0063261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Cohort</w:t>
            </w:r>
          </w:p>
        </w:tc>
        <w:tc>
          <w:tcPr>
            <w:tcW w:w="13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C7ADD" w:rsidRPr="00AD165E" w:rsidRDefault="00EC7ADD" w:rsidP="0063261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B</w:t>
            </w:r>
            <w:r>
              <w:rPr>
                <w:rFonts w:ascii="Arial" w:eastAsia="Times New Roman" w:hAnsi="Arial" w:cs="Arial"/>
                <w:b/>
                <w:bCs/>
                <w:color w:val="000000"/>
                <w:lang w:eastAsia="en-AU"/>
              </w:rPr>
              <w:t>aseline</w:t>
            </w:r>
          </w:p>
        </w:tc>
        <w:tc>
          <w:tcPr>
            <w:tcW w:w="1276" w:type="dxa"/>
            <w:tcBorders>
              <w:top w:val="single" w:sz="8" w:space="0" w:color="auto"/>
              <w:left w:val="nil"/>
              <w:bottom w:val="single" w:sz="8" w:space="0" w:color="auto"/>
              <w:right w:val="nil"/>
            </w:tcBorders>
            <w:shd w:val="clear" w:color="auto" w:fill="auto"/>
            <w:noWrap/>
            <w:vAlign w:val="bottom"/>
            <w:hideMark/>
          </w:tcPr>
          <w:p w:rsidR="00EC7ADD" w:rsidRPr="00AD165E" w:rsidRDefault="00EC7AD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1</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C7ADD" w:rsidRPr="00AD165E" w:rsidRDefault="00EC7AD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2</w:t>
            </w:r>
          </w:p>
        </w:tc>
        <w:tc>
          <w:tcPr>
            <w:tcW w:w="1276" w:type="dxa"/>
            <w:tcBorders>
              <w:top w:val="single" w:sz="8" w:space="0" w:color="auto"/>
              <w:left w:val="nil"/>
              <w:bottom w:val="single" w:sz="8" w:space="0" w:color="auto"/>
              <w:right w:val="nil"/>
            </w:tcBorders>
            <w:shd w:val="clear" w:color="auto" w:fill="auto"/>
            <w:noWrap/>
            <w:vAlign w:val="bottom"/>
            <w:hideMark/>
          </w:tcPr>
          <w:p w:rsidR="00EC7ADD" w:rsidRPr="00AD165E" w:rsidRDefault="00EC7AD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3</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C7ADD" w:rsidRPr="00AD165E" w:rsidRDefault="00EC7AD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4</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EC7ADD" w:rsidRPr="00AD165E" w:rsidRDefault="00EC7AD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5</w:t>
            </w:r>
          </w:p>
        </w:tc>
      </w:tr>
      <w:tr w:rsidR="00EC7ADD"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EC7ADD" w:rsidRPr="00AD165E" w:rsidRDefault="00EC7ADD" w:rsidP="00EC7ADD">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5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EC7ADD" w:rsidRPr="00EC7ADD" w:rsidRDefault="00EC7ADD" w:rsidP="00EC7ADD">
            <w:pPr>
              <w:spacing w:after="0"/>
              <w:rPr>
                <w:rFonts w:ascii="Arial" w:hAnsi="Arial" w:cs="Arial"/>
              </w:rPr>
            </w:pPr>
            <w:r w:rsidRPr="00EC7ADD">
              <w:rPr>
                <w:rFonts w:ascii="Arial" w:hAnsi="Arial" w:cs="Arial"/>
              </w:rPr>
              <w:t>23%</w:t>
            </w:r>
          </w:p>
        </w:tc>
        <w:tc>
          <w:tcPr>
            <w:tcW w:w="1276" w:type="dxa"/>
            <w:tcBorders>
              <w:top w:val="nil"/>
              <w:left w:val="nil"/>
              <w:bottom w:val="single" w:sz="4" w:space="0" w:color="auto"/>
              <w:right w:val="nil"/>
            </w:tcBorders>
            <w:shd w:val="clear" w:color="auto" w:fill="auto"/>
            <w:noWrap/>
            <w:vAlign w:val="center"/>
            <w:hideMark/>
          </w:tcPr>
          <w:p w:rsidR="00EC7ADD" w:rsidRPr="00EC7ADD" w:rsidRDefault="00EC7ADD" w:rsidP="00EC7ADD">
            <w:pPr>
              <w:spacing w:after="0"/>
              <w:rPr>
                <w:rFonts w:ascii="Arial" w:hAnsi="Arial" w:cs="Arial"/>
              </w:rPr>
            </w:pPr>
            <w:r w:rsidRPr="00EC7ADD">
              <w:rPr>
                <w:rFonts w:ascii="Arial" w:hAnsi="Arial" w:cs="Arial"/>
              </w:rPr>
              <w:t>25%</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EC7ADD" w:rsidRPr="00EC7ADD" w:rsidRDefault="00EC7ADD" w:rsidP="00EC7ADD">
            <w:pPr>
              <w:spacing w:after="0"/>
              <w:rPr>
                <w:rFonts w:ascii="Arial" w:hAnsi="Arial" w:cs="Arial"/>
              </w:rPr>
            </w:pPr>
            <w:r w:rsidRPr="00EC7ADD">
              <w:rPr>
                <w:rFonts w:ascii="Arial" w:hAnsi="Arial" w:cs="Arial"/>
              </w:rPr>
              <w:t>25%</w:t>
            </w:r>
          </w:p>
        </w:tc>
        <w:tc>
          <w:tcPr>
            <w:tcW w:w="1276" w:type="dxa"/>
            <w:tcBorders>
              <w:top w:val="nil"/>
              <w:left w:val="nil"/>
              <w:bottom w:val="single" w:sz="4" w:space="0" w:color="auto"/>
              <w:right w:val="nil"/>
            </w:tcBorders>
            <w:shd w:val="clear" w:color="auto" w:fill="auto"/>
            <w:noWrap/>
            <w:vAlign w:val="center"/>
            <w:hideMark/>
          </w:tcPr>
          <w:p w:rsidR="00EC7ADD" w:rsidRPr="00EC7ADD" w:rsidRDefault="00EC7ADD" w:rsidP="00EC7ADD">
            <w:pPr>
              <w:spacing w:after="0"/>
              <w:rPr>
                <w:rFonts w:ascii="Arial" w:hAnsi="Arial" w:cs="Arial"/>
              </w:rPr>
            </w:pPr>
            <w:r w:rsidRPr="00EC7ADD">
              <w:rPr>
                <w:rFonts w:ascii="Arial" w:hAnsi="Arial" w:cs="Arial"/>
              </w:rPr>
              <w:t>23%</w:t>
            </w: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EC7ADD" w:rsidRPr="00EC7ADD" w:rsidRDefault="00EC7ADD" w:rsidP="00EC7ADD">
            <w:pPr>
              <w:spacing w:after="0"/>
              <w:rPr>
                <w:rFonts w:ascii="Arial" w:hAnsi="Arial" w:cs="Arial"/>
              </w:rPr>
            </w:pPr>
            <w:r w:rsidRPr="00EC7ADD">
              <w:rPr>
                <w:rFonts w:ascii="Arial" w:hAnsi="Arial" w:cs="Arial"/>
              </w:rPr>
              <w:t>20%</w:t>
            </w:r>
          </w:p>
        </w:tc>
        <w:tc>
          <w:tcPr>
            <w:tcW w:w="1276" w:type="dxa"/>
            <w:tcBorders>
              <w:top w:val="nil"/>
              <w:left w:val="nil"/>
              <w:bottom w:val="single" w:sz="4" w:space="0" w:color="auto"/>
              <w:right w:val="single" w:sz="8" w:space="0" w:color="auto"/>
            </w:tcBorders>
            <w:shd w:val="clear" w:color="auto" w:fill="auto"/>
            <w:noWrap/>
            <w:vAlign w:val="center"/>
            <w:hideMark/>
          </w:tcPr>
          <w:p w:rsidR="00EC7ADD" w:rsidRPr="00EC7ADD" w:rsidRDefault="00EC7ADD" w:rsidP="00EC7ADD">
            <w:pPr>
              <w:spacing w:after="0"/>
              <w:rPr>
                <w:rFonts w:ascii="Arial" w:hAnsi="Arial" w:cs="Arial"/>
              </w:rPr>
            </w:pPr>
            <w:r w:rsidRPr="00EC7ADD">
              <w:rPr>
                <w:rFonts w:ascii="Arial" w:hAnsi="Arial" w:cs="Arial"/>
              </w:rPr>
              <w:t>18%</w:t>
            </w:r>
          </w:p>
        </w:tc>
      </w:tr>
      <w:tr w:rsidR="00EC7ADD"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EC7ADD" w:rsidRPr="00AD165E" w:rsidRDefault="00EC7ADD" w:rsidP="00EC7ADD">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4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EC7ADD" w:rsidRPr="00EC7ADD" w:rsidRDefault="00EC7ADD" w:rsidP="00EC7ADD">
            <w:pPr>
              <w:spacing w:after="0"/>
              <w:rPr>
                <w:rFonts w:ascii="Arial" w:hAnsi="Arial" w:cs="Arial"/>
              </w:rPr>
            </w:pPr>
            <w:r w:rsidRPr="00EC7ADD">
              <w:rPr>
                <w:rFonts w:ascii="Arial" w:hAnsi="Arial" w:cs="Arial"/>
              </w:rPr>
              <w:t>24%</w:t>
            </w:r>
          </w:p>
        </w:tc>
        <w:tc>
          <w:tcPr>
            <w:tcW w:w="1276" w:type="dxa"/>
            <w:tcBorders>
              <w:top w:val="nil"/>
              <w:left w:val="nil"/>
              <w:bottom w:val="single" w:sz="4" w:space="0" w:color="auto"/>
              <w:right w:val="nil"/>
            </w:tcBorders>
            <w:shd w:val="clear" w:color="auto" w:fill="auto"/>
            <w:noWrap/>
            <w:vAlign w:val="center"/>
            <w:hideMark/>
          </w:tcPr>
          <w:p w:rsidR="00EC7ADD" w:rsidRPr="00EC7ADD" w:rsidRDefault="00EC7ADD" w:rsidP="00EC7ADD">
            <w:pPr>
              <w:spacing w:after="0"/>
              <w:rPr>
                <w:rFonts w:ascii="Arial" w:hAnsi="Arial" w:cs="Arial"/>
              </w:rPr>
            </w:pPr>
            <w:r w:rsidRPr="00EC7ADD">
              <w:rPr>
                <w:rFonts w:ascii="Arial" w:hAnsi="Arial" w:cs="Arial"/>
              </w:rPr>
              <w:t>25%</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EC7ADD" w:rsidRPr="00EC7ADD" w:rsidRDefault="00EC7ADD" w:rsidP="00EC7ADD">
            <w:pPr>
              <w:spacing w:after="0"/>
              <w:rPr>
                <w:rFonts w:ascii="Arial" w:hAnsi="Arial" w:cs="Arial"/>
              </w:rPr>
            </w:pPr>
            <w:r w:rsidRPr="00EC7ADD">
              <w:rPr>
                <w:rFonts w:ascii="Arial" w:hAnsi="Arial" w:cs="Arial"/>
              </w:rPr>
              <w:t>25%</w:t>
            </w:r>
          </w:p>
        </w:tc>
        <w:tc>
          <w:tcPr>
            <w:tcW w:w="1276" w:type="dxa"/>
            <w:tcBorders>
              <w:top w:val="nil"/>
              <w:left w:val="nil"/>
              <w:bottom w:val="single" w:sz="4" w:space="0" w:color="auto"/>
              <w:right w:val="nil"/>
            </w:tcBorders>
            <w:shd w:val="clear" w:color="auto" w:fill="auto"/>
            <w:noWrap/>
            <w:vAlign w:val="center"/>
            <w:hideMark/>
          </w:tcPr>
          <w:p w:rsidR="00EC7ADD" w:rsidRPr="00EC7ADD" w:rsidRDefault="00EC7ADD" w:rsidP="00EC7ADD">
            <w:pPr>
              <w:spacing w:after="0"/>
              <w:rPr>
                <w:rFonts w:ascii="Arial" w:hAnsi="Arial" w:cs="Arial"/>
              </w:rPr>
            </w:pPr>
            <w:r w:rsidRPr="00EC7ADD">
              <w:rPr>
                <w:rFonts w:ascii="Arial" w:hAnsi="Arial" w:cs="Arial"/>
              </w:rPr>
              <w:t>23%</w:t>
            </w: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EC7ADD" w:rsidRPr="00EC7ADD" w:rsidRDefault="00EC7ADD" w:rsidP="00EC7ADD">
            <w:pPr>
              <w:spacing w:after="0"/>
              <w:rPr>
                <w:rFonts w:ascii="Arial" w:hAnsi="Arial" w:cs="Arial"/>
              </w:rPr>
            </w:pPr>
            <w:r w:rsidRPr="00EC7ADD">
              <w:rPr>
                <w:rFonts w:ascii="Arial" w:hAnsi="Arial" w:cs="Arial"/>
              </w:rPr>
              <w:t>20%</w:t>
            </w:r>
          </w:p>
        </w:tc>
        <w:tc>
          <w:tcPr>
            <w:tcW w:w="1276" w:type="dxa"/>
            <w:tcBorders>
              <w:top w:val="nil"/>
              <w:left w:val="nil"/>
              <w:bottom w:val="single" w:sz="4" w:space="0" w:color="auto"/>
              <w:right w:val="single" w:sz="8" w:space="0" w:color="auto"/>
            </w:tcBorders>
            <w:shd w:val="clear" w:color="auto" w:fill="auto"/>
            <w:noWrap/>
            <w:vAlign w:val="bottom"/>
            <w:hideMark/>
          </w:tcPr>
          <w:p w:rsidR="00EC7ADD" w:rsidRPr="00EC7ADD" w:rsidRDefault="00EC7ADD" w:rsidP="00EC7ADD">
            <w:pPr>
              <w:spacing w:after="0" w:line="240" w:lineRule="auto"/>
              <w:rPr>
                <w:rFonts w:ascii="Arial" w:eastAsia="Times New Roman" w:hAnsi="Arial" w:cs="Arial"/>
                <w:color w:val="000000"/>
                <w:lang w:eastAsia="en-AU"/>
              </w:rPr>
            </w:pPr>
            <w:r w:rsidRPr="00EC7ADD">
              <w:rPr>
                <w:rFonts w:ascii="Arial" w:eastAsia="Times New Roman" w:hAnsi="Arial" w:cs="Arial"/>
                <w:color w:val="000000"/>
                <w:lang w:eastAsia="en-AU"/>
              </w:rPr>
              <w:t> </w:t>
            </w:r>
          </w:p>
        </w:tc>
      </w:tr>
      <w:tr w:rsidR="00EC7ADD"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EC7ADD" w:rsidRPr="00AD165E" w:rsidRDefault="00EC7ADD" w:rsidP="00EC7ADD">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3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EC7ADD" w:rsidRPr="00EC7ADD" w:rsidRDefault="00EC7ADD" w:rsidP="00EC7ADD">
            <w:pPr>
              <w:spacing w:after="0"/>
              <w:rPr>
                <w:rFonts w:ascii="Arial" w:hAnsi="Arial" w:cs="Arial"/>
              </w:rPr>
            </w:pPr>
            <w:r w:rsidRPr="00EC7ADD">
              <w:rPr>
                <w:rFonts w:ascii="Arial" w:hAnsi="Arial" w:cs="Arial"/>
              </w:rPr>
              <w:t>22%</w:t>
            </w:r>
          </w:p>
        </w:tc>
        <w:tc>
          <w:tcPr>
            <w:tcW w:w="1276" w:type="dxa"/>
            <w:tcBorders>
              <w:top w:val="nil"/>
              <w:left w:val="nil"/>
              <w:bottom w:val="single" w:sz="4" w:space="0" w:color="auto"/>
              <w:right w:val="nil"/>
            </w:tcBorders>
            <w:shd w:val="clear" w:color="auto" w:fill="auto"/>
            <w:noWrap/>
            <w:vAlign w:val="center"/>
            <w:hideMark/>
          </w:tcPr>
          <w:p w:rsidR="00EC7ADD" w:rsidRPr="00EC7ADD" w:rsidRDefault="00EC7ADD" w:rsidP="00EC7ADD">
            <w:pPr>
              <w:spacing w:after="0"/>
              <w:rPr>
                <w:rFonts w:ascii="Arial" w:hAnsi="Arial" w:cs="Arial"/>
              </w:rPr>
            </w:pPr>
            <w:r w:rsidRPr="00EC7ADD">
              <w:rPr>
                <w:rFonts w:ascii="Arial" w:hAnsi="Arial" w:cs="Arial"/>
              </w:rPr>
              <w:t>24%</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EC7ADD" w:rsidRPr="00EC7ADD" w:rsidRDefault="00EC7ADD" w:rsidP="00EC7ADD">
            <w:pPr>
              <w:spacing w:after="0"/>
              <w:rPr>
                <w:rFonts w:ascii="Arial" w:hAnsi="Arial" w:cs="Arial"/>
              </w:rPr>
            </w:pPr>
            <w:r w:rsidRPr="00EC7ADD">
              <w:rPr>
                <w:rFonts w:ascii="Arial" w:hAnsi="Arial" w:cs="Arial"/>
              </w:rPr>
              <w:t>24%</w:t>
            </w:r>
          </w:p>
        </w:tc>
        <w:tc>
          <w:tcPr>
            <w:tcW w:w="1276" w:type="dxa"/>
            <w:tcBorders>
              <w:top w:val="nil"/>
              <w:left w:val="nil"/>
              <w:bottom w:val="single" w:sz="4" w:space="0" w:color="auto"/>
              <w:right w:val="nil"/>
            </w:tcBorders>
            <w:shd w:val="clear" w:color="auto" w:fill="auto"/>
            <w:noWrap/>
            <w:vAlign w:val="center"/>
            <w:hideMark/>
          </w:tcPr>
          <w:p w:rsidR="00EC7ADD" w:rsidRPr="00EC7ADD" w:rsidRDefault="00EC7ADD" w:rsidP="00EC7ADD">
            <w:pPr>
              <w:spacing w:after="0"/>
              <w:rPr>
                <w:rFonts w:ascii="Arial" w:hAnsi="Arial" w:cs="Arial"/>
              </w:rPr>
            </w:pPr>
            <w:r w:rsidRPr="00EC7ADD">
              <w:rPr>
                <w:rFonts w:ascii="Arial" w:hAnsi="Arial" w:cs="Arial"/>
              </w:rPr>
              <w:t>20%</w:t>
            </w:r>
          </w:p>
        </w:tc>
        <w:tc>
          <w:tcPr>
            <w:tcW w:w="1275" w:type="dxa"/>
            <w:tcBorders>
              <w:top w:val="nil"/>
              <w:left w:val="single" w:sz="8" w:space="0" w:color="auto"/>
              <w:bottom w:val="single" w:sz="4" w:space="0" w:color="auto"/>
              <w:right w:val="single" w:sz="8" w:space="0" w:color="auto"/>
            </w:tcBorders>
            <w:shd w:val="clear" w:color="auto" w:fill="auto"/>
            <w:noWrap/>
            <w:vAlign w:val="bottom"/>
            <w:hideMark/>
          </w:tcPr>
          <w:p w:rsidR="00EC7ADD" w:rsidRPr="00EC7ADD" w:rsidRDefault="00EC7ADD" w:rsidP="00EC7ADD">
            <w:pPr>
              <w:spacing w:after="0" w:line="240" w:lineRule="auto"/>
              <w:rPr>
                <w:rFonts w:ascii="Arial" w:eastAsia="Times New Roman" w:hAnsi="Arial" w:cs="Arial"/>
                <w:color w:val="000000"/>
                <w:lang w:eastAsia="en-AU"/>
              </w:rPr>
            </w:pPr>
            <w:r w:rsidRPr="00EC7ADD">
              <w:rPr>
                <w:rFonts w:ascii="Arial" w:eastAsia="Times New Roman" w:hAnsi="Arial" w:cs="Arial"/>
                <w:color w:val="000000"/>
                <w:lang w:eastAsia="en-AU"/>
              </w:rPr>
              <w:t> </w:t>
            </w:r>
          </w:p>
        </w:tc>
        <w:tc>
          <w:tcPr>
            <w:tcW w:w="1276" w:type="dxa"/>
            <w:tcBorders>
              <w:top w:val="nil"/>
              <w:left w:val="nil"/>
              <w:bottom w:val="single" w:sz="4" w:space="0" w:color="auto"/>
              <w:right w:val="single" w:sz="8" w:space="0" w:color="auto"/>
            </w:tcBorders>
            <w:shd w:val="clear" w:color="auto" w:fill="auto"/>
            <w:noWrap/>
            <w:vAlign w:val="bottom"/>
            <w:hideMark/>
          </w:tcPr>
          <w:p w:rsidR="00EC7ADD" w:rsidRPr="00EC7ADD" w:rsidRDefault="00EC7ADD" w:rsidP="00EC7ADD">
            <w:pPr>
              <w:spacing w:after="0" w:line="240" w:lineRule="auto"/>
              <w:rPr>
                <w:rFonts w:ascii="Arial" w:eastAsia="Times New Roman" w:hAnsi="Arial" w:cs="Arial"/>
                <w:color w:val="000000"/>
                <w:lang w:eastAsia="en-AU"/>
              </w:rPr>
            </w:pPr>
            <w:r w:rsidRPr="00EC7ADD">
              <w:rPr>
                <w:rFonts w:ascii="Arial" w:eastAsia="Times New Roman" w:hAnsi="Arial" w:cs="Arial"/>
                <w:color w:val="000000"/>
                <w:lang w:eastAsia="en-AU"/>
              </w:rPr>
              <w:t> </w:t>
            </w:r>
          </w:p>
        </w:tc>
      </w:tr>
      <w:tr w:rsidR="00EC7ADD"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EC7ADD" w:rsidRPr="00AD165E" w:rsidRDefault="00EC7ADD" w:rsidP="00EC7ADD">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2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EC7ADD" w:rsidRPr="00EC7ADD" w:rsidRDefault="00EC7ADD" w:rsidP="00EC7ADD">
            <w:pPr>
              <w:spacing w:after="0"/>
              <w:rPr>
                <w:rFonts w:ascii="Arial" w:hAnsi="Arial" w:cs="Arial"/>
              </w:rPr>
            </w:pPr>
            <w:r w:rsidRPr="00EC7ADD">
              <w:rPr>
                <w:rFonts w:ascii="Arial" w:hAnsi="Arial" w:cs="Arial"/>
              </w:rPr>
              <w:t>21%</w:t>
            </w:r>
          </w:p>
        </w:tc>
        <w:tc>
          <w:tcPr>
            <w:tcW w:w="1276" w:type="dxa"/>
            <w:tcBorders>
              <w:top w:val="nil"/>
              <w:left w:val="nil"/>
              <w:bottom w:val="single" w:sz="4" w:space="0" w:color="auto"/>
              <w:right w:val="nil"/>
            </w:tcBorders>
            <w:shd w:val="clear" w:color="auto" w:fill="auto"/>
            <w:noWrap/>
            <w:vAlign w:val="center"/>
            <w:hideMark/>
          </w:tcPr>
          <w:p w:rsidR="00EC7ADD" w:rsidRPr="00EC7ADD" w:rsidRDefault="00EC7ADD" w:rsidP="00EC7ADD">
            <w:pPr>
              <w:spacing w:after="0"/>
              <w:rPr>
                <w:rFonts w:ascii="Arial" w:hAnsi="Arial" w:cs="Arial"/>
              </w:rPr>
            </w:pPr>
            <w:r w:rsidRPr="00EC7ADD">
              <w:rPr>
                <w:rFonts w:ascii="Arial" w:hAnsi="Arial" w:cs="Arial"/>
              </w:rPr>
              <w:t>23%</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EC7ADD" w:rsidRPr="00EC7ADD" w:rsidRDefault="00EC7ADD" w:rsidP="00EC7ADD">
            <w:pPr>
              <w:spacing w:after="0"/>
              <w:rPr>
                <w:rFonts w:ascii="Arial" w:hAnsi="Arial" w:cs="Arial"/>
              </w:rPr>
            </w:pPr>
            <w:r w:rsidRPr="00EC7ADD">
              <w:rPr>
                <w:rFonts w:ascii="Arial" w:hAnsi="Arial" w:cs="Arial"/>
              </w:rPr>
              <w:t>20%</w:t>
            </w:r>
          </w:p>
        </w:tc>
        <w:tc>
          <w:tcPr>
            <w:tcW w:w="1276" w:type="dxa"/>
            <w:tcBorders>
              <w:top w:val="nil"/>
              <w:left w:val="nil"/>
              <w:bottom w:val="single" w:sz="4" w:space="0" w:color="auto"/>
              <w:right w:val="nil"/>
            </w:tcBorders>
            <w:shd w:val="clear" w:color="auto" w:fill="auto"/>
            <w:noWrap/>
            <w:vAlign w:val="bottom"/>
            <w:hideMark/>
          </w:tcPr>
          <w:p w:rsidR="00EC7ADD" w:rsidRPr="00EC7ADD" w:rsidRDefault="00EC7ADD" w:rsidP="00EC7ADD">
            <w:pPr>
              <w:spacing w:after="0" w:line="240" w:lineRule="auto"/>
              <w:rPr>
                <w:rFonts w:ascii="Arial" w:eastAsia="Times New Roman" w:hAnsi="Arial" w:cs="Arial"/>
                <w:color w:val="000000"/>
                <w:lang w:eastAsia="en-AU"/>
              </w:rPr>
            </w:pPr>
            <w:r w:rsidRPr="00EC7ADD">
              <w:rPr>
                <w:rFonts w:ascii="Arial" w:eastAsia="Times New Roman" w:hAnsi="Arial" w:cs="Arial"/>
                <w:color w:val="000000"/>
                <w:lang w:eastAsia="en-AU"/>
              </w:rPr>
              <w:t> </w:t>
            </w:r>
          </w:p>
        </w:tc>
        <w:tc>
          <w:tcPr>
            <w:tcW w:w="1275" w:type="dxa"/>
            <w:tcBorders>
              <w:top w:val="nil"/>
              <w:left w:val="single" w:sz="8" w:space="0" w:color="auto"/>
              <w:bottom w:val="single" w:sz="4" w:space="0" w:color="auto"/>
              <w:right w:val="single" w:sz="8" w:space="0" w:color="auto"/>
            </w:tcBorders>
            <w:shd w:val="clear" w:color="auto" w:fill="auto"/>
            <w:noWrap/>
            <w:vAlign w:val="bottom"/>
            <w:hideMark/>
          </w:tcPr>
          <w:p w:rsidR="00EC7ADD" w:rsidRPr="00EC7ADD" w:rsidRDefault="00EC7ADD" w:rsidP="00EC7ADD">
            <w:pPr>
              <w:spacing w:after="0" w:line="240" w:lineRule="auto"/>
              <w:rPr>
                <w:rFonts w:ascii="Arial" w:eastAsia="Times New Roman" w:hAnsi="Arial" w:cs="Arial"/>
                <w:color w:val="000000"/>
                <w:lang w:eastAsia="en-AU"/>
              </w:rPr>
            </w:pPr>
            <w:r w:rsidRPr="00EC7ADD">
              <w:rPr>
                <w:rFonts w:ascii="Arial" w:eastAsia="Times New Roman" w:hAnsi="Arial" w:cs="Arial"/>
                <w:color w:val="000000"/>
                <w:lang w:eastAsia="en-AU"/>
              </w:rPr>
              <w:t> </w:t>
            </w:r>
          </w:p>
        </w:tc>
        <w:tc>
          <w:tcPr>
            <w:tcW w:w="1276" w:type="dxa"/>
            <w:tcBorders>
              <w:top w:val="nil"/>
              <w:left w:val="nil"/>
              <w:bottom w:val="single" w:sz="4" w:space="0" w:color="auto"/>
              <w:right w:val="single" w:sz="8" w:space="0" w:color="auto"/>
            </w:tcBorders>
            <w:shd w:val="clear" w:color="auto" w:fill="auto"/>
            <w:noWrap/>
            <w:vAlign w:val="bottom"/>
            <w:hideMark/>
          </w:tcPr>
          <w:p w:rsidR="00EC7ADD" w:rsidRPr="00EC7ADD" w:rsidRDefault="00EC7ADD" w:rsidP="00EC7ADD">
            <w:pPr>
              <w:spacing w:after="0" w:line="240" w:lineRule="auto"/>
              <w:rPr>
                <w:rFonts w:ascii="Arial" w:eastAsia="Times New Roman" w:hAnsi="Arial" w:cs="Arial"/>
                <w:color w:val="000000"/>
                <w:lang w:eastAsia="en-AU"/>
              </w:rPr>
            </w:pPr>
            <w:r w:rsidRPr="00EC7ADD">
              <w:rPr>
                <w:rFonts w:ascii="Arial" w:eastAsia="Times New Roman" w:hAnsi="Arial" w:cs="Arial"/>
                <w:color w:val="000000"/>
                <w:lang w:eastAsia="en-AU"/>
              </w:rPr>
              <w:t> </w:t>
            </w:r>
          </w:p>
        </w:tc>
      </w:tr>
      <w:tr w:rsidR="00EC7ADD" w:rsidRPr="00AD165E" w:rsidTr="00632614">
        <w:trPr>
          <w:trHeight w:val="285"/>
        </w:trPr>
        <w:tc>
          <w:tcPr>
            <w:tcW w:w="1500" w:type="dxa"/>
            <w:tcBorders>
              <w:top w:val="nil"/>
              <w:left w:val="single" w:sz="8" w:space="0" w:color="auto"/>
              <w:bottom w:val="single" w:sz="8" w:space="0" w:color="auto"/>
              <w:right w:val="nil"/>
            </w:tcBorders>
            <w:shd w:val="clear" w:color="auto" w:fill="auto"/>
            <w:noWrap/>
            <w:vAlign w:val="bottom"/>
            <w:hideMark/>
          </w:tcPr>
          <w:p w:rsidR="00EC7ADD" w:rsidRPr="00AD165E" w:rsidRDefault="00EC7ADD" w:rsidP="00EC7ADD">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1 year</w:t>
            </w:r>
          </w:p>
        </w:tc>
        <w:tc>
          <w:tcPr>
            <w:tcW w:w="1325" w:type="dxa"/>
            <w:tcBorders>
              <w:top w:val="nil"/>
              <w:left w:val="single" w:sz="8" w:space="0" w:color="auto"/>
              <w:bottom w:val="single" w:sz="8" w:space="0" w:color="auto"/>
              <w:right w:val="single" w:sz="8" w:space="0" w:color="auto"/>
            </w:tcBorders>
            <w:shd w:val="clear" w:color="auto" w:fill="auto"/>
            <w:noWrap/>
            <w:vAlign w:val="center"/>
            <w:hideMark/>
          </w:tcPr>
          <w:p w:rsidR="00EC7ADD" w:rsidRPr="00EC7ADD" w:rsidRDefault="00EC7ADD" w:rsidP="00EC7ADD">
            <w:pPr>
              <w:spacing w:after="0"/>
              <w:rPr>
                <w:rFonts w:ascii="Arial" w:hAnsi="Arial" w:cs="Arial"/>
              </w:rPr>
            </w:pPr>
            <w:r w:rsidRPr="00EC7ADD">
              <w:rPr>
                <w:rFonts w:ascii="Arial" w:hAnsi="Arial" w:cs="Arial"/>
              </w:rPr>
              <w:t>18%</w:t>
            </w:r>
          </w:p>
        </w:tc>
        <w:tc>
          <w:tcPr>
            <w:tcW w:w="1276" w:type="dxa"/>
            <w:tcBorders>
              <w:top w:val="nil"/>
              <w:left w:val="nil"/>
              <w:bottom w:val="single" w:sz="8" w:space="0" w:color="auto"/>
              <w:right w:val="nil"/>
            </w:tcBorders>
            <w:shd w:val="clear" w:color="auto" w:fill="auto"/>
            <w:noWrap/>
            <w:vAlign w:val="center"/>
            <w:hideMark/>
          </w:tcPr>
          <w:p w:rsidR="00EC7ADD" w:rsidRPr="00EC7ADD" w:rsidRDefault="00EC7ADD" w:rsidP="00EC7ADD">
            <w:pPr>
              <w:spacing w:after="0"/>
              <w:rPr>
                <w:rFonts w:ascii="Arial" w:hAnsi="Arial" w:cs="Arial"/>
              </w:rPr>
            </w:pPr>
            <w:r w:rsidRPr="00EC7ADD">
              <w:rPr>
                <w:rFonts w:ascii="Arial" w:hAnsi="Arial" w:cs="Arial"/>
              </w:rPr>
              <w:t>19%</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EC7ADD" w:rsidRPr="00EC7ADD" w:rsidRDefault="00EC7ADD" w:rsidP="00EC7ADD">
            <w:pPr>
              <w:spacing w:after="0" w:line="240" w:lineRule="auto"/>
              <w:rPr>
                <w:rFonts w:ascii="Arial" w:eastAsia="Times New Roman" w:hAnsi="Arial" w:cs="Arial"/>
                <w:color w:val="000000"/>
                <w:lang w:eastAsia="en-AU"/>
              </w:rPr>
            </w:pPr>
            <w:r w:rsidRPr="00EC7ADD">
              <w:rPr>
                <w:rFonts w:ascii="Arial" w:eastAsia="Times New Roman" w:hAnsi="Arial" w:cs="Arial"/>
                <w:color w:val="000000"/>
                <w:lang w:eastAsia="en-AU"/>
              </w:rPr>
              <w:t> </w:t>
            </w:r>
          </w:p>
        </w:tc>
        <w:tc>
          <w:tcPr>
            <w:tcW w:w="1276" w:type="dxa"/>
            <w:tcBorders>
              <w:top w:val="nil"/>
              <w:left w:val="nil"/>
              <w:bottom w:val="single" w:sz="8" w:space="0" w:color="auto"/>
              <w:right w:val="nil"/>
            </w:tcBorders>
            <w:shd w:val="clear" w:color="auto" w:fill="auto"/>
            <w:noWrap/>
            <w:vAlign w:val="bottom"/>
            <w:hideMark/>
          </w:tcPr>
          <w:p w:rsidR="00EC7ADD" w:rsidRPr="00EC7ADD" w:rsidRDefault="00EC7ADD" w:rsidP="00EC7ADD">
            <w:pPr>
              <w:spacing w:after="0" w:line="240" w:lineRule="auto"/>
              <w:rPr>
                <w:rFonts w:ascii="Arial" w:eastAsia="Times New Roman" w:hAnsi="Arial" w:cs="Arial"/>
                <w:color w:val="000000"/>
                <w:lang w:eastAsia="en-AU"/>
              </w:rPr>
            </w:pPr>
            <w:r w:rsidRPr="00EC7ADD">
              <w:rPr>
                <w:rFonts w:ascii="Arial" w:eastAsia="Times New Roman" w:hAnsi="Arial" w:cs="Arial"/>
                <w:color w:val="000000"/>
                <w:lang w:eastAsia="en-AU"/>
              </w:rPr>
              <w:t> </w:t>
            </w:r>
          </w:p>
        </w:tc>
        <w:tc>
          <w:tcPr>
            <w:tcW w:w="1275" w:type="dxa"/>
            <w:tcBorders>
              <w:top w:val="nil"/>
              <w:left w:val="single" w:sz="8" w:space="0" w:color="auto"/>
              <w:bottom w:val="single" w:sz="8" w:space="0" w:color="auto"/>
              <w:right w:val="single" w:sz="8" w:space="0" w:color="auto"/>
            </w:tcBorders>
            <w:shd w:val="clear" w:color="auto" w:fill="auto"/>
            <w:noWrap/>
            <w:vAlign w:val="bottom"/>
            <w:hideMark/>
          </w:tcPr>
          <w:p w:rsidR="00EC7ADD" w:rsidRPr="00EC7ADD" w:rsidRDefault="00EC7ADD" w:rsidP="00EC7ADD">
            <w:pPr>
              <w:spacing w:after="0" w:line="240" w:lineRule="auto"/>
              <w:rPr>
                <w:rFonts w:ascii="Arial" w:eastAsia="Times New Roman" w:hAnsi="Arial" w:cs="Arial"/>
                <w:color w:val="000000"/>
                <w:lang w:eastAsia="en-AU"/>
              </w:rPr>
            </w:pPr>
            <w:r w:rsidRPr="00EC7ADD">
              <w:rPr>
                <w:rFonts w:ascii="Arial" w:eastAsia="Times New Roman" w:hAnsi="Arial" w:cs="Arial"/>
                <w:color w:val="000000"/>
                <w:lang w:eastAsia="en-AU"/>
              </w:rPr>
              <w:t> </w:t>
            </w:r>
          </w:p>
        </w:tc>
        <w:tc>
          <w:tcPr>
            <w:tcW w:w="1276" w:type="dxa"/>
            <w:tcBorders>
              <w:top w:val="nil"/>
              <w:left w:val="nil"/>
              <w:bottom w:val="single" w:sz="8" w:space="0" w:color="auto"/>
              <w:right w:val="single" w:sz="8" w:space="0" w:color="auto"/>
            </w:tcBorders>
            <w:shd w:val="clear" w:color="auto" w:fill="auto"/>
            <w:noWrap/>
            <w:vAlign w:val="bottom"/>
            <w:hideMark/>
          </w:tcPr>
          <w:p w:rsidR="00EC7ADD" w:rsidRPr="00EC7ADD" w:rsidRDefault="00EC7ADD" w:rsidP="00EC7ADD">
            <w:pPr>
              <w:spacing w:after="0" w:line="240" w:lineRule="auto"/>
              <w:rPr>
                <w:rFonts w:ascii="Arial" w:eastAsia="Times New Roman" w:hAnsi="Arial" w:cs="Arial"/>
                <w:color w:val="000000"/>
                <w:lang w:eastAsia="en-AU"/>
              </w:rPr>
            </w:pPr>
            <w:r w:rsidRPr="00EC7ADD">
              <w:rPr>
                <w:rFonts w:ascii="Arial" w:eastAsia="Times New Roman" w:hAnsi="Arial" w:cs="Arial"/>
                <w:color w:val="000000"/>
                <w:lang w:eastAsia="en-AU"/>
              </w:rPr>
              <w:t> </w:t>
            </w:r>
          </w:p>
        </w:tc>
      </w:tr>
    </w:tbl>
    <w:p w:rsidR="00EC7ADD" w:rsidRDefault="00EC7ADD" w:rsidP="00EC7ADD">
      <w:pPr>
        <w:spacing w:after="240"/>
        <w:rPr>
          <w:rFonts w:cstheme="minorHAnsi"/>
        </w:rPr>
      </w:pPr>
    </w:p>
    <w:p w:rsidR="00B83265" w:rsidRPr="002817DE" w:rsidRDefault="00B83265" w:rsidP="002817DE">
      <w:pPr>
        <w:pStyle w:val="Heading2"/>
      </w:pPr>
      <w:bookmarkStart w:id="58" w:name="_Toc121151430"/>
      <w:r w:rsidRPr="002817DE">
        <w:lastRenderedPageBreak/>
        <w:t>Slide 48: Participants aged 15 and over – Choice and control</w:t>
      </w:r>
      <w:bookmarkEnd w:id="58"/>
    </w:p>
    <w:p w:rsidR="00B83265" w:rsidRPr="00540053" w:rsidRDefault="00B83265" w:rsidP="00B83265">
      <w:pPr>
        <w:spacing w:after="240"/>
        <w:rPr>
          <w:rFonts w:cstheme="minorHAnsi"/>
        </w:rPr>
      </w:pPr>
      <w:r w:rsidRPr="00540053">
        <w:rPr>
          <w:rFonts w:cstheme="minorHAnsi"/>
        </w:rPr>
        <w:t>There are positive changes over time in choice and control outcomes for participants aged 15 to 24 across all cohorts.</w:t>
      </w:r>
    </w:p>
    <w:p w:rsidR="00B83265" w:rsidRDefault="00B83265" w:rsidP="00B83265">
      <w:pPr>
        <w:pStyle w:val="ListParagraph"/>
        <w:numPr>
          <w:ilvl w:val="0"/>
          <w:numId w:val="26"/>
        </w:numPr>
        <w:spacing w:after="240"/>
        <w:rPr>
          <w:rFonts w:cstheme="minorHAnsi"/>
        </w:rPr>
      </w:pPr>
      <w:r w:rsidRPr="00540053">
        <w:rPr>
          <w:rFonts w:cstheme="minorHAnsi"/>
        </w:rPr>
        <w:t>Participants are increasingly likely to make more decisions in their life than they did 2 years ago (a 9.1 percentage point increase over five years). Gains are largest at first and second review, with smaller gains at later reviews. This is consistent across all cohorts. However, there is a 2.5 percentage point decrease at fifth review for cohort 5.</w:t>
      </w:r>
    </w:p>
    <w:p w:rsidR="00B83265" w:rsidRDefault="00B83265" w:rsidP="00B83265">
      <w:pPr>
        <w:pStyle w:val="ListParagraph"/>
        <w:numPr>
          <w:ilvl w:val="0"/>
          <w:numId w:val="26"/>
        </w:numPr>
        <w:spacing w:after="240"/>
        <w:rPr>
          <w:rFonts w:cstheme="minorHAnsi"/>
        </w:rPr>
      </w:pPr>
      <w:r w:rsidRPr="00540053">
        <w:rPr>
          <w:rFonts w:cstheme="minorHAnsi"/>
        </w:rPr>
        <w:t>The percentage of participants who do not have more independence/ control over their life than they did 2 years ago due to factors unrelated to their disability is declining (i.e. improving). For cohort 5 there was a 2.1 percentage point decrease between baseline (7.4%) and fifth review (5.3%). The largest decrease was at first review.</w:t>
      </w:r>
    </w:p>
    <w:p w:rsidR="00B83265" w:rsidRPr="00540053" w:rsidRDefault="00B83265" w:rsidP="00B83265">
      <w:pPr>
        <w:pStyle w:val="ListParagraph"/>
        <w:numPr>
          <w:ilvl w:val="0"/>
          <w:numId w:val="26"/>
        </w:numPr>
        <w:spacing w:after="240"/>
        <w:rPr>
          <w:rFonts w:cstheme="minorHAnsi"/>
        </w:rPr>
      </w:pPr>
      <w:r w:rsidRPr="00540053">
        <w:rPr>
          <w:rFonts w:cstheme="minorHAnsi"/>
        </w:rPr>
        <w:t>There is an increasing trend in the percentage of participants who want more choice and control in their life (a 16.6 percentage-point increase over five years). This may suggest that participants are becoming more empowered and want more agency over their choices, or it may be flagging challenges to exerting choice and control.</w:t>
      </w:r>
    </w:p>
    <w:p w:rsidR="00B83265" w:rsidRDefault="00B83265" w:rsidP="00B83265">
      <w:pPr>
        <w:spacing w:after="240"/>
        <w:rPr>
          <w:rFonts w:cstheme="minorHAnsi"/>
        </w:rPr>
      </w:pPr>
      <w:r>
        <w:rPr>
          <w:rFonts w:cstheme="minorHAnsi"/>
        </w:rPr>
        <w:t>Three</w:t>
      </w:r>
      <w:r w:rsidRPr="00715092">
        <w:rPr>
          <w:rFonts w:cstheme="minorHAnsi"/>
        </w:rPr>
        <w:t xml:space="preserve"> charts show the percentage </w:t>
      </w:r>
      <w:r>
        <w:rPr>
          <w:rFonts w:cstheme="minorHAnsi"/>
        </w:rPr>
        <w:t>who do not have more independence/control over their life than they did 2 years ago because of factors unrelated to their disability, who make more decisions in their life than they did 2 years ago, and who want more choice and control in their life</w:t>
      </w:r>
      <w:r w:rsidRPr="00715092">
        <w:rPr>
          <w:rFonts w:cstheme="minorHAnsi"/>
        </w:rPr>
        <w:t xml:space="preserve">, at baseline and at subsequent reviews, separately for participants in the </w:t>
      </w:r>
      <w:r>
        <w:rPr>
          <w:rFonts w:cstheme="minorHAnsi"/>
        </w:rPr>
        <w:t xml:space="preserve">five years, </w:t>
      </w:r>
      <w:r w:rsidRPr="00715092">
        <w:rPr>
          <w:rFonts w:cstheme="minorHAnsi"/>
        </w:rPr>
        <w:t>four years, three years, two years or one year</w:t>
      </w:r>
      <w:r w:rsidR="00F27590">
        <w:rPr>
          <w:rFonts w:cstheme="minorHAnsi"/>
        </w:rPr>
        <w:t xml:space="preserve"> cohorts</w:t>
      </w:r>
      <w:r w:rsidRPr="00715092">
        <w:rPr>
          <w:rFonts w:cstheme="minorHAnsi"/>
        </w:rPr>
        <w:t>.</w:t>
      </w:r>
    </w:p>
    <w:p w:rsidR="00F27590" w:rsidRDefault="00F27590" w:rsidP="00B83265">
      <w:pPr>
        <w:spacing w:after="240"/>
        <w:rPr>
          <w:rFonts w:cstheme="minorHAnsi"/>
        </w:rPr>
      </w:pPr>
      <w:r>
        <w:rPr>
          <w:rFonts w:cstheme="minorHAnsi"/>
        </w:rPr>
        <w:t>By time since first in P15to24.</w:t>
      </w:r>
    </w:p>
    <w:p w:rsidR="00B83265" w:rsidRDefault="00B83265" w:rsidP="00B83265">
      <w:pPr>
        <w:spacing w:after="240"/>
        <w:rPr>
          <w:rFonts w:cstheme="minorHAnsi"/>
        </w:rPr>
      </w:pPr>
      <w:r>
        <w:rPr>
          <w:rFonts w:cstheme="minorHAnsi"/>
        </w:rPr>
        <w:t>% who do not have more independence/control over their life than they did 2 years ago because of factors unrelated to their disability</w:t>
      </w:r>
      <w:r w:rsidR="00F27590">
        <w:rPr>
          <w:rFonts w:cstheme="minorHAnsi"/>
        </w:rPr>
        <w:t xml:space="preserve"> (improved)</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68"/>
        <w:gridCol w:w="1268"/>
        <w:gridCol w:w="1268"/>
        <w:gridCol w:w="1268"/>
        <w:gridCol w:w="1268"/>
        <w:gridCol w:w="1268"/>
      </w:tblGrid>
      <w:tr w:rsidR="00B83265" w:rsidRPr="00F712CC" w:rsidTr="00F712CC">
        <w:trPr>
          <w:trHeight w:val="264"/>
        </w:trPr>
        <w:tc>
          <w:tcPr>
            <w:tcW w:w="2263" w:type="dxa"/>
            <w:noWrap/>
            <w:vAlign w:val="center"/>
            <w:hideMark/>
          </w:tcPr>
          <w:p w:rsidR="00B83265" w:rsidRPr="00F712CC" w:rsidRDefault="00B83265" w:rsidP="00F712CC">
            <w:pPr>
              <w:spacing w:after="0"/>
              <w:rPr>
                <w:rFonts w:ascii="Arial" w:eastAsia="Times New Roman" w:hAnsi="Arial" w:cs="Arial"/>
                <w:b/>
                <w:bCs/>
                <w:color w:val="000000"/>
                <w:lang w:eastAsia="zh-CN"/>
              </w:rPr>
            </w:pPr>
            <w:r w:rsidRPr="00F712CC">
              <w:rPr>
                <w:rFonts w:ascii="Arial" w:eastAsia="Times New Roman" w:hAnsi="Arial" w:cs="Arial"/>
                <w:b/>
                <w:bCs/>
                <w:color w:val="000000"/>
                <w:lang w:eastAsia="zh-CN"/>
              </w:rPr>
              <w:t>Cohort</w:t>
            </w:r>
          </w:p>
        </w:tc>
        <w:tc>
          <w:tcPr>
            <w:tcW w:w="1268" w:type="dxa"/>
            <w:noWrap/>
            <w:vAlign w:val="center"/>
            <w:hideMark/>
          </w:tcPr>
          <w:p w:rsidR="00B83265" w:rsidRPr="00F712CC" w:rsidRDefault="00B83265" w:rsidP="00F712CC">
            <w:pPr>
              <w:spacing w:after="0"/>
              <w:rPr>
                <w:rFonts w:ascii="Arial" w:eastAsia="Times New Roman" w:hAnsi="Arial" w:cs="Arial"/>
                <w:b/>
                <w:bCs/>
                <w:color w:val="000000"/>
                <w:lang w:eastAsia="zh-CN"/>
              </w:rPr>
            </w:pPr>
            <w:r w:rsidRPr="00F712CC">
              <w:rPr>
                <w:rFonts w:ascii="Arial" w:eastAsia="Times New Roman" w:hAnsi="Arial" w:cs="Arial"/>
                <w:b/>
                <w:bCs/>
                <w:color w:val="000000"/>
                <w:lang w:eastAsia="zh-CN"/>
              </w:rPr>
              <w:t>Baseline</w:t>
            </w:r>
          </w:p>
        </w:tc>
        <w:tc>
          <w:tcPr>
            <w:tcW w:w="1268" w:type="dxa"/>
            <w:noWrap/>
            <w:vAlign w:val="center"/>
            <w:hideMark/>
          </w:tcPr>
          <w:p w:rsidR="00B83265" w:rsidRPr="00F712CC" w:rsidRDefault="00B83265" w:rsidP="00F712CC">
            <w:pPr>
              <w:spacing w:after="0"/>
              <w:rPr>
                <w:rFonts w:ascii="Arial" w:eastAsia="Times New Roman" w:hAnsi="Arial" w:cs="Arial"/>
                <w:b/>
                <w:bCs/>
                <w:color w:val="000000"/>
                <w:lang w:eastAsia="zh-CN"/>
              </w:rPr>
            </w:pPr>
            <w:r w:rsidRPr="00F712CC">
              <w:rPr>
                <w:rFonts w:ascii="Arial" w:eastAsia="Times New Roman" w:hAnsi="Arial" w:cs="Arial"/>
                <w:b/>
                <w:bCs/>
                <w:color w:val="000000"/>
                <w:lang w:eastAsia="zh-CN"/>
              </w:rPr>
              <w:t>Review 1</w:t>
            </w:r>
          </w:p>
        </w:tc>
        <w:tc>
          <w:tcPr>
            <w:tcW w:w="1268" w:type="dxa"/>
            <w:noWrap/>
            <w:vAlign w:val="center"/>
            <w:hideMark/>
          </w:tcPr>
          <w:p w:rsidR="00B83265" w:rsidRPr="00F712CC" w:rsidRDefault="00B83265" w:rsidP="00F712CC">
            <w:pPr>
              <w:spacing w:after="0"/>
              <w:rPr>
                <w:rFonts w:ascii="Arial" w:eastAsia="Times New Roman" w:hAnsi="Arial" w:cs="Arial"/>
                <w:b/>
                <w:bCs/>
                <w:color w:val="000000"/>
                <w:lang w:eastAsia="zh-CN"/>
              </w:rPr>
            </w:pPr>
            <w:r w:rsidRPr="00F712CC">
              <w:rPr>
                <w:rFonts w:ascii="Arial" w:eastAsia="Times New Roman" w:hAnsi="Arial" w:cs="Arial"/>
                <w:b/>
                <w:bCs/>
                <w:color w:val="000000"/>
                <w:lang w:eastAsia="zh-CN"/>
              </w:rPr>
              <w:t>Review 2</w:t>
            </w:r>
          </w:p>
        </w:tc>
        <w:tc>
          <w:tcPr>
            <w:tcW w:w="1268" w:type="dxa"/>
            <w:noWrap/>
            <w:vAlign w:val="center"/>
            <w:hideMark/>
          </w:tcPr>
          <w:p w:rsidR="00B83265" w:rsidRPr="00F712CC" w:rsidRDefault="00B83265" w:rsidP="00F712CC">
            <w:pPr>
              <w:spacing w:after="0"/>
              <w:rPr>
                <w:rFonts w:ascii="Arial" w:eastAsia="Times New Roman" w:hAnsi="Arial" w:cs="Arial"/>
                <w:b/>
                <w:bCs/>
                <w:color w:val="000000"/>
                <w:lang w:eastAsia="zh-CN"/>
              </w:rPr>
            </w:pPr>
            <w:r w:rsidRPr="00F712CC">
              <w:rPr>
                <w:rFonts w:ascii="Arial" w:eastAsia="Times New Roman" w:hAnsi="Arial" w:cs="Arial"/>
                <w:b/>
                <w:bCs/>
                <w:color w:val="000000"/>
                <w:lang w:eastAsia="zh-CN"/>
              </w:rPr>
              <w:t>Review 3</w:t>
            </w:r>
          </w:p>
        </w:tc>
        <w:tc>
          <w:tcPr>
            <w:tcW w:w="1268" w:type="dxa"/>
            <w:noWrap/>
            <w:vAlign w:val="center"/>
            <w:hideMark/>
          </w:tcPr>
          <w:p w:rsidR="00B83265" w:rsidRPr="00F712CC" w:rsidRDefault="00B83265" w:rsidP="00F712CC">
            <w:pPr>
              <w:spacing w:after="0"/>
              <w:rPr>
                <w:rFonts w:ascii="Arial" w:eastAsia="Times New Roman" w:hAnsi="Arial" w:cs="Arial"/>
                <w:b/>
                <w:bCs/>
                <w:color w:val="000000"/>
                <w:lang w:eastAsia="zh-CN"/>
              </w:rPr>
            </w:pPr>
            <w:r w:rsidRPr="00F712CC">
              <w:rPr>
                <w:rFonts w:ascii="Arial" w:eastAsia="Times New Roman" w:hAnsi="Arial" w:cs="Arial"/>
                <w:b/>
                <w:bCs/>
                <w:color w:val="000000"/>
                <w:lang w:eastAsia="zh-CN"/>
              </w:rPr>
              <w:t>Review 4</w:t>
            </w:r>
          </w:p>
        </w:tc>
        <w:tc>
          <w:tcPr>
            <w:tcW w:w="1268" w:type="dxa"/>
            <w:vAlign w:val="center"/>
          </w:tcPr>
          <w:p w:rsidR="00B83265" w:rsidRPr="00F712CC" w:rsidRDefault="00B83265" w:rsidP="00F712CC">
            <w:pPr>
              <w:spacing w:after="0"/>
              <w:rPr>
                <w:rFonts w:ascii="Arial" w:eastAsia="Times New Roman" w:hAnsi="Arial" w:cs="Arial"/>
                <w:b/>
                <w:bCs/>
                <w:color w:val="000000"/>
                <w:lang w:eastAsia="zh-CN"/>
              </w:rPr>
            </w:pPr>
            <w:r w:rsidRPr="00F712CC">
              <w:rPr>
                <w:rFonts w:ascii="Arial" w:eastAsia="Times New Roman" w:hAnsi="Arial" w:cs="Arial"/>
                <w:b/>
                <w:bCs/>
                <w:color w:val="000000"/>
                <w:lang w:eastAsia="zh-CN"/>
              </w:rPr>
              <w:t>Review 5</w:t>
            </w:r>
          </w:p>
        </w:tc>
      </w:tr>
      <w:tr w:rsidR="00B83265" w:rsidRPr="00F712CC" w:rsidTr="00F712CC">
        <w:trPr>
          <w:trHeight w:val="264"/>
        </w:trPr>
        <w:tc>
          <w:tcPr>
            <w:tcW w:w="2263" w:type="dxa"/>
            <w:noWrap/>
            <w:vAlign w:val="center"/>
          </w:tcPr>
          <w:p w:rsidR="00B83265" w:rsidRPr="00F712CC" w:rsidRDefault="00B83265" w:rsidP="00F712CC">
            <w:pPr>
              <w:spacing w:after="0"/>
              <w:rPr>
                <w:rFonts w:ascii="Arial" w:hAnsi="Arial" w:cs="Arial"/>
                <w:color w:val="000000"/>
              </w:rPr>
            </w:pPr>
            <w:r w:rsidRPr="00F712CC">
              <w:rPr>
                <w:rFonts w:ascii="Arial" w:hAnsi="Arial" w:cs="Arial"/>
              </w:rPr>
              <w:t>5 year</w:t>
            </w:r>
          </w:p>
        </w:tc>
        <w:tc>
          <w:tcPr>
            <w:tcW w:w="1268" w:type="dxa"/>
            <w:noWrap/>
            <w:vAlign w:val="center"/>
          </w:tcPr>
          <w:p w:rsidR="00B83265" w:rsidRPr="00F712CC" w:rsidRDefault="00B83265" w:rsidP="00F712CC">
            <w:pPr>
              <w:spacing w:after="0"/>
              <w:rPr>
                <w:rFonts w:ascii="Arial" w:hAnsi="Arial" w:cs="Arial"/>
              </w:rPr>
            </w:pPr>
            <w:r w:rsidRPr="00F712CC">
              <w:rPr>
                <w:rFonts w:ascii="Arial" w:hAnsi="Arial" w:cs="Arial"/>
              </w:rPr>
              <w:t>7.4%</w:t>
            </w:r>
          </w:p>
        </w:tc>
        <w:tc>
          <w:tcPr>
            <w:tcW w:w="1268" w:type="dxa"/>
            <w:noWrap/>
            <w:vAlign w:val="center"/>
          </w:tcPr>
          <w:p w:rsidR="00B83265" w:rsidRPr="00F712CC" w:rsidRDefault="00B83265" w:rsidP="00F712CC">
            <w:pPr>
              <w:spacing w:after="0"/>
              <w:rPr>
                <w:rFonts w:ascii="Arial" w:hAnsi="Arial" w:cs="Arial"/>
              </w:rPr>
            </w:pPr>
            <w:r w:rsidRPr="00F712CC">
              <w:rPr>
                <w:rFonts w:ascii="Arial" w:hAnsi="Arial" w:cs="Arial"/>
              </w:rPr>
              <w:t>5.5%</w:t>
            </w:r>
          </w:p>
        </w:tc>
        <w:tc>
          <w:tcPr>
            <w:tcW w:w="1268" w:type="dxa"/>
            <w:noWrap/>
            <w:vAlign w:val="center"/>
          </w:tcPr>
          <w:p w:rsidR="00B83265" w:rsidRPr="00F712CC" w:rsidRDefault="00B83265" w:rsidP="00F712CC">
            <w:pPr>
              <w:spacing w:after="0"/>
              <w:rPr>
                <w:rFonts w:ascii="Arial" w:hAnsi="Arial" w:cs="Arial"/>
              </w:rPr>
            </w:pPr>
            <w:r w:rsidRPr="00F712CC">
              <w:rPr>
                <w:rFonts w:ascii="Arial" w:hAnsi="Arial" w:cs="Arial"/>
              </w:rPr>
              <w:t>5.6%</w:t>
            </w:r>
          </w:p>
        </w:tc>
        <w:tc>
          <w:tcPr>
            <w:tcW w:w="1268" w:type="dxa"/>
            <w:noWrap/>
            <w:vAlign w:val="center"/>
          </w:tcPr>
          <w:p w:rsidR="00B83265" w:rsidRPr="00F712CC" w:rsidRDefault="00B83265" w:rsidP="00F712CC">
            <w:pPr>
              <w:spacing w:after="0"/>
              <w:rPr>
                <w:rFonts w:ascii="Arial" w:hAnsi="Arial" w:cs="Arial"/>
              </w:rPr>
            </w:pPr>
            <w:r w:rsidRPr="00F712CC">
              <w:rPr>
                <w:rFonts w:ascii="Arial" w:hAnsi="Arial" w:cs="Arial"/>
              </w:rPr>
              <w:t>6.4%</w:t>
            </w:r>
          </w:p>
        </w:tc>
        <w:tc>
          <w:tcPr>
            <w:tcW w:w="1268" w:type="dxa"/>
            <w:noWrap/>
            <w:vAlign w:val="center"/>
          </w:tcPr>
          <w:p w:rsidR="00B83265" w:rsidRPr="00F712CC" w:rsidRDefault="00B83265" w:rsidP="00F712CC">
            <w:pPr>
              <w:spacing w:after="0"/>
              <w:rPr>
                <w:rFonts w:ascii="Arial" w:hAnsi="Arial" w:cs="Arial"/>
              </w:rPr>
            </w:pPr>
            <w:r w:rsidRPr="00F712CC">
              <w:rPr>
                <w:rFonts w:ascii="Arial" w:hAnsi="Arial" w:cs="Arial"/>
              </w:rPr>
              <w:t>5.8%</w:t>
            </w:r>
          </w:p>
        </w:tc>
        <w:tc>
          <w:tcPr>
            <w:tcW w:w="1268" w:type="dxa"/>
            <w:vAlign w:val="center"/>
          </w:tcPr>
          <w:p w:rsidR="00B83265" w:rsidRPr="00F712CC" w:rsidRDefault="00B83265" w:rsidP="00F712CC">
            <w:pPr>
              <w:spacing w:after="0"/>
              <w:rPr>
                <w:rFonts w:ascii="Arial" w:hAnsi="Arial" w:cs="Arial"/>
              </w:rPr>
            </w:pPr>
            <w:r w:rsidRPr="00F712CC">
              <w:rPr>
                <w:rFonts w:ascii="Arial" w:hAnsi="Arial" w:cs="Arial"/>
              </w:rPr>
              <w:t>5.3%</w:t>
            </w:r>
          </w:p>
        </w:tc>
      </w:tr>
      <w:tr w:rsidR="00B83265" w:rsidRPr="00F712CC" w:rsidTr="00F712CC">
        <w:trPr>
          <w:trHeight w:val="264"/>
        </w:trPr>
        <w:tc>
          <w:tcPr>
            <w:tcW w:w="2263" w:type="dxa"/>
            <w:noWrap/>
            <w:vAlign w:val="center"/>
          </w:tcPr>
          <w:p w:rsidR="00B83265" w:rsidRPr="00F712CC" w:rsidRDefault="00B83265" w:rsidP="00F712CC">
            <w:pPr>
              <w:spacing w:after="0"/>
              <w:rPr>
                <w:rFonts w:ascii="Arial" w:hAnsi="Arial" w:cs="Arial"/>
              </w:rPr>
            </w:pPr>
            <w:r w:rsidRPr="00F712CC">
              <w:rPr>
                <w:rFonts w:ascii="Arial" w:hAnsi="Arial" w:cs="Arial"/>
              </w:rPr>
              <w:t>4 year</w:t>
            </w:r>
          </w:p>
        </w:tc>
        <w:tc>
          <w:tcPr>
            <w:tcW w:w="1268" w:type="dxa"/>
            <w:noWrap/>
            <w:vAlign w:val="center"/>
          </w:tcPr>
          <w:p w:rsidR="00B83265" w:rsidRPr="00F712CC" w:rsidRDefault="00B83265" w:rsidP="00F712CC">
            <w:pPr>
              <w:spacing w:after="0"/>
              <w:rPr>
                <w:rFonts w:ascii="Arial" w:hAnsi="Arial" w:cs="Arial"/>
              </w:rPr>
            </w:pPr>
            <w:r w:rsidRPr="00F712CC">
              <w:rPr>
                <w:rFonts w:ascii="Arial" w:hAnsi="Arial" w:cs="Arial"/>
              </w:rPr>
              <w:t>8.3%</w:t>
            </w:r>
          </w:p>
        </w:tc>
        <w:tc>
          <w:tcPr>
            <w:tcW w:w="1268" w:type="dxa"/>
            <w:noWrap/>
            <w:vAlign w:val="center"/>
          </w:tcPr>
          <w:p w:rsidR="00B83265" w:rsidRPr="00F712CC" w:rsidRDefault="00B83265" w:rsidP="00F712CC">
            <w:pPr>
              <w:spacing w:after="0"/>
              <w:rPr>
                <w:rFonts w:ascii="Arial" w:hAnsi="Arial" w:cs="Arial"/>
              </w:rPr>
            </w:pPr>
            <w:r w:rsidRPr="00F712CC">
              <w:rPr>
                <w:rFonts w:ascii="Arial" w:hAnsi="Arial" w:cs="Arial"/>
              </w:rPr>
              <w:t>7.3%</w:t>
            </w:r>
          </w:p>
        </w:tc>
        <w:tc>
          <w:tcPr>
            <w:tcW w:w="1268" w:type="dxa"/>
            <w:noWrap/>
            <w:vAlign w:val="center"/>
          </w:tcPr>
          <w:p w:rsidR="00B83265" w:rsidRPr="00F712CC" w:rsidRDefault="00B83265" w:rsidP="00F712CC">
            <w:pPr>
              <w:spacing w:after="0"/>
              <w:rPr>
                <w:rFonts w:ascii="Arial" w:hAnsi="Arial" w:cs="Arial"/>
              </w:rPr>
            </w:pPr>
            <w:r w:rsidRPr="00F712CC">
              <w:rPr>
                <w:rFonts w:ascii="Arial" w:hAnsi="Arial" w:cs="Arial"/>
              </w:rPr>
              <w:t>6.7%</w:t>
            </w:r>
          </w:p>
        </w:tc>
        <w:tc>
          <w:tcPr>
            <w:tcW w:w="1268" w:type="dxa"/>
            <w:noWrap/>
            <w:vAlign w:val="center"/>
          </w:tcPr>
          <w:p w:rsidR="00B83265" w:rsidRPr="00F712CC" w:rsidRDefault="00B83265" w:rsidP="00F712CC">
            <w:pPr>
              <w:spacing w:after="0"/>
              <w:rPr>
                <w:rFonts w:ascii="Arial" w:hAnsi="Arial" w:cs="Arial"/>
              </w:rPr>
            </w:pPr>
            <w:r w:rsidRPr="00F712CC">
              <w:rPr>
                <w:rFonts w:ascii="Arial" w:hAnsi="Arial" w:cs="Arial"/>
              </w:rPr>
              <w:t>6.3%</w:t>
            </w:r>
          </w:p>
        </w:tc>
        <w:tc>
          <w:tcPr>
            <w:tcW w:w="1268" w:type="dxa"/>
            <w:noWrap/>
            <w:vAlign w:val="center"/>
          </w:tcPr>
          <w:p w:rsidR="00B83265" w:rsidRPr="00F712CC" w:rsidRDefault="00B83265" w:rsidP="00F712CC">
            <w:pPr>
              <w:spacing w:after="0"/>
              <w:rPr>
                <w:rFonts w:ascii="Arial" w:hAnsi="Arial" w:cs="Arial"/>
              </w:rPr>
            </w:pPr>
            <w:r w:rsidRPr="00F712CC">
              <w:rPr>
                <w:rFonts w:ascii="Arial" w:hAnsi="Arial" w:cs="Arial"/>
              </w:rPr>
              <w:t>6.4%</w:t>
            </w:r>
          </w:p>
        </w:tc>
        <w:tc>
          <w:tcPr>
            <w:tcW w:w="1268" w:type="dxa"/>
            <w:vAlign w:val="center"/>
          </w:tcPr>
          <w:p w:rsidR="00B83265" w:rsidRPr="00F712CC" w:rsidRDefault="00B83265" w:rsidP="00F712CC">
            <w:pPr>
              <w:spacing w:after="0"/>
              <w:rPr>
                <w:rFonts w:ascii="Arial" w:hAnsi="Arial" w:cs="Arial"/>
              </w:rPr>
            </w:pPr>
          </w:p>
        </w:tc>
      </w:tr>
      <w:tr w:rsidR="00B83265" w:rsidRPr="00F712CC" w:rsidTr="00F712CC">
        <w:trPr>
          <w:trHeight w:val="264"/>
        </w:trPr>
        <w:tc>
          <w:tcPr>
            <w:tcW w:w="2263" w:type="dxa"/>
            <w:noWrap/>
            <w:vAlign w:val="center"/>
          </w:tcPr>
          <w:p w:rsidR="00B83265" w:rsidRPr="00F712CC" w:rsidRDefault="00B83265" w:rsidP="00F712CC">
            <w:pPr>
              <w:spacing w:after="0"/>
              <w:rPr>
                <w:rFonts w:ascii="Arial" w:hAnsi="Arial" w:cs="Arial"/>
              </w:rPr>
            </w:pPr>
            <w:r w:rsidRPr="00F712CC">
              <w:rPr>
                <w:rFonts w:ascii="Arial" w:hAnsi="Arial" w:cs="Arial"/>
              </w:rPr>
              <w:t>3 years</w:t>
            </w:r>
          </w:p>
        </w:tc>
        <w:tc>
          <w:tcPr>
            <w:tcW w:w="1268" w:type="dxa"/>
            <w:noWrap/>
            <w:vAlign w:val="center"/>
          </w:tcPr>
          <w:p w:rsidR="00B83265" w:rsidRPr="00F712CC" w:rsidRDefault="00B83265" w:rsidP="00F712CC">
            <w:pPr>
              <w:spacing w:after="0"/>
              <w:rPr>
                <w:rFonts w:ascii="Arial" w:hAnsi="Arial" w:cs="Arial"/>
              </w:rPr>
            </w:pPr>
            <w:r w:rsidRPr="00F712CC">
              <w:rPr>
                <w:rFonts w:ascii="Arial" w:hAnsi="Arial" w:cs="Arial"/>
              </w:rPr>
              <w:t>9.7%</w:t>
            </w:r>
          </w:p>
        </w:tc>
        <w:tc>
          <w:tcPr>
            <w:tcW w:w="1268" w:type="dxa"/>
            <w:noWrap/>
            <w:vAlign w:val="center"/>
          </w:tcPr>
          <w:p w:rsidR="00B83265" w:rsidRPr="00F712CC" w:rsidRDefault="00B83265" w:rsidP="00F712CC">
            <w:pPr>
              <w:spacing w:after="0"/>
              <w:rPr>
                <w:rFonts w:ascii="Arial" w:hAnsi="Arial" w:cs="Arial"/>
              </w:rPr>
            </w:pPr>
            <w:r w:rsidRPr="00F712CC">
              <w:rPr>
                <w:rFonts w:ascii="Arial" w:hAnsi="Arial" w:cs="Arial"/>
              </w:rPr>
              <w:t>8.3%</w:t>
            </w:r>
          </w:p>
        </w:tc>
        <w:tc>
          <w:tcPr>
            <w:tcW w:w="1268" w:type="dxa"/>
            <w:noWrap/>
            <w:vAlign w:val="center"/>
          </w:tcPr>
          <w:p w:rsidR="00B83265" w:rsidRPr="00F712CC" w:rsidRDefault="00B83265" w:rsidP="00F712CC">
            <w:pPr>
              <w:spacing w:after="0"/>
              <w:rPr>
                <w:rFonts w:ascii="Arial" w:hAnsi="Arial" w:cs="Arial"/>
              </w:rPr>
            </w:pPr>
            <w:r w:rsidRPr="00F712CC">
              <w:rPr>
                <w:rFonts w:ascii="Arial" w:hAnsi="Arial" w:cs="Arial"/>
              </w:rPr>
              <w:t>7.0%</w:t>
            </w:r>
          </w:p>
        </w:tc>
        <w:tc>
          <w:tcPr>
            <w:tcW w:w="1268" w:type="dxa"/>
            <w:noWrap/>
            <w:vAlign w:val="center"/>
          </w:tcPr>
          <w:p w:rsidR="00B83265" w:rsidRPr="00F712CC" w:rsidRDefault="00B83265" w:rsidP="00F712CC">
            <w:pPr>
              <w:spacing w:after="0"/>
              <w:rPr>
                <w:rFonts w:ascii="Arial" w:hAnsi="Arial" w:cs="Arial"/>
              </w:rPr>
            </w:pPr>
            <w:r w:rsidRPr="00F712CC">
              <w:rPr>
                <w:rFonts w:ascii="Arial" w:hAnsi="Arial" w:cs="Arial"/>
              </w:rPr>
              <w:t>7.1%</w:t>
            </w:r>
          </w:p>
        </w:tc>
        <w:tc>
          <w:tcPr>
            <w:tcW w:w="1268" w:type="dxa"/>
            <w:noWrap/>
            <w:vAlign w:val="center"/>
          </w:tcPr>
          <w:p w:rsidR="00B83265" w:rsidRPr="00F712CC" w:rsidRDefault="00B83265" w:rsidP="00F712CC">
            <w:pPr>
              <w:spacing w:after="0"/>
              <w:rPr>
                <w:rFonts w:ascii="Arial" w:hAnsi="Arial" w:cs="Arial"/>
              </w:rPr>
            </w:pPr>
          </w:p>
        </w:tc>
        <w:tc>
          <w:tcPr>
            <w:tcW w:w="1268" w:type="dxa"/>
            <w:vAlign w:val="center"/>
          </w:tcPr>
          <w:p w:rsidR="00B83265" w:rsidRPr="00F712CC" w:rsidRDefault="00B83265" w:rsidP="00F712CC">
            <w:pPr>
              <w:spacing w:after="0"/>
              <w:rPr>
                <w:rFonts w:ascii="Arial" w:hAnsi="Arial" w:cs="Arial"/>
              </w:rPr>
            </w:pPr>
          </w:p>
        </w:tc>
      </w:tr>
      <w:tr w:rsidR="00B83265" w:rsidRPr="00F712CC" w:rsidTr="00F712CC">
        <w:trPr>
          <w:trHeight w:val="264"/>
        </w:trPr>
        <w:tc>
          <w:tcPr>
            <w:tcW w:w="2263" w:type="dxa"/>
            <w:noWrap/>
            <w:vAlign w:val="center"/>
          </w:tcPr>
          <w:p w:rsidR="00B83265" w:rsidRPr="00F712CC" w:rsidRDefault="00B83265" w:rsidP="00F712CC">
            <w:pPr>
              <w:spacing w:after="0"/>
              <w:rPr>
                <w:rFonts w:ascii="Arial" w:hAnsi="Arial" w:cs="Arial"/>
              </w:rPr>
            </w:pPr>
            <w:r w:rsidRPr="00F712CC">
              <w:rPr>
                <w:rFonts w:ascii="Arial" w:hAnsi="Arial" w:cs="Arial"/>
              </w:rPr>
              <w:t>2 years</w:t>
            </w:r>
          </w:p>
        </w:tc>
        <w:tc>
          <w:tcPr>
            <w:tcW w:w="1268" w:type="dxa"/>
            <w:noWrap/>
            <w:vAlign w:val="center"/>
          </w:tcPr>
          <w:p w:rsidR="00B83265" w:rsidRPr="00F712CC" w:rsidRDefault="00B83265" w:rsidP="00F712CC">
            <w:pPr>
              <w:spacing w:after="0"/>
              <w:rPr>
                <w:rFonts w:ascii="Arial" w:hAnsi="Arial" w:cs="Arial"/>
              </w:rPr>
            </w:pPr>
            <w:r w:rsidRPr="00F712CC">
              <w:rPr>
                <w:rFonts w:ascii="Arial" w:hAnsi="Arial" w:cs="Arial"/>
              </w:rPr>
              <w:t>9.6%</w:t>
            </w:r>
          </w:p>
        </w:tc>
        <w:tc>
          <w:tcPr>
            <w:tcW w:w="1268" w:type="dxa"/>
            <w:noWrap/>
            <w:vAlign w:val="center"/>
          </w:tcPr>
          <w:p w:rsidR="00B83265" w:rsidRPr="00F712CC" w:rsidRDefault="00B83265" w:rsidP="00F712CC">
            <w:pPr>
              <w:spacing w:after="0"/>
              <w:rPr>
                <w:rFonts w:ascii="Arial" w:hAnsi="Arial" w:cs="Arial"/>
              </w:rPr>
            </w:pPr>
            <w:r w:rsidRPr="00F712CC">
              <w:rPr>
                <w:rFonts w:ascii="Arial" w:hAnsi="Arial" w:cs="Arial"/>
              </w:rPr>
              <w:t>8.2%</w:t>
            </w:r>
          </w:p>
        </w:tc>
        <w:tc>
          <w:tcPr>
            <w:tcW w:w="1268" w:type="dxa"/>
            <w:noWrap/>
            <w:vAlign w:val="center"/>
          </w:tcPr>
          <w:p w:rsidR="00B83265" w:rsidRPr="00F712CC" w:rsidRDefault="00B83265" w:rsidP="00F712CC">
            <w:pPr>
              <w:spacing w:after="0"/>
              <w:rPr>
                <w:rFonts w:ascii="Arial" w:hAnsi="Arial" w:cs="Arial"/>
              </w:rPr>
            </w:pPr>
            <w:r w:rsidRPr="00F712CC">
              <w:rPr>
                <w:rFonts w:ascii="Arial" w:hAnsi="Arial" w:cs="Arial"/>
              </w:rPr>
              <w:t>7.7%</w:t>
            </w:r>
          </w:p>
        </w:tc>
        <w:tc>
          <w:tcPr>
            <w:tcW w:w="1268" w:type="dxa"/>
            <w:noWrap/>
            <w:vAlign w:val="center"/>
          </w:tcPr>
          <w:p w:rsidR="00B83265" w:rsidRPr="00F712CC" w:rsidRDefault="00B83265" w:rsidP="00F712CC">
            <w:pPr>
              <w:spacing w:after="0"/>
              <w:rPr>
                <w:rFonts w:ascii="Arial" w:hAnsi="Arial" w:cs="Arial"/>
              </w:rPr>
            </w:pPr>
          </w:p>
        </w:tc>
        <w:tc>
          <w:tcPr>
            <w:tcW w:w="1268" w:type="dxa"/>
            <w:noWrap/>
            <w:vAlign w:val="center"/>
          </w:tcPr>
          <w:p w:rsidR="00B83265" w:rsidRPr="00F712CC" w:rsidRDefault="00B83265" w:rsidP="00F712CC">
            <w:pPr>
              <w:spacing w:after="0"/>
              <w:rPr>
                <w:rFonts w:ascii="Arial" w:hAnsi="Arial" w:cs="Arial"/>
              </w:rPr>
            </w:pPr>
          </w:p>
        </w:tc>
        <w:tc>
          <w:tcPr>
            <w:tcW w:w="1268" w:type="dxa"/>
            <w:vAlign w:val="center"/>
          </w:tcPr>
          <w:p w:rsidR="00B83265" w:rsidRPr="00F712CC" w:rsidRDefault="00B83265" w:rsidP="00F712CC">
            <w:pPr>
              <w:spacing w:after="0"/>
              <w:rPr>
                <w:rFonts w:ascii="Arial" w:hAnsi="Arial" w:cs="Arial"/>
              </w:rPr>
            </w:pPr>
          </w:p>
        </w:tc>
      </w:tr>
      <w:tr w:rsidR="00B83265" w:rsidRPr="00F712CC" w:rsidTr="00F712CC">
        <w:trPr>
          <w:trHeight w:val="264"/>
        </w:trPr>
        <w:tc>
          <w:tcPr>
            <w:tcW w:w="2263" w:type="dxa"/>
            <w:noWrap/>
            <w:vAlign w:val="center"/>
          </w:tcPr>
          <w:p w:rsidR="00B83265" w:rsidRPr="00F712CC" w:rsidRDefault="00B83265" w:rsidP="00F712CC">
            <w:pPr>
              <w:spacing w:after="0"/>
              <w:rPr>
                <w:rFonts w:ascii="Arial" w:hAnsi="Arial" w:cs="Arial"/>
              </w:rPr>
            </w:pPr>
            <w:r w:rsidRPr="00F712CC">
              <w:rPr>
                <w:rFonts w:ascii="Arial" w:hAnsi="Arial" w:cs="Arial"/>
              </w:rPr>
              <w:t>1 year</w:t>
            </w:r>
          </w:p>
        </w:tc>
        <w:tc>
          <w:tcPr>
            <w:tcW w:w="1268" w:type="dxa"/>
            <w:noWrap/>
            <w:vAlign w:val="center"/>
          </w:tcPr>
          <w:p w:rsidR="00B83265" w:rsidRPr="00F712CC" w:rsidRDefault="00B83265" w:rsidP="00F712CC">
            <w:pPr>
              <w:spacing w:after="0"/>
              <w:rPr>
                <w:rFonts w:ascii="Arial" w:hAnsi="Arial" w:cs="Arial"/>
              </w:rPr>
            </w:pPr>
            <w:r w:rsidRPr="00F712CC">
              <w:rPr>
                <w:rFonts w:ascii="Arial" w:hAnsi="Arial" w:cs="Arial"/>
              </w:rPr>
              <w:t>9.7%</w:t>
            </w:r>
          </w:p>
        </w:tc>
        <w:tc>
          <w:tcPr>
            <w:tcW w:w="1268" w:type="dxa"/>
            <w:noWrap/>
            <w:vAlign w:val="center"/>
          </w:tcPr>
          <w:p w:rsidR="00B83265" w:rsidRPr="00F712CC" w:rsidRDefault="00B83265" w:rsidP="00F712CC">
            <w:pPr>
              <w:spacing w:after="0"/>
              <w:rPr>
                <w:rFonts w:ascii="Arial" w:hAnsi="Arial" w:cs="Arial"/>
              </w:rPr>
            </w:pPr>
            <w:r w:rsidRPr="00F712CC">
              <w:rPr>
                <w:rFonts w:ascii="Arial" w:hAnsi="Arial" w:cs="Arial"/>
              </w:rPr>
              <w:t>8.4%</w:t>
            </w:r>
          </w:p>
        </w:tc>
        <w:tc>
          <w:tcPr>
            <w:tcW w:w="1268" w:type="dxa"/>
            <w:noWrap/>
            <w:vAlign w:val="center"/>
          </w:tcPr>
          <w:p w:rsidR="00B83265" w:rsidRPr="00F712CC" w:rsidRDefault="00B83265" w:rsidP="00F712CC">
            <w:pPr>
              <w:spacing w:after="0"/>
              <w:rPr>
                <w:rFonts w:ascii="Arial" w:hAnsi="Arial" w:cs="Arial"/>
              </w:rPr>
            </w:pPr>
          </w:p>
        </w:tc>
        <w:tc>
          <w:tcPr>
            <w:tcW w:w="1268" w:type="dxa"/>
            <w:noWrap/>
            <w:vAlign w:val="center"/>
          </w:tcPr>
          <w:p w:rsidR="00B83265" w:rsidRPr="00F712CC" w:rsidRDefault="00B83265" w:rsidP="00F712CC">
            <w:pPr>
              <w:spacing w:after="0"/>
              <w:rPr>
                <w:rFonts w:ascii="Arial" w:hAnsi="Arial" w:cs="Arial"/>
              </w:rPr>
            </w:pPr>
          </w:p>
        </w:tc>
        <w:tc>
          <w:tcPr>
            <w:tcW w:w="1268" w:type="dxa"/>
            <w:noWrap/>
            <w:vAlign w:val="center"/>
          </w:tcPr>
          <w:p w:rsidR="00B83265" w:rsidRPr="00F712CC" w:rsidRDefault="00B83265" w:rsidP="00F712CC">
            <w:pPr>
              <w:spacing w:after="0"/>
              <w:rPr>
                <w:rFonts w:ascii="Arial" w:hAnsi="Arial" w:cs="Arial"/>
              </w:rPr>
            </w:pPr>
          </w:p>
        </w:tc>
        <w:tc>
          <w:tcPr>
            <w:tcW w:w="1268" w:type="dxa"/>
            <w:vAlign w:val="center"/>
          </w:tcPr>
          <w:p w:rsidR="00B83265" w:rsidRPr="00F712CC" w:rsidRDefault="00B83265" w:rsidP="00F712CC">
            <w:pPr>
              <w:spacing w:after="0"/>
              <w:rPr>
                <w:rFonts w:ascii="Arial" w:hAnsi="Arial" w:cs="Arial"/>
              </w:rPr>
            </w:pPr>
          </w:p>
        </w:tc>
      </w:tr>
    </w:tbl>
    <w:p w:rsidR="00B83265" w:rsidRDefault="00B83265" w:rsidP="00B83265">
      <w:pPr>
        <w:spacing w:after="240"/>
        <w:rPr>
          <w:rFonts w:cstheme="minorHAnsi"/>
        </w:rPr>
      </w:pPr>
    </w:p>
    <w:p w:rsidR="00B83265" w:rsidRDefault="00B83265" w:rsidP="00B83265">
      <w:pPr>
        <w:spacing w:after="240"/>
        <w:rPr>
          <w:rFonts w:cstheme="minorHAnsi"/>
        </w:rPr>
      </w:pPr>
      <w:r>
        <w:rPr>
          <w:rFonts w:cstheme="minorHAnsi"/>
        </w:rPr>
        <w:t>% who make more decisions in their life than they did 2 years ago</w:t>
      </w:r>
      <w:r w:rsidR="00F27590">
        <w:rPr>
          <w:rFonts w:cstheme="minorHAnsi"/>
        </w:rPr>
        <w:t xml:space="preserve"> (improved)</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68"/>
        <w:gridCol w:w="1268"/>
        <w:gridCol w:w="1268"/>
        <w:gridCol w:w="1268"/>
        <w:gridCol w:w="1268"/>
        <w:gridCol w:w="1268"/>
      </w:tblGrid>
      <w:tr w:rsidR="00B83265" w:rsidRPr="00F712CC" w:rsidTr="00F712CC">
        <w:trPr>
          <w:trHeight w:val="264"/>
        </w:trPr>
        <w:tc>
          <w:tcPr>
            <w:tcW w:w="2263" w:type="dxa"/>
            <w:noWrap/>
            <w:vAlign w:val="center"/>
            <w:hideMark/>
          </w:tcPr>
          <w:p w:rsidR="00B83265" w:rsidRPr="00F712CC" w:rsidRDefault="00B83265" w:rsidP="00F712CC">
            <w:pPr>
              <w:spacing w:after="0"/>
              <w:rPr>
                <w:rFonts w:ascii="Arial" w:eastAsia="Times New Roman" w:hAnsi="Arial" w:cs="Arial"/>
                <w:b/>
                <w:bCs/>
                <w:color w:val="000000"/>
                <w:lang w:eastAsia="zh-CN"/>
              </w:rPr>
            </w:pPr>
            <w:r w:rsidRPr="00F712CC">
              <w:rPr>
                <w:rFonts w:ascii="Arial" w:eastAsia="Times New Roman" w:hAnsi="Arial" w:cs="Arial"/>
                <w:b/>
                <w:bCs/>
                <w:color w:val="000000"/>
                <w:lang w:eastAsia="zh-CN"/>
              </w:rPr>
              <w:t>Cohort</w:t>
            </w:r>
          </w:p>
        </w:tc>
        <w:tc>
          <w:tcPr>
            <w:tcW w:w="1268" w:type="dxa"/>
            <w:noWrap/>
            <w:vAlign w:val="center"/>
            <w:hideMark/>
          </w:tcPr>
          <w:p w:rsidR="00B83265" w:rsidRPr="00F712CC" w:rsidRDefault="00B83265" w:rsidP="00F712CC">
            <w:pPr>
              <w:spacing w:after="0"/>
              <w:rPr>
                <w:rFonts w:ascii="Arial" w:eastAsia="Times New Roman" w:hAnsi="Arial" w:cs="Arial"/>
                <w:b/>
                <w:bCs/>
                <w:color w:val="000000"/>
                <w:lang w:eastAsia="zh-CN"/>
              </w:rPr>
            </w:pPr>
            <w:r w:rsidRPr="00F712CC">
              <w:rPr>
                <w:rFonts w:ascii="Arial" w:eastAsia="Times New Roman" w:hAnsi="Arial" w:cs="Arial"/>
                <w:b/>
                <w:bCs/>
                <w:color w:val="000000"/>
                <w:lang w:eastAsia="zh-CN"/>
              </w:rPr>
              <w:t>Baseline</w:t>
            </w:r>
          </w:p>
        </w:tc>
        <w:tc>
          <w:tcPr>
            <w:tcW w:w="1268" w:type="dxa"/>
            <w:noWrap/>
            <w:vAlign w:val="center"/>
            <w:hideMark/>
          </w:tcPr>
          <w:p w:rsidR="00B83265" w:rsidRPr="00F712CC" w:rsidRDefault="00B83265" w:rsidP="00F712CC">
            <w:pPr>
              <w:spacing w:after="0"/>
              <w:rPr>
                <w:rFonts w:ascii="Arial" w:eastAsia="Times New Roman" w:hAnsi="Arial" w:cs="Arial"/>
                <w:b/>
                <w:bCs/>
                <w:color w:val="000000"/>
                <w:lang w:eastAsia="zh-CN"/>
              </w:rPr>
            </w:pPr>
            <w:r w:rsidRPr="00F712CC">
              <w:rPr>
                <w:rFonts w:ascii="Arial" w:eastAsia="Times New Roman" w:hAnsi="Arial" w:cs="Arial"/>
                <w:b/>
                <w:bCs/>
                <w:color w:val="000000"/>
                <w:lang w:eastAsia="zh-CN"/>
              </w:rPr>
              <w:t>Review 1</w:t>
            </w:r>
          </w:p>
        </w:tc>
        <w:tc>
          <w:tcPr>
            <w:tcW w:w="1268" w:type="dxa"/>
            <w:noWrap/>
            <w:vAlign w:val="center"/>
            <w:hideMark/>
          </w:tcPr>
          <w:p w:rsidR="00B83265" w:rsidRPr="00F712CC" w:rsidRDefault="00B83265" w:rsidP="00F712CC">
            <w:pPr>
              <w:spacing w:after="0"/>
              <w:rPr>
                <w:rFonts w:ascii="Arial" w:eastAsia="Times New Roman" w:hAnsi="Arial" w:cs="Arial"/>
                <w:b/>
                <w:bCs/>
                <w:color w:val="000000"/>
                <w:lang w:eastAsia="zh-CN"/>
              </w:rPr>
            </w:pPr>
            <w:r w:rsidRPr="00F712CC">
              <w:rPr>
                <w:rFonts w:ascii="Arial" w:eastAsia="Times New Roman" w:hAnsi="Arial" w:cs="Arial"/>
                <w:b/>
                <w:bCs/>
                <w:color w:val="000000"/>
                <w:lang w:eastAsia="zh-CN"/>
              </w:rPr>
              <w:t>Review 2</w:t>
            </w:r>
          </w:p>
        </w:tc>
        <w:tc>
          <w:tcPr>
            <w:tcW w:w="1268" w:type="dxa"/>
            <w:noWrap/>
            <w:vAlign w:val="center"/>
            <w:hideMark/>
          </w:tcPr>
          <w:p w:rsidR="00B83265" w:rsidRPr="00F712CC" w:rsidRDefault="00B83265" w:rsidP="00F712CC">
            <w:pPr>
              <w:spacing w:after="0"/>
              <w:rPr>
                <w:rFonts w:ascii="Arial" w:eastAsia="Times New Roman" w:hAnsi="Arial" w:cs="Arial"/>
                <w:b/>
                <w:bCs/>
                <w:color w:val="000000"/>
                <w:lang w:eastAsia="zh-CN"/>
              </w:rPr>
            </w:pPr>
            <w:r w:rsidRPr="00F712CC">
              <w:rPr>
                <w:rFonts w:ascii="Arial" w:eastAsia="Times New Roman" w:hAnsi="Arial" w:cs="Arial"/>
                <w:b/>
                <w:bCs/>
                <w:color w:val="000000"/>
                <w:lang w:eastAsia="zh-CN"/>
              </w:rPr>
              <w:t>Review 3</w:t>
            </w:r>
          </w:p>
        </w:tc>
        <w:tc>
          <w:tcPr>
            <w:tcW w:w="1268" w:type="dxa"/>
            <w:noWrap/>
            <w:vAlign w:val="center"/>
            <w:hideMark/>
          </w:tcPr>
          <w:p w:rsidR="00B83265" w:rsidRPr="00F712CC" w:rsidRDefault="00B83265" w:rsidP="00F712CC">
            <w:pPr>
              <w:spacing w:after="0"/>
              <w:rPr>
                <w:rFonts w:ascii="Arial" w:eastAsia="Times New Roman" w:hAnsi="Arial" w:cs="Arial"/>
                <w:b/>
                <w:bCs/>
                <w:color w:val="000000"/>
                <w:lang w:eastAsia="zh-CN"/>
              </w:rPr>
            </w:pPr>
            <w:r w:rsidRPr="00F712CC">
              <w:rPr>
                <w:rFonts w:ascii="Arial" w:eastAsia="Times New Roman" w:hAnsi="Arial" w:cs="Arial"/>
                <w:b/>
                <w:bCs/>
                <w:color w:val="000000"/>
                <w:lang w:eastAsia="zh-CN"/>
              </w:rPr>
              <w:t>Review 4</w:t>
            </w:r>
          </w:p>
        </w:tc>
        <w:tc>
          <w:tcPr>
            <w:tcW w:w="1268" w:type="dxa"/>
            <w:vAlign w:val="center"/>
          </w:tcPr>
          <w:p w:rsidR="00B83265" w:rsidRPr="00F712CC" w:rsidRDefault="00B83265" w:rsidP="00F712CC">
            <w:pPr>
              <w:spacing w:after="0"/>
              <w:rPr>
                <w:rFonts w:ascii="Arial" w:eastAsia="Times New Roman" w:hAnsi="Arial" w:cs="Arial"/>
                <w:b/>
                <w:bCs/>
                <w:color w:val="000000"/>
                <w:lang w:eastAsia="zh-CN"/>
              </w:rPr>
            </w:pPr>
            <w:r w:rsidRPr="00F712CC">
              <w:rPr>
                <w:rFonts w:ascii="Arial" w:eastAsia="Times New Roman" w:hAnsi="Arial" w:cs="Arial"/>
                <w:b/>
                <w:bCs/>
                <w:color w:val="000000"/>
                <w:lang w:eastAsia="zh-CN"/>
              </w:rPr>
              <w:t>Review 5</w:t>
            </w:r>
          </w:p>
        </w:tc>
      </w:tr>
      <w:tr w:rsidR="00B83265" w:rsidRPr="00F712CC" w:rsidTr="00F712CC">
        <w:trPr>
          <w:trHeight w:val="264"/>
        </w:trPr>
        <w:tc>
          <w:tcPr>
            <w:tcW w:w="2263" w:type="dxa"/>
            <w:noWrap/>
            <w:vAlign w:val="center"/>
          </w:tcPr>
          <w:p w:rsidR="00B83265" w:rsidRPr="00F712CC" w:rsidRDefault="00B83265" w:rsidP="00F712CC">
            <w:pPr>
              <w:spacing w:after="0"/>
              <w:rPr>
                <w:rFonts w:ascii="Arial" w:hAnsi="Arial" w:cs="Arial"/>
                <w:color w:val="000000"/>
              </w:rPr>
            </w:pPr>
            <w:r w:rsidRPr="00F712CC">
              <w:rPr>
                <w:rFonts w:ascii="Arial" w:hAnsi="Arial" w:cs="Arial"/>
              </w:rPr>
              <w:t>5 year</w:t>
            </w:r>
          </w:p>
        </w:tc>
        <w:tc>
          <w:tcPr>
            <w:tcW w:w="1268" w:type="dxa"/>
            <w:noWrap/>
            <w:vAlign w:val="center"/>
          </w:tcPr>
          <w:p w:rsidR="00B83265" w:rsidRPr="00F712CC" w:rsidRDefault="00B83265" w:rsidP="00F712CC">
            <w:pPr>
              <w:spacing w:after="0"/>
              <w:rPr>
                <w:rFonts w:ascii="Arial" w:hAnsi="Arial" w:cs="Arial"/>
              </w:rPr>
            </w:pPr>
            <w:r w:rsidRPr="00F712CC">
              <w:rPr>
                <w:rFonts w:ascii="Arial" w:hAnsi="Arial" w:cs="Arial"/>
              </w:rPr>
              <w:t>60.0%</w:t>
            </w:r>
          </w:p>
        </w:tc>
        <w:tc>
          <w:tcPr>
            <w:tcW w:w="1268" w:type="dxa"/>
            <w:noWrap/>
            <w:vAlign w:val="center"/>
          </w:tcPr>
          <w:p w:rsidR="00B83265" w:rsidRPr="00F712CC" w:rsidRDefault="00B83265" w:rsidP="00F712CC">
            <w:pPr>
              <w:spacing w:after="0"/>
              <w:rPr>
                <w:rFonts w:ascii="Arial" w:hAnsi="Arial" w:cs="Arial"/>
              </w:rPr>
            </w:pPr>
            <w:r w:rsidRPr="00F712CC">
              <w:rPr>
                <w:rFonts w:ascii="Arial" w:hAnsi="Arial" w:cs="Arial"/>
              </w:rPr>
              <w:t>65.5%</w:t>
            </w:r>
          </w:p>
        </w:tc>
        <w:tc>
          <w:tcPr>
            <w:tcW w:w="1268" w:type="dxa"/>
            <w:noWrap/>
            <w:vAlign w:val="center"/>
          </w:tcPr>
          <w:p w:rsidR="00B83265" w:rsidRPr="00F712CC" w:rsidRDefault="00B83265" w:rsidP="00F712CC">
            <w:pPr>
              <w:spacing w:after="0"/>
              <w:rPr>
                <w:rFonts w:ascii="Arial" w:hAnsi="Arial" w:cs="Arial"/>
              </w:rPr>
            </w:pPr>
            <w:r w:rsidRPr="00F712CC">
              <w:rPr>
                <w:rFonts w:ascii="Arial" w:hAnsi="Arial" w:cs="Arial"/>
              </w:rPr>
              <w:t>68.0%</w:t>
            </w:r>
          </w:p>
        </w:tc>
        <w:tc>
          <w:tcPr>
            <w:tcW w:w="1268" w:type="dxa"/>
            <w:noWrap/>
            <w:vAlign w:val="center"/>
          </w:tcPr>
          <w:p w:rsidR="00B83265" w:rsidRPr="00F712CC" w:rsidRDefault="00B83265" w:rsidP="00F712CC">
            <w:pPr>
              <w:spacing w:after="0"/>
              <w:rPr>
                <w:rFonts w:ascii="Arial" w:hAnsi="Arial" w:cs="Arial"/>
              </w:rPr>
            </w:pPr>
            <w:r w:rsidRPr="00F712CC">
              <w:rPr>
                <w:rFonts w:ascii="Arial" w:hAnsi="Arial" w:cs="Arial"/>
              </w:rPr>
              <w:t>69.2%</w:t>
            </w:r>
          </w:p>
        </w:tc>
        <w:tc>
          <w:tcPr>
            <w:tcW w:w="1268" w:type="dxa"/>
            <w:noWrap/>
            <w:vAlign w:val="center"/>
          </w:tcPr>
          <w:p w:rsidR="00B83265" w:rsidRPr="00F712CC" w:rsidRDefault="00B83265" w:rsidP="00F712CC">
            <w:pPr>
              <w:spacing w:after="0"/>
              <w:rPr>
                <w:rFonts w:ascii="Arial" w:hAnsi="Arial" w:cs="Arial"/>
              </w:rPr>
            </w:pPr>
            <w:r w:rsidRPr="00F712CC">
              <w:rPr>
                <w:rFonts w:ascii="Arial" w:hAnsi="Arial" w:cs="Arial"/>
              </w:rPr>
              <w:t>71.6%</w:t>
            </w:r>
          </w:p>
        </w:tc>
        <w:tc>
          <w:tcPr>
            <w:tcW w:w="1268" w:type="dxa"/>
            <w:vAlign w:val="center"/>
          </w:tcPr>
          <w:p w:rsidR="00B83265" w:rsidRPr="00F712CC" w:rsidRDefault="00B83265" w:rsidP="00F712CC">
            <w:pPr>
              <w:spacing w:after="0"/>
              <w:rPr>
                <w:rFonts w:ascii="Arial" w:hAnsi="Arial" w:cs="Arial"/>
              </w:rPr>
            </w:pPr>
            <w:r w:rsidRPr="00F712CC">
              <w:rPr>
                <w:rFonts w:ascii="Arial" w:hAnsi="Arial" w:cs="Arial"/>
              </w:rPr>
              <w:t>69.2%</w:t>
            </w:r>
          </w:p>
        </w:tc>
      </w:tr>
      <w:tr w:rsidR="00B83265" w:rsidRPr="00F712CC" w:rsidTr="00F712CC">
        <w:trPr>
          <w:trHeight w:val="264"/>
        </w:trPr>
        <w:tc>
          <w:tcPr>
            <w:tcW w:w="2263" w:type="dxa"/>
            <w:noWrap/>
            <w:vAlign w:val="center"/>
          </w:tcPr>
          <w:p w:rsidR="00B83265" w:rsidRPr="00F712CC" w:rsidRDefault="00B83265" w:rsidP="00F712CC">
            <w:pPr>
              <w:spacing w:after="0"/>
              <w:rPr>
                <w:rFonts w:ascii="Arial" w:hAnsi="Arial" w:cs="Arial"/>
              </w:rPr>
            </w:pPr>
            <w:r w:rsidRPr="00F712CC">
              <w:rPr>
                <w:rFonts w:ascii="Arial" w:hAnsi="Arial" w:cs="Arial"/>
              </w:rPr>
              <w:t>4 year</w:t>
            </w:r>
          </w:p>
        </w:tc>
        <w:tc>
          <w:tcPr>
            <w:tcW w:w="1268" w:type="dxa"/>
            <w:noWrap/>
            <w:vAlign w:val="center"/>
          </w:tcPr>
          <w:p w:rsidR="00B83265" w:rsidRPr="00F712CC" w:rsidRDefault="00B83265" w:rsidP="00F712CC">
            <w:pPr>
              <w:spacing w:after="0"/>
              <w:rPr>
                <w:rFonts w:ascii="Arial" w:hAnsi="Arial" w:cs="Arial"/>
              </w:rPr>
            </w:pPr>
            <w:r w:rsidRPr="00F712CC">
              <w:rPr>
                <w:rFonts w:ascii="Arial" w:hAnsi="Arial" w:cs="Arial"/>
              </w:rPr>
              <w:t>57.5%</w:t>
            </w:r>
          </w:p>
        </w:tc>
        <w:tc>
          <w:tcPr>
            <w:tcW w:w="1268" w:type="dxa"/>
            <w:noWrap/>
            <w:vAlign w:val="center"/>
          </w:tcPr>
          <w:p w:rsidR="00B83265" w:rsidRPr="00F712CC" w:rsidRDefault="00B83265" w:rsidP="00F712CC">
            <w:pPr>
              <w:spacing w:after="0"/>
              <w:rPr>
                <w:rFonts w:ascii="Arial" w:hAnsi="Arial" w:cs="Arial"/>
              </w:rPr>
            </w:pPr>
            <w:r w:rsidRPr="00F712CC">
              <w:rPr>
                <w:rFonts w:ascii="Arial" w:hAnsi="Arial" w:cs="Arial"/>
              </w:rPr>
              <w:t>61.6%</w:t>
            </w:r>
          </w:p>
        </w:tc>
        <w:tc>
          <w:tcPr>
            <w:tcW w:w="1268" w:type="dxa"/>
            <w:noWrap/>
            <w:vAlign w:val="center"/>
          </w:tcPr>
          <w:p w:rsidR="00B83265" w:rsidRPr="00F712CC" w:rsidRDefault="00B83265" w:rsidP="00F712CC">
            <w:pPr>
              <w:spacing w:after="0"/>
              <w:rPr>
                <w:rFonts w:ascii="Arial" w:hAnsi="Arial" w:cs="Arial"/>
              </w:rPr>
            </w:pPr>
            <w:r w:rsidRPr="00F712CC">
              <w:rPr>
                <w:rFonts w:ascii="Arial" w:hAnsi="Arial" w:cs="Arial"/>
              </w:rPr>
              <w:t>65.1%</w:t>
            </w:r>
          </w:p>
        </w:tc>
        <w:tc>
          <w:tcPr>
            <w:tcW w:w="1268" w:type="dxa"/>
            <w:noWrap/>
            <w:vAlign w:val="center"/>
          </w:tcPr>
          <w:p w:rsidR="00B83265" w:rsidRPr="00F712CC" w:rsidRDefault="00B83265" w:rsidP="00F712CC">
            <w:pPr>
              <w:spacing w:after="0"/>
              <w:rPr>
                <w:rFonts w:ascii="Arial" w:hAnsi="Arial" w:cs="Arial"/>
              </w:rPr>
            </w:pPr>
            <w:r w:rsidRPr="00F712CC">
              <w:rPr>
                <w:rFonts w:ascii="Arial" w:hAnsi="Arial" w:cs="Arial"/>
              </w:rPr>
              <w:t>66.1%</w:t>
            </w:r>
          </w:p>
        </w:tc>
        <w:tc>
          <w:tcPr>
            <w:tcW w:w="1268" w:type="dxa"/>
            <w:noWrap/>
            <w:vAlign w:val="center"/>
          </w:tcPr>
          <w:p w:rsidR="00B83265" w:rsidRPr="00F712CC" w:rsidRDefault="00B83265" w:rsidP="00F712CC">
            <w:pPr>
              <w:spacing w:after="0"/>
              <w:rPr>
                <w:rFonts w:ascii="Arial" w:hAnsi="Arial" w:cs="Arial"/>
              </w:rPr>
            </w:pPr>
            <w:r w:rsidRPr="00F712CC">
              <w:rPr>
                <w:rFonts w:ascii="Arial" w:hAnsi="Arial" w:cs="Arial"/>
              </w:rPr>
              <w:t>66.6%</w:t>
            </w:r>
          </w:p>
        </w:tc>
        <w:tc>
          <w:tcPr>
            <w:tcW w:w="1268" w:type="dxa"/>
            <w:vAlign w:val="center"/>
          </w:tcPr>
          <w:p w:rsidR="00B83265" w:rsidRPr="00F712CC" w:rsidRDefault="00B83265" w:rsidP="00F712CC">
            <w:pPr>
              <w:spacing w:after="0"/>
              <w:rPr>
                <w:rFonts w:ascii="Arial" w:hAnsi="Arial" w:cs="Arial"/>
              </w:rPr>
            </w:pPr>
          </w:p>
        </w:tc>
      </w:tr>
      <w:tr w:rsidR="00B83265" w:rsidRPr="00F712CC" w:rsidTr="00F712CC">
        <w:trPr>
          <w:trHeight w:val="264"/>
        </w:trPr>
        <w:tc>
          <w:tcPr>
            <w:tcW w:w="2263" w:type="dxa"/>
            <w:noWrap/>
            <w:vAlign w:val="center"/>
          </w:tcPr>
          <w:p w:rsidR="00B83265" w:rsidRPr="00F712CC" w:rsidRDefault="00B83265" w:rsidP="00F712CC">
            <w:pPr>
              <w:spacing w:after="0"/>
              <w:rPr>
                <w:rFonts w:ascii="Arial" w:hAnsi="Arial" w:cs="Arial"/>
              </w:rPr>
            </w:pPr>
            <w:r w:rsidRPr="00F712CC">
              <w:rPr>
                <w:rFonts w:ascii="Arial" w:hAnsi="Arial" w:cs="Arial"/>
              </w:rPr>
              <w:t>3 years</w:t>
            </w:r>
          </w:p>
        </w:tc>
        <w:tc>
          <w:tcPr>
            <w:tcW w:w="1268" w:type="dxa"/>
            <w:noWrap/>
            <w:vAlign w:val="center"/>
          </w:tcPr>
          <w:p w:rsidR="00B83265" w:rsidRPr="00F712CC" w:rsidRDefault="00B83265" w:rsidP="00F712CC">
            <w:pPr>
              <w:spacing w:after="0"/>
              <w:rPr>
                <w:rFonts w:ascii="Arial" w:hAnsi="Arial" w:cs="Arial"/>
              </w:rPr>
            </w:pPr>
            <w:r w:rsidRPr="00F712CC">
              <w:rPr>
                <w:rFonts w:ascii="Arial" w:hAnsi="Arial" w:cs="Arial"/>
              </w:rPr>
              <w:t>55.2%</w:t>
            </w:r>
          </w:p>
        </w:tc>
        <w:tc>
          <w:tcPr>
            <w:tcW w:w="1268" w:type="dxa"/>
            <w:noWrap/>
            <w:vAlign w:val="center"/>
          </w:tcPr>
          <w:p w:rsidR="00B83265" w:rsidRPr="00F712CC" w:rsidRDefault="00B83265" w:rsidP="00F712CC">
            <w:pPr>
              <w:spacing w:after="0"/>
              <w:rPr>
                <w:rFonts w:ascii="Arial" w:hAnsi="Arial" w:cs="Arial"/>
              </w:rPr>
            </w:pPr>
            <w:r w:rsidRPr="00F712CC">
              <w:rPr>
                <w:rFonts w:ascii="Arial" w:hAnsi="Arial" w:cs="Arial"/>
              </w:rPr>
              <w:t>59.9%</w:t>
            </w:r>
          </w:p>
        </w:tc>
        <w:tc>
          <w:tcPr>
            <w:tcW w:w="1268" w:type="dxa"/>
            <w:noWrap/>
            <w:vAlign w:val="center"/>
          </w:tcPr>
          <w:p w:rsidR="00B83265" w:rsidRPr="00F712CC" w:rsidRDefault="00B83265" w:rsidP="00F712CC">
            <w:pPr>
              <w:spacing w:after="0"/>
              <w:rPr>
                <w:rFonts w:ascii="Arial" w:hAnsi="Arial" w:cs="Arial"/>
              </w:rPr>
            </w:pPr>
            <w:r w:rsidRPr="00F712CC">
              <w:rPr>
                <w:rFonts w:ascii="Arial" w:hAnsi="Arial" w:cs="Arial"/>
              </w:rPr>
              <w:t>62.1%</w:t>
            </w:r>
          </w:p>
        </w:tc>
        <w:tc>
          <w:tcPr>
            <w:tcW w:w="1268" w:type="dxa"/>
            <w:noWrap/>
            <w:vAlign w:val="center"/>
          </w:tcPr>
          <w:p w:rsidR="00B83265" w:rsidRPr="00F712CC" w:rsidRDefault="00B83265" w:rsidP="00F712CC">
            <w:pPr>
              <w:spacing w:after="0"/>
              <w:rPr>
                <w:rFonts w:ascii="Arial" w:hAnsi="Arial" w:cs="Arial"/>
              </w:rPr>
            </w:pPr>
            <w:r w:rsidRPr="00F712CC">
              <w:rPr>
                <w:rFonts w:ascii="Arial" w:hAnsi="Arial" w:cs="Arial"/>
              </w:rPr>
              <w:t>64.8%</w:t>
            </w:r>
          </w:p>
        </w:tc>
        <w:tc>
          <w:tcPr>
            <w:tcW w:w="1268" w:type="dxa"/>
            <w:noWrap/>
            <w:vAlign w:val="center"/>
          </w:tcPr>
          <w:p w:rsidR="00B83265" w:rsidRPr="00F712CC" w:rsidRDefault="00B83265" w:rsidP="00F712CC">
            <w:pPr>
              <w:spacing w:after="0"/>
              <w:rPr>
                <w:rFonts w:ascii="Arial" w:hAnsi="Arial" w:cs="Arial"/>
              </w:rPr>
            </w:pPr>
          </w:p>
        </w:tc>
        <w:tc>
          <w:tcPr>
            <w:tcW w:w="1268" w:type="dxa"/>
            <w:vAlign w:val="center"/>
          </w:tcPr>
          <w:p w:rsidR="00B83265" w:rsidRPr="00F712CC" w:rsidRDefault="00B83265" w:rsidP="00F712CC">
            <w:pPr>
              <w:spacing w:after="0"/>
              <w:rPr>
                <w:rFonts w:ascii="Arial" w:hAnsi="Arial" w:cs="Arial"/>
              </w:rPr>
            </w:pPr>
          </w:p>
        </w:tc>
      </w:tr>
      <w:tr w:rsidR="00B83265" w:rsidRPr="00F712CC" w:rsidTr="00F712CC">
        <w:trPr>
          <w:trHeight w:val="264"/>
        </w:trPr>
        <w:tc>
          <w:tcPr>
            <w:tcW w:w="2263" w:type="dxa"/>
            <w:noWrap/>
            <w:vAlign w:val="center"/>
          </w:tcPr>
          <w:p w:rsidR="00B83265" w:rsidRPr="00F712CC" w:rsidRDefault="00B83265" w:rsidP="00F712CC">
            <w:pPr>
              <w:spacing w:after="0"/>
              <w:rPr>
                <w:rFonts w:ascii="Arial" w:hAnsi="Arial" w:cs="Arial"/>
              </w:rPr>
            </w:pPr>
            <w:r w:rsidRPr="00F712CC">
              <w:rPr>
                <w:rFonts w:ascii="Arial" w:hAnsi="Arial" w:cs="Arial"/>
              </w:rPr>
              <w:t>2 years</w:t>
            </w:r>
          </w:p>
        </w:tc>
        <w:tc>
          <w:tcPr>
            <w:tcW w:w="1268" w:type="dxa"/>
            <w:noWrap/>
            <w:vAlign w:val="center"/>
          </w:tcPr>
          <w:p w:rsidR="00B83265" w:rsidRPr="00F712CC" w:rsidRDefault="00B83265" w:rsidP="00F712CC">
            <w:pPr>
              <w:spacing w:after="0"/>
              <w:rPr>
                <w:rFonts w:ascii="Arial" w:hAnsi="Arial" w:cs="Arial"/>
              </w:rPr>
            </w:pPr>
            <w:r w:rsidRPr="00F712CC">
              <w:rPr>
                <w:rFonts w:ascii="Arial" w:hAnsi="Arial" w:cs="Arial"/>
              </w:rPr>
              <w:t>55.7%</w:t>
            </w:r>
          </w:p>
        </w:tc>
        <w:tc>
          <w:tcPr>
            <w:tcW w:w="1268" w:type="dxa"/>
            <w:noWrap/>
            <w:vAlign w:val="center"/>
          </w:tcPr>
          <w:p w:rsidR="00B83265" w:rsidRPr="00F712CC" w:rsidRDefault="00B83265" w:rsidP="00F712CC">
            <w:pPr>
              <w:spacing w:after="0"/>
              <w:rPr>
                <w:rFonts w:ascii="Arial" w:hAnsi="Arial" w:cs="Arial"/>
              </w:rPr>
            </w:pPr>
            <w:r w:rsidRPr="00F712CC">
              <w:rPr>
                <w:rFonts w:ascii="Arial" w:hAnsi="Arial" w:cs="Arial"/>
              </w:rPr>
              <w:t>59.8%</w:t>
            </w:r>
          </w:p>
        </w:tc>
        <w:tc>
          <w:tcPr>
            <w:tcW w:w="1268" w:type="dxa"/>
            <w:noWrap/>
            <w:vAlign w:val="center"/>
          </w:tcPr>
          <w:p w:rsidR="00B83265" w:rsidRPr="00F712CC" w:rsidRDefault="00B83265" w:rsidP="00F712CC">
            <w:pPr>
              <w:spacing w:after="0"/>
              <w:rPr>
                <w:rFonts w:ascii="Arial" w:hAnsi="Arial" w:cs="Arial"/>
              </w:rPr>
            </w:pPr>
            <w:r w:rsidRPr="00F712CC">
              <w:rPr>
                <w:rFonts w:ascii="Arial" w:hAnsi="Arial" w:cs="Arial"/>
              </w:rPr>
              <w:t>62.8%</w:t>
            </w:r>
          </w:p>
        </w:tc>
        <w:tc>
          <w:tcPr>
            <w:tcW w:w="1268" w:type="dxa"/>
            <w:noWrap/>
            <w:vAlign w:val="center"/>
          </w:tcPr>
          <w:p w:rsidR="00B83265" w:rsidRPr="00F712CC" w:rsidRDefault="00B83265" w:rsidP="00F712CC">
            <w:pPr>
              <w:spacing w:after="0"/>
              <w:rPr>
                <w:rFonts w:ascii="Arial" w:hAnsi="Arial" w:cs="Arial"/>
              </w:rPr>
            </w:pPr>
          </w:p>
        </w:tc>
        <w:tc>
          <w:tcPr>
            <w:tcW w:w="1268" w:type="dxa"/>
            <w:noWrap/>
            <w:vAlign w:val="center"/>
          </w:tcPr>
          <w:p w:rsidR="00B83265" w:rsidRPr="00F712CC" w:rsidRDefault="00B83265" w:rsidP="00F712CC">
            <w:pPr>
              <w:spacing w:after="0"/>
              <w:rPr>
                <w:rFonts w:ascii="Arial" w:hAnsi="Arial" w:cs="Arial"/>
              </w:rPr>
            </w:pPr>
          </w:p>
        </w:tc>
        <w:tc>
          <w:tcPr>
            <w:tcW w:w="1268" w:type="dxa"/>
            <w:vAlign w:val="center"/>
          </w:tcPr>
          <w:p w:rsidR="00B83265" w:rsidRPr="00F712CC" w:rsidRDefault="00B83265" w:rsidP="00F712CC">
            <w:pPr>
              <w:spacing w:after="0"/>
              <w:rPr>
                <w:rFonts w:ascii="Arial" w:hAnsi="Arial" w:cs="Arial"/>
              </w:rPr>
            </w:pPr>
          </w:p>
        </w:tc>
      </w:tr>
      <w:tr w:rsidR="00B83265" w:rsidRPr="00F712CC" w:rsidTr="00F712CC">
        <w:trPr>
          <w:trHeight w:val="264"/>
        </w:trPr>
        <w:tc>
          <w:tcPr>
            <w:tcW w:w="2263" w:type="dxa"/>
            <w:noWrap/>
            <w:vAlign w:val="center"/>
          </w:tcPr>
          <w:p w:rsidR="00B83265" w:rsidRPr="00F712CC" w:rsidRDefault="00B83265" w:rsidP="00F712CC">
            <w:pPr>
              <w:spacing w:after="0"/>
              <w:rPr>
                <w:rFonts w:ascii="Arial" w:hAnsi="Arial" w:cs="Arial"/>
              </w:rPr>
            </w:pPr>
            <w:r w:rsidRPr="00F712CC">
              <w:rPr>
                <w:rFonts w:ascii="Arial" w:hAnsi="Arial" w:cs="Arial"/>
              </w:rPr>
              <w:t>1 year</w:t>
            </w:r>
          </w:p>
        </w:tc>
        <w:tc>
          <w:tcPr>
            <w:tcW w:w="1268" w:type="dxa"/>
            <w:noWrap/>
            <w:vAlign w:val="center"/>
          </w:tcPr>
          <w:p w:rsidR="00B83265" w:rsidRPr="00F712CC" w:rsidRDefault="00B83265" w:rsidP="00F712CC">
            <w:pPr>
              <w:spacing w:after="0"/>
              <w:rPr>
                <w:rFonts w:ascii="Arial" w:hAnsi="Arial" w:cs="Arial"/>
              </w:rPr>
            </w:pPr>
            <w:r w:rsidRPr="00F712CC">
              <w:rPr>
                <w:rFonts w:ascii="Arial" w:hAnsi="Arial" w:cs="Arial"/>
              </w:rPr>
              <w:t>56.9%</w:t>
            </w:r>
          </w:p>
        </w:tc>
        <w:tc>
          <w:tcPr>
            <w:tcW w:w="1268" w:type="dxa"/>
            <w:noWrap/>
            <w:vAlign w:val="center"/>
          </w:tcPr>
          <w:p w:rsidR="00B83265" w:rsidRPr="00F712CC" w:rsidRDefault="00B83265" w:rsidP="00F712CC">
            <w:pPr>
              <w:spacing w:after="0"/>
              <w:rPr>
                <w:rFonts w:ascii="Arial" w:hAnsi="Arial" w:cs="Arial"/>
              </w:rPr>
            </w:pPr>
            <w:r w:rsidRPr="00F712CC">
              <w:rPr>
                <w:rFonts w:ascii="Arial" w:hAnsi="Arial" w:cs="Arial"/>
              </w:rPr>
              <w:t>61.4%</w:t>
            </w:r>
          </w:p>
        </w:tc>
        <w:tc>
          <w:tcPr>
            <w:tcW w:w="1268" w:type="dxa"/>
            <w:noWrap/>
            <w:vAlign w:val="center"/>
          </w:tcPr>
          <w:p w:rsidR="00B83265" w:rsidRPr="00F712CC" w:rsidRDefault="00B83265" w:rsidP="00F712CC">
            <w:pPr>
              <w:spacing w:after="0"/>
              <w:rPr>
                <w:rFonts w:ascii="Arial" w:hAnsi="Arial" w:cs="Arial"/>
              </w:rPr>
            </w:pPr>
          </w:p>
        </w:tc>
        <w:tc>
          <w:tcPr>
            <w:tcW w:w="1268" w:type="dxa"/>
            <w:noWrap/>
            <w:vAlign w:val="center"/>
          </w:tcPr>
          <w:p w:rsidR="00B83265" w:rsidRPr="00F712CC" w:rsidRDefault="00B83265" w:rsidP="00F712CC">
            <w:pPr>
              <w:spacing w:after="0"/>
              <w:rPr>
                <w:rFonts w:ascii="Arial" w:hAnsi="Arial" w:cs="Arial"/>
              </w:rPr>
            </w:pPr>
          </w:p>
        </w:tc>
        <w:tc>
          <w:tcPr>
            <w:tcW w:w="1268" w:type="dxa"/>
            <w:noWrap/>
            <w:vAlign w:val="center"/>
          </w:tcPr>
          <w:p w:rsidR="00B83265" w:rsidRPr="00F712CC" w:rsidRDefault="00B83265" w:rsidP="00F712CC">
            <w:pPr>
              <w:spacing w:after="0"/>
              <w:rPr>
                <w:rFonts w:ascii="Arial" w:hAnsi="Arial" w:cs="Arial"/>
              </w:rPr>
            </w:pPr>
          </w:p>
        </w:tc>
        <w:tc>
          <w:tcPr>
            <w:tcW w:w="1268" w:type="dxa"/>
            <w:vAlign w:val="center"/>
          </w:tcPr>
          <w:p w:rsidR="00B83265" w:rsidRPr="00F712CC" w:rsidRDefault="00B83265" w:rsidP="00F712CC">
            <w:pPr>
              <w:spacing w:after="0"/>
              <w:rPr>
                <w:rFonts w:ascii="Arial" w:hAnsi="Arial" w:cs="Arial"/>
              </w:rPr>
            </w:pPr>
          </w:p>
        </w:tc>
      </w:tr>
    </w:tbl>
    <w:p w:rsidR="00B83265" w:rsidRDefault="00B83265" w:rsidP="00B83265">
      <w:pPr>
        <w:spacing w:after="240"/>
        <w:rPr>
          <w:rFonts w:cstheme="minorHAnsi"/>
        </w:rPr>
      </w:pPr>
    </w:p>
    <w:p w:rsidR="00B83265" w:rsidRDefault="00B83265" w:rsidP="00B83265">
      <w:pPr>
        <w:spacing w:after="240"/>
        <w:rPr>
          <w:rFonts w:cstheme="minorHAnsi"/>
        </w:rPr>
      </w:pPr>
      <w:r>
        <w:rPr>
          <w:rFonts w:cstheme="minorHAnsi"/>
        </w:rPr>
        <w:t>% who want more choice and control in their life</w:t>
      </w:r>
      <w:r w:rsidR="00F27590">
        <w:rPr>
          <w:rFonts w:cstheme="minorHAnsi"/>
        </w:rPr>
        <w:t xml:space="preserve"> (context dependent)</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220"/>
        <w:gridCol w:w="1221"/>
        <w:gridCol w:w="1221"/>
        <w:gridCol w:w="1220"/>
        <w:gridCol w:w="1221"/>
        <w:gridCol w:w="1221"/>
      </w:tblGrid>
      <w:tr w:rsidR="00B83265" w:rsidRPr="00F712CC" w:rsidTr="00F712CC">
        <w:trPr>
          <w:trHeight w:val="264"/>
        </w:trPr>
        <w:tc>
          <w:tcPr>
            <w:tcW w:w="2547" w:type="dxa"/>
            <w:noWrap/>
            <w:vAlign w:val="center"/>
            <w:hideMark/>
          </w:tcPr>
          <w:p w:rsidR="00B83265" w:rsidRPr="00F712CC" w:rsidRDefault="00B83265" w:rsidP="00F712CC">
            <w:pPr>
              <w:spacing w:after="0"/>
              <w:rPr>
                <w:rFonts w:ascii="Arial" w:eastAsia="Times New Roman" w:hAnsi="Arial" w:cs="Arial"/>
                <w:b/>
                <w:bCs/>
                <w:color w:val="000000"/>
                <w:lang w:eastAsia="zh-CN"/>
              </w:rPr>
            </w:pPr>
            <w:r w:rsidRPr="00F712CC">
              <w:rPr>
                <w:rFonts w:ascii="Arial" w:eastAsia="Times New Roman" w:hAnsi="Arial" w:cs="Arial"/>
                <w:b/>
                <w:bCs/>
                <w:color w:val="000000"/>
                <w:lang w:eastAsia="zh-CN"/>
              </w:rPr>
              <w:t>Cohort</w:t>
            </w:r>
          </w:p>
        </w:tc>
        <w:tc>
          <w:tcPr>
            <w:tcW w:w="1220" w:type="dxa"/>
            <w:noWrap/>
            <w:vAlign w:val="center"/>
            <w:hideMark/>
          </w:tcPr>
          <w:p w:rsidR="00B83265" w:rsidRPr="00F712CC" w:rsidRDefault="00B83265" w:rsidP="00F712CC">
            <w:pPr>
              <w:spacing w:after="0"/>
              <w:rPr>
                <w:rFonts w:ascii="Arial" w:eastAsia="Times New Roman" w:hAnsi="Arial" w:cs="Arial"/>
                <w:b/>
                <w:bCs/>
                <w:color w:val="000000"/>
                <w:lang w:eastAsia="zh-CN"/>
              </w:rPr>
            </w:pPr>
            <w:r w:rsidRPr="00F712CC">
              <w:rPr>
                <w:rFonts w:ascii="Arial" w:eastAsia="Times New Roman" w:hAnsi="Arial" w:cs="Arial"/>
                <w:b/>
                <w:bCs/>
                <w:color w:val="000000"/>
                <w:lang w:eastAsia="zh-CN"/>
              </w:rPr>
              <w:t>Baseline</w:t>
            </w:r>
          </w:p>
        </w:tc>
        <w:tc>
          <w:tcPr>
            <w:tcW w:w="1221" w:type="dxa"/>
            <w:noWrap/>
            <w:vAlign w:val="center"/>
            <w:hideMark/>
          </w:tcPr>
          <w:p w:rsidR="00B83265" w:rsidRPr="00F712CC" w:rsidRDefault="00B83265" w:rsidP="00F712CC">
            <w:pPr>
              <w:spacing w:after="0"/>
              <w:rPr>
                <w:rFonts w:ascii="Arial" w:eastAsia="Times New Roman" w:hAnsi="Arial" w:cs="Arial"/>
                <w:b/>
                <w:bCs/>
                <w:color w:val="000000"/>
                <w:lang w:eastAsia="zh-CN"/>
              </w:rPr>
            </w:pPr>
            <w:r w:rsidRPr="00F712CC">
              <w:rPr>
                <w:rFonts w:ascii="Arial" w:eastAsia="Times New Roman" w:hAnsi="Arial" w:cs="Arial"/>
                <w:b/>
                <w:bCs/>
                <w:color w:val="000000"/>
                <w:lang w:eastAsia="zh-CN"/>
              </w:rPr>
              <w:t>Review 1</w:t>
            </w:r>
          </w:p>
        </w:tc>
        <w:tc>
          <w:tcPr>
            <w:tcW w:w="1221" w:type="dxa"/>
            <w:noWrap/>
            <w:vAlign w:val="center"/>
            <w:hideMark/>
          </w:tcPr>
          <w:p w:rsidR="00B83265" w:rsidRPr="00F712CC" w:rsidRDefault="00B83265" w:rsidP="00F712CC">
            <w:pPr>
              <w:spacing w:after="0"/>
              <w:rPr>
                <w:rFonts w:ascii="Arial" w:eastAsia="Times New Roman" w:hAnsi="Arial" w:cs="Arial"/>
                <w:b/>
                <w:bCs/>
                <w:color w:val="000000"/>
                <w:lang w:eastAsia="zh-CN"/>
              </w:rPr>
            </w:pPr>
            <w:r w:rsidRPr="00F712CC">
              <w:rPr>
                <w:rFonts w:ascii="Arial" w:eastAsia="Times New Roman" w:hAnsi="Arial" w:cs="Arial"/>
                <w:b/>
                <w:bCs/>
                <w:color w:val="000000"/>
                <w:lang w:eastAsia="zh-CN"/>
              </w:rPr>
              <w:t>Review 2</w:t>
            </w:r>
          </w:p>
        </w:tc>
        <w:tc>
          <w:tcPr>
            <w:tcW w:w="1220" w:type="dxa"/>
            <w:noWrap/>
            <w:vAlign w:val="center"/>
            <w:hideMark/>
          </w:tcPr>
          <w:p w:rsidR="00B83265" w:rsidRPr="00F712CC" w:rsidRDefault="00B83265" w:rsidP="00F712CC">
            <w:pPr>
              <w:spacing w:after="0"/>
              <w:rPr>
                <w:rFonts w:ascii="Arial" w:eastAsia="Times New Roman" w:hAnsi="Arial" w:cs="Arial"/>
                <w:b/>
                <w:bCs/>
                <w:color w:val="000000"/>
                <w:lang w:eastAsia="zh-CN"/>
              </w:rPr>
            </w:pPr>
            <w:r w:rsidRPr="00F712CC">
              <w:rPr>
                <w:rFonts w:ascii="Arial" w:eastAsia="Times New Roman" w:hAnsi="Arial" w:cs="Arial"/>
                <w:b/>
                <w:bCs/>
                <w:color w:val="000000"/>
                <w:lang w:eastAsia="zh-CN"/>
              </w:rPr>
              <w:t>Review 3</w:t>
            </w:r>
          </w:p>
        </w:tc>
        <w:tc>
          <w:tcPr>
            <w:tcW w:w="1221" w:type="dxa"/>
            <w:noWrap/>
            <w:vAlign w:val="center"/>
            <w:hideMark/>
          </w:tcPr>
          <w:p w:rsidR="00B83265" w:rsidRPr="00F712CC" w:rsidRDefault="00B83265" w:rsidP="00F712CC">
            <w:pPr>
              <w:spacing w:after="0"/>
              <w:rPr>
                <w:rFonts w:ascii="Arial" w:eastAsia="Times New Roman" w:hAnsi="Arial" w:cs="Arial"/>
                <w:b/>
                <w:bCs/>
                <w:color w:val="000000"/>
                <w:lang w:eastAsia="zh-CN"/>
              </w:rPr>
            </w:pPr>
            <w:r w:rsidRPr="00F712CC">
              <w:rPr>
                <w:rFonts w:ascii="Arial" w:eastAsia="Times New Roman" w:hAnsi="Arial" w:cs="Arial"/>
                <w:b/>
                <w:bCs/>
                <w:color w:val="000000"/>
                <w:lang w:eastAsia="zh-CN"/>
              </w:rPr>
              <w:t>Review 4</w:t>
            </w:r>
          </w:p>
        </w:tc>
        <w:tc>
          <w:tcPr>
            <w:tcW w:w="1221" w:type="dxa"/>
            <w:vAlign w:val="center"/>
          </w:tcPr>
          <w:p w:rsidR="00B83265" w:rsidRPr="00F712CC" w:rsidRDefault="00B83265" w:rsidP="00F712CC">
            <w:pPr>
              <w:spacing w:after="0"/>
              <w:rPr>
                <w:rFonts w:ascii="Arial" w:eastAsia="Times New Roman" w:hAnsi="Arial" w:cs="Arial"/>
                <w:b/>
                <w:bCs/>
                <w:color w:val="000000"/>
                <w:lang w:eastAsia="zh-CN"/>
              </w:rPr>
            </w:pPr>
            <w:r w:rsidRPr="00F712CC">
              <w:rPr>
                <w:rFonts w:ascii="Arial" w:eastAsia="Times New Roman" w:hAnsi="Arial" w:cs="Arial"/>
                <w:b/>
                <w:bCs/>
                <w:color w:val="000000"/>
                <w:lang w:eastAsia="zh-CN"/>
              </w:rPr>
              <w:t>Review 5</w:t>
            </w:r>
          </w:p>
        </w:tc>
      </w:tr>
      <w:tr w:rsidR="00B83265" w:rsidRPr="00F712CC" w:rsidTr="00F712CC">
        <w:trPr>
          <w:trHeight w:val="264"/>
        </w:trPr>
        <w:tc>
          <w:tcPr>
            <w:tcW w:w="2547" w:type="dxa"/>
            <w:noWrap/>
            <w:vAlign w:val="center"/>
          </w:tcPr>
          <w:p w:rsidR="00B83265" w:rsidRPr="00F712CC" w:rsidRDefault="00B83265" w:rsidP="00F712CC">
            <w:pPr>
              <w:spacing w:after="0"/>
              <w:rPr>
                <w:rFonts w:ascii="Arial" w:hAnsi="Arial" w:cs="Arial"/>
                <w:color w:val="000000"/>
              </w:rPr>
            </w:pPr>
            <w:r w:rsidRPr="00F712CC">
              <w:rPr>
                <w:rFonts w:ascii="Arial" w:hAnsi="Arial" w:cs="Arial"/>
              </w:rPr>
              <w:lastRenderedPageBreak/>
              <w:t>5 year</w:t>
            </w:r>
          </w:p>
        </w:tc>
        <w:tc>
          <w:tcPr>
            <w:tcW w:w="1220" w:type="dxa"/>
            <w:noWrap/>
            <w:vAlign w:val="center"/>
          </w:tcPr>
          <w:p w:rsidR="00B83265" w:rsidRPr="00F712CC" w:rsidRDefault="00B83265" w:rsidP="00F712CC">
            <w:pPr>
              <w:spacing w:after="0"/>
              <w:rPr>
                <w:rFonts w:ascii="Arial" w:hAnsi="Arial" w:cs="Arial"/>
              </w:rPr>
            </w:pPr>
            <w:r w:rsidRPr="00F712CC">
              <w:rPr>
                <w:rFonts w:ascii="Arial" w:hAnsi="Arial" w:cs="Arial"/>
              </w:rPr>
              <w:t>68.1%</w:t>
            </w:r>
          </w:p>
        </w:tc>
        <w:tc>
          <w:tcPr>
            <w:tcW w:w="1221" w:type="dxa"/>
            <w:noWrap/>
            <w:vAlign w:val="center"/>
          </w:tcPr>
          <w:p w:rsidR="00B83265" w:rsidRPr="00F712CC" w:rsidRDefault="00B83265" w:rsidP="00F712CC">
            <w:pPr>
              <w:spacing w:after="0"/>
              <w:rPr>
                <w:rFonts w:ascii="Arial" w:hAnsi="Arial" w:cs="Arial"/>
              </w:rPr>
            </w:pPr>
            <w:r w:rsidRPr="00F712CC">
              <w:rPr>
                <w:rFonts w:ascii="Arial" w:hAnsi="Arial" w:cs="Arial"/>
              </w:rPr>
              <w:t>77.8%</w:t>
            </w:r>
          </w:p>
        </w:tc>
        <w:tc>
          <w:tcPr>
            <w:tcW w:w="1221" w:type="dxa"/>
            <w:noWrap/>
            <w:vAlign w:val="center"/>
          </w:tcPr>
          <w:p w:rsidR="00B83265" w:rsidRPr="00F712CC" w:rsidRDefault="00B83265" w:rsidP="00F712CC">
            <w:pPr>
              <w:spacing w:after="0"/>
              <w:rPr>
                <w:rFonts w:ascii="Arial" w:hAnsi="Arial" w:cs="Arial"/>
              </w:rPr>
            </w:pPr>
            <w:r w:rsidRPr="00F712CC">
              <w:rPr>
                <w:rFonts w:ascii="Arial" w:hAnsi="Arial" w:cs="Arial"/>
              </w:rPr>
              <w:t>82.8%</w:t>
            </w:r>
          </w:p>
        </w:tc>
        <w:tc>
          <w:tcPr>
            <w:tcW w:w="1220" w:type="dxa"/>
            <w:noWrap/>
            <w:vAlign w:val="center"/>
          </w:tcPr>
          <w:p w:rsidR="00B83265" w:rsidRPr="00F712CC" w:rsidRDefault="00B83265" w:rsidP="00F712CC">
            <w:pPr>
              <w:spacing w:after="0"/>
              <w:rPr>
                <w:rFonts w:ascii="Arial" w:hAnsi="Arial" w:cs="Arial"/>
              </w:rPr>
            </w:pPr>
            <w:r w:rsidRPr="00F712CC">
              <w:rPr>
                <w:rFonts w:ascii="Arial" w:hAnsi="Arial" w:cs="Arial"/>
              </w:rPr>
              <w:t>83.5%</w:t>
            </w:r>
          </w:p>
        </w:tc>
        <w:tc>
          <w:tcPr>
            <w:tcW w:w="1221" w:type="dxa"/>
            <w:noWrap/>
            <w:vAlign w:val="center"/>
          </w:tcPr>
          <w:p w:rsidR="00B83265" w:rsidRPr="00F712CC" w:rsidRDefault="00B83265" w:rsidP="00F712CC">
            <w:pPr>
              <w:spacing w:after="0"/>
              <w:rPr>
                <w:rFonts w:ascii="Arial" w:hAnsi="Arial" w:cs="Arial"/>
              </w:rPr>
            </w:pPr>
            <w:r w:rsidRPr="00F712CC">
              <w:rPr>
                <w:rFonts w:ascii="Arial" w:hAnsi="Arial" w:cs="Arial"/>
              </w:rPr>
              <w:t>85.8%</w:t>
            </w:r>
          </w:p>
        </w:tc>
        <w:tc>
          <w:tcPr>
            <w:tcW w:w="1221" w:type="dxa"/>
            <w:vAlign w:val="center"/>
          </w:tcPr>
          <w:p w:rsidR="00B83265" w:rsidRPr="00F712CC" w:rsidRDefault="00B83265" w:rsidP="00F712CC">
            <w:pPr>
              <w:spacing w:after="0"/>
              <w:rPr>
                <w:rFonts w:ascii="Arial" w:hAnsi="Arial" w:cs="Arial"/>
              </w:rPr>
            </w:pPr>
            <w:r w:rsidRPr="00F712CC">
              <w:rPr>
                <w:rFonts w:ascii="Arial" w:hAnsi="Arial" w:cs="Arial"/>
              </w:rPr>
              <w:t>84.7%</w:t>
            </w:r>
          </w:p>
        </w:tc>
      </w:tr>
      <w:tr w:rsidR="00B83265" w:rsidRPr="00F712CC" w:rsidTr="00F712CC">
        <w:trPr>
          <w:trHeight w:val="264"/>
        </w:trPr>
        <w:tc>
          <w:tcPr>
            <w:tcW w:w="2547" w:type="dxa"/>
            <w:noWrap/>
            <w:vAlign w:val="center"/>
          </w:tcPr>
          <w:p w:rsidR="00B83265" w:rsidRPr="00F712CC" w:rsidRDefault="00B83265" w:rsidP="00F712CC">
            <w:pPr>
              <w:spacing w:after="0"/>
              <w:rPr>
                <w:rFonts w:ascii="Arial" w:hAnsi="Arial" w:cs="Arial"/>
              </w:rPr>
            </w:pPr>
            <w:r w:rsidRPr="00F712CC">
              <w:rPr>
                <w:rFonts w:ascii="Arial" w:hAnsi="Arial" w:cs="Arial"/>
              </w:rPr>
              <w:t>4 year</w:t>
            </w:r>
          </w:p>
        </w:tc>
        <w:tc>
          <w:tcPr>
            <w:tcW w:w="1220" w:type="dxa"/>
            <w:noWrap/>
            <w:vAlign w:val="center"/>
          </w:tcPr>
          <w:p w:rsidR="00B83265" w:rsidRPr="00F712CC" w:rsidRDefault="00B83265" w:rsidP="00F712CC">
            <w:pPr>
              <w:spacing w:after="0"/>
              <w:rPr>
                <w:rFonts w:ascii="Arial" w:hAnsi="Arial" w:cs="Arial"/>
              </w:rPr>
            </w:pPr>
            <w:r w:rsidRPr="00F712CC">
              <w:rPr>
                <w:rFonts w:ascii="Arial" w:hAnsi="Arial" w:cs="Arial"/>
              </w:rPr>
              <w:t>77.7%</w:t>
            </w:r>
          </w:p>
        </w:tc>
        <w:tc>
          <w:tcPr>
            <w:tcW w:w="1221" w:type="dxa"/>
            <w:noWrap/>
            <w:vAlign w:val="center"/>
          </w:tcPr>
          <w:p w:rsidR="00B83265" w:rsidRPr="00F712CC" w:rsidRDefault="00B83265" w:rsidP="00F712CC">
            <w:pPr>
              <w:spacing w:after="0"/>
              <w:rPr>
                <w:rFonts w:ascii="Arial" w:hAnsi="Arial" w:cs="Arial"/>
              </w:rPr>
            </w:pPr>
            <w:r w:rsidRPr="00F712CC">
              <w:rPr>
                <w:rFonts w:ascii="Arial" w:hAnsi="Arial" w:cs="Arial"/>
              </w:rPr>
              <w:t>83.7%</w:t>
            </w:r>
          </w:p>
        </w:tc>
        <w:tc>
          <w:tcPr>
            <w:tcW w:w="1221" w:type="dxa"/>
            <w:noWrap/>
            <w:vAlign w:val="center"/>
          </w:tcPr>
          <w:p w:rsidR="00B83265" w:rsidRPr="00F712CC" w:rsidRDefault="00B83265" w:rsidP="00F712CC">
            <w:pPr>
              <w:spacing w:after="0"/>
              <w:rPr>
                <w:rFonts w:ascii="Arial" w:hAnsi="Arial" w:cs="Arial"/>
              </w:rPr>
            </w:pPr>
            <w:r w:rsidRPr="00F712CC">
              <w:rPr>
                <w:rFonts w:ascii="Arial" w:hAnsi="Arial" w:cs="Arial"/>
              </w:rPr>
              <w:t>86.1%</w:t>
            </w:r>
          </w:p>
        </w:tc>
        <w:tc>
          <w:tcPr>
            <w:tcW w:w="1220" w:type="dxa"/>
            <w:noWrap/>
            <w:vAlign w:val="center"/>
          </w:tcPr>
          <w:p w:rsidR="00B83265" w:rsidRPr="00F712CC" w:rsidRDefault="00B83265" w:rsidP="00F712CC">
            <w:pPr>
              <w:spacing w:after="0"/>
              <w:rPr>
                <w:rFonts w:ascii="Arial" w:hAnsi="Arial" w:cs="Arial"/>
              </w:rPr>
            </w:pPr>
            <w:r w:rsidRPr="00F712CC">
              <w:rPr>
                <w:rFonts w:ascii="Arial" w:hAnsi="Arial" w:cs="Arial"/>
              </w:rPr>
              <w:t>87.8%</w:t>
            </w:r>
          </w:p>
        </w:tc>
        <w:tc>
          <w:tcPr>
            <w:tcW w:w="1221" w:type="dxa"/>
            <w:noWrap/>
            <w:vAlign w:val="center"/>
          </w:tcPr>
          <w:p w:rsidR="00B83265" w:rsidRPr="00F712CC" w:rsidRDefault="00B83265" w:rsidP="00F712CC">
            <w:pPr>
              <w:spacing w:after="0"/>
              <w:rPr>
                <w:rFonts w:ascii="Arial" w:hAnsi="Arial" w:cs="Arial"/>
              </w:rPr>
            </w:pPr>
            <w:r w:rsidRPr="00F712CC">
              <w:rPr>
                <w:rFonts w:ascii="Arial" w:hAnsi="Arial" w:cs="Arial"/>
              </w:rPr>
              <w:t>87.7%</w:t>
            </w:r>
          </w:p>
        </w:tc>
        <w:tc>
          <w:tcPr>
            <w:tcW w:w="1221" w:type="dxa"/>
            <w:vAlign w:val="center"/>
          </w:tcPr>
          <w:p w:rsidR="00B83265" w:rsidRPr="00F712CC" w:rsidRDefault="00B83265" w:rsidP="00F712CC">
            <w:pPr>
              <w:spacing w:after="0"/>
              <w:rPr>
                <w:rFonts w:ascii="Arial" w:hAnsi="Arial" w:cs="Arial"/>
              </w:rPr>
            </w:pPr>
          </w:p>
        </w:tc>
      </w:tr>
      <w:tr w:rsidR="00B83265" w:rsidRPr="00F712CC" w:rsidTr="00F712CC">
        <w:trPr>
          <w:trHeight w:val="264"/>
        </w:trPr>
        <w:tc>
          <w:tcPr>
            <w:tcW w:w="2547" w:type="dxa"/>
            <w:noWrap/>
            <w:vAlign w:val="center"/>
          </w:tcPr>
          <w:p w:rsidR="00B83265" w:rsidRPr="00F712CC" w:rsidRDefault="00B83265" w:rsidP="00F712CC">
            <w:pPr>
              <w:spacing w:after="0"/>
              <w:rPr>
                <w:rFonts w:ascii="Arial" w:hAnsi="Arial" w:cs="Arial"/>
              </w:rPr>
            </w:pPr>
            <w:r w:rsidRPr="00F712CC">
              <w:rPr>
                <w:rFonts w:ascii="Arial" w:hAnsi="Arial" w:cs="Arial"/>
              </w:rPr>
              <w:t>3 years</w:t>
            </w:r>
          </w:p>
        </w:tc>
        <w:tc>
          <w:tcPr>
            <w:tcW w:w="1220" w:type="dxa"/>
            <w:noWrap/>
            <w:vAlign w:val="center"/>
          </w:tcPr>
          <w:p w:rsidR="00B83265" w:rsidRPr="00F712CC" w:rsidRDefault="00B83265" w:rsidP="00F712CC">
            <w:pPr>
              <w:spacing w:after="0"/>
              <w:rPr>
                <w:rFonts w:ascii="Arial" w:hAnsi="Arial" w:cs="Arial"/>
              </w:rPr>
            </w:pPr>
            <w:r w:rsidRPr="00F712CC">
              <w:rPr>
                <w:rFonts w:ascii="Arial" w:hAnsi="Arial" w:cs="Arial"/>
              </w:rPr>
              <w:t>79.9%</w:t>
            </w:r>
          </w:p>
        </w:tc>
        <w:tc>
          <w:tcPr>
            <w:tcW w:w="1221" w:type="dxa"/>
            <w:noWrap/>
            <w:vAlign w:val="center"/>
          </w:tcPr>
          <w:p w:rsidR="00B83265" w:rsidRPr="00F712CC" w:rsidRDefault="00B83265" w:rsidP="00F712CC">
            <w:pPr>
              <w:spacing w:after="0"/>
              <w:rPr>
                <w:rFonts w:ascii="Arial" w:hAnsi="Arial" w:cs="Arial"/>
              </w:rPr>
            </w:pPr>
            <w:r w:rsidRPr="00F712CC">
              <w:rPr>
                <w:rFonts w:ascii="Arial" w:hAnsi="Arial" w:cs="Arial"/>
              </w:rPr>
              <w:t>84.6%</w:t>
            </w:r>
          </w:p>
        </w:tc>
        <w:tc>
          <w:tcPr>
            <w:tcW w:w="1221" w:type="dxa"/>
            <w:noWrap/>
            <w:vAlign w:val="center"/>
          </w:tcPr>
          <w:p w:rsidR="00B83265" w:rsidRPr="00F712CC" w:rsidRDefault="00B83265" w:rsidP="00F712CC">
            <w:pPr>
              <w:spacing w:after="0"/>
              <w:rPr>
                <w:rFonts w:ascii="Arial" w:hAnsi="Arial" w:cs="Arial"/>
              </w:rPr>
            </w:pPr>
            <w:r w:rsidRPr="00F712CC">
              <w:rPr>
                <w:rFonts w:ascii="Arial" w:hAnsi="Arial" w:cs="Arial"/>
              </w:rPr>
              <w:t>86.9%</w:t>
            </w:r>
          </w:p>
        </w:tc>
        <w:tc>
          <w:tcPr>
            <w:tcW w:w="1220" w:type="dxa"/>
            <w:noWrap/>
            <w:vAlign w:val="center"/>
          </w:tcPr>
          <w:p w:rsidR="00B83265" w:rsidRPr="00F712CC" w:rsidRDefault="00B83265" w:rsidP="00F712CC">
            <w:pPr>
              <w:spacing w:after="0"/>
              <w:rPr>
                <w:rFonts w:ascii="Arial" w:hAnsi="Arial" w:cs="Arial"/>
              </w:rPr>
            </w:pPr>
            <w:r w:rsidRPr="00F712CC">
              <w:rPr>
                <w:rFonts w:ascii="Arial" w:hAnsi="Arial" w:cs="Arial"/>
              </w:rPr>
              <w:t>87.4%</w:t>
            </w:r>
          </w:p>
        </w:tc>
        <w:tc>
          <w:tcPr>
            <w:tcW w:w="1221" w:type="dxa"/>
            <w:noWrap/>
            <w:vAlign w:val="center"/>
          </w:tcPr>
          <w:p w:rsidR="00B83265" w:rsidRPr="00F712CC" w:rsidRDefault="00B83265" w:rsidP="00F712CC">
            <w:pPr>
              <w:spacing w:after="0"/>
              <w:rPr>
                <w:rFonts w:ascii="Arial" w:hAnsi="Arial" w:cs="Arial"/>
              </w:rPr>
            </w:pPr>
          </w:p>
        </w:tc>
        <w:tc>
          <w:tcPr>
            <w:tcW w:w="1221" w:type="dxa"/>
            <w:vAlign w:val="center"/>
          </w:tcPr>
          <w:p w:rsidR="00B83265" w:rsidRPr="00F712CC" w:rsidRDefault="00B83265" w:rsidP="00F712CC">
            <w:pPr>
              <w:spacing w:after="0"/>
              <w:rPr>
                <w:rFonts w:ascii="Arial" w:hAnsi="Arial" w:cs="Arial"/>
              </w:rPr>
            </w:pPr>
          </w:p>
        </w:tc>
      </w:tr>
      <w:tr w:rsidR="00B83265" w:rsidRPr="00F712CC" w:rsidTr="00F712CC">
        <w:trPr>
          <w:trHeight w:val="264"/>
        </w:trPr>
        <w:tc>
          <w:tcPr>
            <w:tcW w:w="2547" w:type="dxa"/>
            <w:noWrap/>
            <w:vAlign w:val="center"/>
          </w:tcPr>
          <w:p w:rsidR="00B83265" w:rsidRPr="00F712CC" w:rsidRDefault="00B83265" w:rsidP="00F712CC">
            <w:pPr>
              <w:spacing w:after="0"/>
              <w:rPr>
                <w:rFonts w:ascii="Arial" w:hAnsi="Arial" w:cs="Arial"/>
              </w:rPr>
            </w:pPr>
            <w:r w:rsidRPr="00F712CC">
              <w:rPr>
                <w:rFonts w:ascii="Arial" w:hAnsi="Arial" w:cs="Arial"/>
              </w:rPr>
              <w:t>2 years</w:t>
            </w:r>
          </w:p>
        </w:tc>
        <w:tc>
          <w:tcPr>
            <w:tcW w:w="1220" w:type="dxa"/>
            <w:noWrap/>
            <w:vAlign w:val="center"/>
          </w:tcPr>
          <w:p w:rsidR="00B83265" w:rsidRPr="00F712CC" w:rsidRDefault="00B83265" w:rsidP="00F712CC">
            <w:pPr>
              <w:spacing w:after="0"/>
              <w:rPr>
                <w:rFonts w:ascii="Arial" w:hAnsi="Arial" w:cs="Arial"/>
              </w:rPr>
            </w:pPr>
            <w:r w:rsidRPr="00F712CC">
              <w:rPr>
                <w:rFonts w:ascii="Arial" w:hAnsi="Arial" w:cs="Arial"/>
              </w:rPr>
              <w:t>78.5%</w:t>
            </w:r>
          </w:p>
        </w:tc>
        <w:tc>
          <w:tcPr>
            <w:tcW w:w="1221" w:type="dxa"/>
            <w:noWrap/>
            <w:vAlign w:val="center"/>
          </w:tcPr>
          <w:p w:rsidR="00B83265" w:rsidRPr="00F712CC" w:rsidRDefault="00B83265" w:rsidP="00F712CC">
            <w:pPr>
              <w:spacing w:after="0"/>
              <w:rPr>
                <w:rFonts w:ascii="Arial" w:hAnsi="Arial" w:cs="Arial"/>
              </w:rPr>
            </w:pPr>
            <w:r w:rsidRPr="00F712CC">
              <w:rPr>
                <w:rFonts w:ascii="Arial" w:hAnsi="Arial" w:cs="Arial"/>
              </w:rPr>
              <w:t>83.6%</w:t>
            </w:r>
          </w:p>
        </w:tc>
        <w:tc>
          <w:tcPr>
            <w:tcW w:w="1221" w:type="dxa"/>
            <w:noWrap/>
            <w:vAlign w:val="center"/>
          </w:tcPr>
          <w:p w:rsidR="00B83265" w:rsidRPr="00F712CC" w:rsidRDefault="00B83265" w:rsidP="00F712CC">
            <w:pPr>
              <w:spacing w:after="0"/>
              <w:rPr>
                <w:rFonts w:ascii="Arial" w:hAnsi="Arial" w:cs="Arial"/>
              </w:rPr>
            </w:pPr>
            <w:r w:rsidRPr="00F712CC">
              <w:rPr>
                <w:rFonts w:ascii="Arial" w:hAnsi="Arial" w:cs="Arial"/>
              </w:rPr>
              <w:t>85.1%</w:t>
            </w:r>
          </w:p>
        </w:tc>
        <w:tc>
          <w:tcPr>
            <w:tcW w:w="1220" w:type="dxa"/>
            <w:noWrap/>
            <w:vAlign w:val="center"/>
          </w:tcPr>
          <w:p w:rsidR="00B83265" w:rsidRPr="00F712CC" w:rsidRDefault="00B83265" w:rsidP="00F712CC">
            <w:pPr>
              <w:spacing w:after="0"/>
              <w:rPr>
                <w:rFonts w:ascii="Arial" w:hAnsi="Arial" w:cs="Arial"/>
              </w:rPr>
            </w:pPr>
          </w:p>
        </w:tc>
        <w:tc>
          <w:tcPr>
            <w:tcW w:w="1221" w:type="dxa"/>
            <w:noWrap/>
            <w:vAlign w:val="center"/>
          </w:tcPr>
          <w:p w:rsidR="00B83265" w:rsidRPr="00F712CC" w:rsidRDefault="00B83265" w:rsidP="00F712CC">
            <w:pPr>
              <w:spacing w:after="0"/>
              <w:rPr>
                <w:rFonts w:ascii="Arial" w:hAnsi="Arial" w:cs="Arial"/>
              </w:rPr>
            </w:pPr>
          </w:p>
        </w:tc>
        <w:tc>
          <w:tcPr>
            <w:tcW w:w="1221" w:type="dxa"/>
            <w:vAlign w:val="center"/>
          </w:tcPr>
          <w:p w:rsidR="00B83265" w:rsidRPr="00F712CC" w:rsidRDefault="00B83265" w:rsidP="00F712CC">
            <w:pPr>
              <w:spacing w:after="0"/>
              <w:rPr>
                <w:rFonts w:ascii="Arial" w:hAnsi="Arial" w:cs="Arial"/>
              </w:rPr>
            </w:pPr>
          </w:p>
        </w:tc>
      </w:tr>
      <w:tr w:rsidR="00B83265" w:rsidRPr="00F712CC" w:rsidTr="00F712CC">
        <w:trPr>
          <w:trHeight w:val="264"/>
        </w:trPr>
        <w:tc>
          <w:tcPr>
            <w:tcW w:w="2547" w:type="dxa"/>
            <w:noWrap/>
            <w:vAlign w:val="center"/>
          </w:tcPr>
          <w:p w:rsidR="00B83265" w:rsidRPr="00F712CC" w:rsidRDefault="00B83265" w:rsidP="00F712CC">
            <w:pPr>
              <w:spacing w:after="0"/>
              <w:rPr>
                <w:rFonts w:ascii="Arial" w:hAnsi="Arial" w:cs="Arial"/>
              </w:rPr>
            </w:pPr>
            <w:r w:rsidRPr="00F712CC">
              <w:rPr>
                <w:rFonts w:ascii="Arial" w:hAnsi="Arial" w:cs="Arial"/>
              </w:rPr>
              <w:t>1 year</w:t>
            </w:r>
          </w:p>
        </w:tc>
        <w:tc>
          <w:tcPr>
            <w:tcW w:w="1220" w:type="dxa"/>
            <w:noWrap/>
            <w:vAlign w:val="center"/>
          </w:tcPr>
          <w:p w:rsidR="00B83265" w:rsidRPr="00F712CC" w:rsidRDefault="00B83265" w:rsidP="00F712CC">
            <w:pPr>
              <w:spacing w:after="0"/>
              <w:rPr>
                <w:rFonts w:ascii="Arial" w:hAnsi="Arial" w:cs="Arial"/>
              </w:rPr>
            </w:pPr>
            <w:r w:rsidRPr="00F712CC">
              <w:rPr>
                <w:rFonts w:ascii="Arial" w:hAnsi="Arial" w:cs="Arial"/>
              </w:rPr>
              <w:t>77.7%</w:t>
            </w:r>
          </w:p>
        </w:tc>
        <w:tc>
          <w:tcPr>
            <w:tcW w:w="1221" w:type="dxa"/>
            <w:noWrap/>
            <w:vAlign w:val="center"/>
          </w:tcPr>
          <w:p w:rsidR="00B83265" w:rsidRPr="00F712CC" w:rsidRDefault="00B83265" w:rsidP="00F712CC">
            <w:pPr>
              <w:spacing w:after="0"/>
              <w:rPr>
                <w:rFonts w:ascii="Arial" w:hAnsi="Arial" w:cs="Arial"/>
              </w:rPr>
            </w:pPr>
            <w:r w:rsidRPr="00F712CC">
              <w:rPr>
                <w:rFonts w:ascii="Arial" w:hAnsi="Arial" w:cs="Arial"/>
              </w:rPr>
              <w:t>81.7%</w:t>
            </w:r>
          </w:p>
        </w:tc>
        <w:tc>
          <w:tcPr>
            <w:tcW w:w="1221" w:type="dxa"/>
            <w:noWrap/>
            <w:vAlign w:val="center"/>
          </w:tcPr>
          <w:p w:rsidR="00B83265" w:rsidRPr="00F712CC" w:rsidRDefault="00B83265" w:rsidP="00F712CC">
            <w:pPr>
              <w:spacing w:after="0"/>
              <w:rPr>
                <w:rFonts w:ascii="Arial" w:hAnsi="Arial" w:cs="Arial"/>
              </w:rPr>
            </w:pPr>
          </w:p>
        </w:tc>
        <w:tc>
          <w:tcPr>
            <w:tcW w:w="1220" w:type="dxa"/>
            <w:noWrap/>
            <w:vAlign w:val="center"/>
          </w:tcPr>
          <w:p w:rsidR="00B83265" w:rsidRPr="00F712CC" w:rsidRDefault="00B83265" w:rsidP="00F712CC">
            <w:pPr>
              <w:spacing w:after="0"/>
              <w:rPr>
                <w:rFonts w:ascii="Arial" w:hAnsi="Arial" w:cs="Arial"/>
              </w:rPr>
            </w:pPr>
          </w:p>
        </w:tc>
        <w:tc>
          <w:tcPr>
            <w:tcW w:w="1221" w:type="dxa"/>
            <w:noWrap/>
            <w:vAlign w:val="center"/>
          </w:tcPr>
          <w:p w:rsidR="00B83265" w:rsidRPr="00F712CC" w:rsidRDefault="00B83265" w:rsidP="00F712CC">
            <w:pPr>
              <w:spacing w:after="0"/>
              <w:rPr>
                <w:rFonts w:ascii="Arial" w:hAnsi="Arial" w:cs="Arial"/>
              </w:rPr>
            </w:pPr>
          </w:p>
        </w:tc>
        <w:tc>
          <w:tcPr>
            <w:tcW w:w="1221" w:type="dxa"/>
            <w:vAlign w:val="center"/>
          </w:tcPr>
          <w:p w:rsidR="00B83265" w:rsidRPr="00F712CC" w:rsidRDefault="00B83265" w:rsidP="00F712CC">
            <w:pPr>
              <w:spacing w:after="0"/>
              <w:rPr>
                <w:rFonts w:ascii="Arial" w:hAnsi="Arial" w:cs="Arial"/>
              </w:rPr>
            </w:pPr>
          </w:p>
        </w:tc>
      </w:tr>
    </w:tbl>
    <w:p w:rsidR="00B83265" w:rsidRDefault="00B83265" w:rsidP="00B83265">
      <w:pPr>
        <w:pStyle w:val="Heading3"/>
        <w:spacing w:before="0" w:after="240"/>
        <w:rPr>
          <w:rFonts w:asciiTheme="minorHAnsi" w:hAnsiTheme="minorHAnsi" w:cstheme="minorHAnsi"/>
        </w:rPr>
      </w:pPr>
    </w:p>
    <w:p w:rsidR="00B83265" w:rsidRPr="002817DE" w:rsidRDefault="00B83265" w:rsidP="002817DE">
      <w:pPr>
        <w:pStyle w:val="Heading2"/>
      </w:pPr>
      <w:bookmarkStart w:id="59" w:name="_Toc121151431"/>
      <w:r w:rsidRPr="002817DE">
        <w:t>Slide 49: Participants aged 15 and over – Choice and control</w:t>
      </w:r>
      <w:bookmarkEnd w:id="59"/>
    </w:p>
    <w:p w:rsidR="00B83265" w:rsidRPr="00BB5E10" w:rsidRDefault="00B83265" w:rsidP="00B83265">
      <w:pPr>
        <w:rPr>
          <w:b/>
        </w:rPr>
      </w:pPr>
      <w:r w:rsidRPr="00BB5E10">
        <w:rPr>
          <w:b/>
        </w:rPr>
        <w:t>% who feel able to have a say with their support services (most or all of the time)</w:t>
      </w:r>
    </w:p>
    <w:p w:rsidR="00B83265" w:rsidRPr="00AD4C8D" w:rsidRDefault="00B83265" w:rsidP="00B83265">
      <w:pPr>
        <w:spacing w:after="240"/>
        <w:rPr>
          <w:rFonts w:cstheme="minorHAnsi"/>
        </w:rPr>
      </w:pPr>
      <w:r w:rsidRPr="00AD4C8D">
        <w:rPr>
          <w:rFonts w:cstheme="minorHAnsi"/>
        </w:rPr>
        <w:t>There is slight increasing trend in the overall percentage of participants who are able to have a say with their support services (most or all of the time). For Cohort 5 there was a three percentage point increase from 44.2% at baseline to 47.1% at fifth review (purple line). In terms of age group variation:</w:t>
      </w:r>
    </w:p>
    <w:p w:rsidR="00B83265" w:rsidRDefault="00B83265" w:rsidP="00B83265">
      <w:pPr>
        <w:pStyle w:val="ListParagraph"/>
        <w:numPr>
          <w:ilvl w:val="0"/>
          <w:numId w:val="27"/>
        </w:numPr>
        <w:spacing w:after="240"/>
        <w:rPr>
          <w:rFonts w:cstheme="minorHAnsi"/>
        </w:rPr>
      </w:pPr>
      <w:r w:rsidRPr="00AD4C8D">
        <w:rPr>
          <w:rFonts w:cstheme="minorHAnsi"/>
        </w:rPr>
        <w:t>A higher percentage of participants in the 25+ age group felt able to have a say with their support services, compared with other age groups. For example, 49.8% of participants aged 25+ felt able to have a say at fifth review, while 37.5% of participants aged 15-24 felt able to have a say. This is consistent across cohorts.</w:t>
      </w:r>
    </w:p>
    <w:p w:rsidR="00B83265" w:rsidRDefault="00B83265" w:rsidP="00B83265">
      <w:pPr>
        <w:pStyle w:val="ListParagraph"/>
        <w:numPr>
          <w:ilvl w:val="0"/>
          <w:numId w:val="27"/>
        </w:numPr>
        <w:spacing w:after="240"/>
        <w:rPr>
          <w:rFonts w:cstheme="minorHAnsi"/>
        </w:rPr>
      </w:pPr>
      <w:r w:rsidRPr="00AD4C8D">
        <w:rPr>
          <w:rFonts w:cstheme="minorHAnsi"/>
        </w:rPr>
        <w:t>The S-14/15-24 age group had the lowest percentage of participants who felt able to have a say – e.g. for cohort 4 fourth review it was 29.6% (a 3.9 percentage point increase), compared to 34.5%, 44.4% and 49.5% for age groups 15-24, 15-24/25+, and 25+, respectively.</w:t>
      </w:r>
    </w:p>
    <w:p w:rsidR="00B83265" w:rsidRPr="00AD4C8D" w:rsidRDefault="00B83265" w:rsidP="00B83265">
      <w:pPr>
        <w:pStyle w:val="ListParagraph"/>
        <w:numPr>
          <w:ilvl w:val="0"/>
          <w:numId w:val="27"/>
        </w:numPr>
        <w:spacing w:after="240"/>
        <w:rPr>
          <w:rFonts w:cstheme="minorHAnsi"/>
        </w:rPr>
      </w:pPr>
      <w:r w:rsidRPr="00AD4C8D">
        <w:rPr>
          <w:rFonts w:cstheme="minorHAnsi"/>
        </w:rPr>
        <w:t>The 15-24/25+ age group displays the largest increases across all cohorts, with 45.4% of participants feeling able to have a say at fifth review – an 8.1 percentage point increase from baseline (37.3%).</w:t>
      </w:r>
    </w:p>
    <w:p w:rsidR="00C9157B" w:rsidRDefault="00B83265" w:rsidP="00C9157B">
      <w:pPr>
        <w:spacing w:after="240"/>
        <w:rPr>
          <w:rFonts w:cstheme="minorHAnsi"/>
        </w:rPr>
      </w:pPr>
      <w:r>
        <w:rPr>
          <w:rFonts w:cstheme="minorHAnsi"/>
        </w:rPr>
        <w:t xml:space="preserve">Five </w:t>
      </w:r>
      <w:r w:rsidRPr="00AD4C8D">
        <w:rPr>
          <w:rFonts w:cstheme="minorHAnsi"/>
        </w:rPr>
        <w:t>charts show the percentage who feel able to have a say with their support services (most or all of the time) at baseline and at subsequent reviews</w:t>
      </w:r>
      <w:r w:rsidR="00C9157B" w:rsidRPr="00715092">
        <w:rPr>
          <w:rFonts w:cstheme="minorHAnsi"/>
        </w:rPr>
        <w:t xml:space="preserve">, separately for participants in the </w:t>
      </w:r>
      <w:r w:rsidR="00C9157B">
        <w:rPr>
          <w:rFonts w:cstheme="minorHAnsi"/>
        </w:rPr>
        <w:t xml:space="preserve">five years, </w:t>
      </w:r>
      <w:r w:rsidR="00C9157B" w:rsidRPr="00715092">
        <w:rPr>
          <w:rFonts w:cstheme="minorHAnsi"/>
        </w:rPr>
        <w:t>four years, three years, two years or one year</w:t>
      </w:r>
      <w:r w:rsidR="00C9157B">
        <w:rPr>
          <w:rFonts w:cstheme="minorHAnsi"/>
        </w:rPr>
        <w:t xml:space="preserve"> cohorts</w:t>
      </w:r>
      <w:r w:rsidR="00C9157B" w:rsidRPr="00715092">
        <w:rPr>
          <w:rFonts w:cstheme="minorHAnsi"/>
        </w:rPr>
        <w:t>.</w:t>
      </w:r>
      <w:r w:rsidR="00C9157B">
        <w:rPr>
          <w:rFonts w:cstheme="minorHAnsi"/>
        </w:rPr>
        <w:t xml:space="preserve"> Separate lines on each chart show results for all participants, and for participants in the S-14/15-24, 15-24, 15-24/25+ and 25+ age groups.</w:t>
      </w:r>
    </w:p>
    <w:p w:rsidR="00C9157B" w:rsidRDefault="00C9157B" w:rsidP="00C9157B">
      <w:pPr>
        <w:spacing w:after="240"/>
        <w:rPr>
          <w:rFonts w:cstheme="minorHAnsi"/>
        </w:rPr>
      </w:pPr>
      <w:r>
        <w:rPr>
          <w:rFonts w:cstheme="minorHAnsi"/>
        </w:rPr>
        <w:t>For PSto14, analysed by time since first in P15to24, otherwise by time in Scheme.</w:t>
      </w:r>
    </w:p>
    <w:p w:rsidR="00C9157B" w:rsidRDefault="00C9157B" w:rsidP="00C9157B">
      <w:pPr>
        <w:spacing w:after="240"/>
        <w:rPr>
          <w:rFonts w:cstheme="minorHAnsi"/>
        </w:rPr>
      </w:pPr>
      <w:r>
        <w:rPr>
          <w:rFonts w:cstheme="minorHAnsi"/>
        </w:rPr>
        <w:t>This indicator improved.</w:t>
      </w:r>
    </w:p>
    <w:p w:rsidR="00C9157B" w:rsidRDefault="00C9157B" w:rsidP="00C9157B">
      <w:pPr>
        <w:spacing w:after="240"/>
        <w:rPr>
          <w:rFonts w:cstheme="minorHAnsi"/>
        </w:rPr>
      </w:pPr>
      <w:r>
        <w:rPr>
          <w:rFonts w:cstheme="minorHAnsi"/>
        </w:rPr>
        <w:t>Results for all participants are labelled on the charts:</w:t>
      </w:r>
    </w:p>
    <w:tbl>
      <w:tblPr>
        <w:tblW w:w="9204" w:type="dxa"/>
        <w:tblLook w:val="04A0" w:firstRow="1" w:lastRow="0" w:firstColumn="1" w:lastColumn="0" w:noHBand="0" w:noVBand="1"/>
      </w:tblPr>
      <w:tblGrid>
        <w:gridCol w:w="1500"/>
        <w:gridCol w:w="1325"/>
        <w:gridCol w:w="1276"/>
        <w:gridCol w:w="1276"/>
        <w:gridCol w:w="1276"/>
        <w:gridCol w:w="1275"/>
        <w:gridCol w:w="1276"/>
      </w:tblGrid>
      <w:tr w:rsidR="00C9157B" w:rsidRPr="00AD165E" w:rsidTr="00632614">
        <w:trPr>
          <w:trHeight w:val="285"/>
        </w:trPr>
        <w:tc>
          <w:tcPr>
            <w:tcW w:w="1500" w:type="dxa"/>
            <w:tcBorders>
              <w:top w:val="single" w:sz="8" w:space="0" w:color="auto"/>
              <w:left w:val="single" w:sz="8" w:space="0" w:color="auto"/>
              <w:bottom w:val="single" w:sz="8" w:space="0" w:color="auto"/>
              <w:right w:val="nil"/>
            </w:tcBorders>
            <w:shd w:val="clear" w:color="auto" w:fill="auto"/>
            <w:noWrap/>
            <w:vAlign w:val="bottom"/>
            <w:hideMark/>
          </w:tcPr>
          <w:p w:rsidR="00C9157B" w:rsidRPr="00AD165E" w:rsidRDefault="00C9157B" w:rsidP="0063261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Cohort</w:t>
            </w:r>
          </w:p>
        </w:tc>
        <w:tc>
          <w:tcPr>
            <w:tcW w:w="13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9157B" w:rsidRPr="00AD165E" w:rsidRDefault="00C9157B" w:rsidP="0063261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B</w:t>
            </w:r>
            <w:r>
              <w:rPr>
                <w:rFonts w:ascii="Arial" w:eastAsia="Times New Roman" w:hAnsi="Arial" w:cs="Arial"/>
                <w:b/>
                <w:bCs/>
                <w:color w:val="000000"/>
                <w:lang w:eastAsia="en-AU"/>
              </w:rPr>
              <w:t>aseline</w:t>
            </w:r>
          </w:p>
        </w:tc>
        <w:tc>
          <w:tcPr>
            <w:tcW w:w="1276" w:type="dxa"/>
            <w:tcBorders>
              <w:top w:val="single" w:sz="8" w:space="0" w:color="auto"/>
              <w:left w:val="nil"/>
              <w:bottom w:val="single" w:sz="8" w:space="0" w:color="auto"/>
              <w:right w:val="nil"/>
            </w:tcBorders>
            <w:shd w:val="clear" w:color="auto" w:fill="auto"/>
            <w:noWrap/>
            <w:vAlign w:val="bottom"/>
            <w:hideMark/>
          </w:tcPr>
          <w:p w:rsidR="00C9157B" w:rsidRPr="00AD165E" w:rsidRDefault="00C9157B"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1</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9157B" w:rsidRPr="00AD165E" w:rsidRDefault="00C9157B"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2</w:t>
            </w:r>
          </w:p>
        </w:tc>
        <w:tc>
          <w:tcPr>
            <w:tcW w:w="1276" w:type="dxa"/>
            <w:tcBorders>
              <w:top w:val="single" w:sz="8" w:space="0" w:color="auto"/>
              <w:left w:val="nil"/>
              <w:bottom w:val="single" w:sz="8" w:space="0" w:color="auto"/>
              <w:right w:val="nil"/>
            </w:tcBorders>
            <w:shd w:val="clear" w:color="auto" w:fill="auto"/>
            <w:noWrap/>
            <w:vAlign w:val="bottom"/>
            <w:hideMark/>
          </w:tcPr>
          <w:p w:rsidR="00C9157B" w:rsidRPr="00AD165E" w:rsidRDefault="00C9157B"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3</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9157B" w:rsidRPr="00AD165E" w:rsidRDefault="00C9157B"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4</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C9157B" w:rsidRPr="00AD165E" w:rsidRDefault="00C9157B"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5</w:t>
            </w:r>
          </w:p>
        </w:tc>
      </w:tr>
      <w:tr w:rsidR="00C9157B"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C9157B" w:rsidRPr="00AD165E" w:rsidRDefault="00C9157B" w:rsidP="00C9157B">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5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C9157B" w:rsidRPr="00715092" w:rsidRDefault="00C9157B" w:rsidP="00C9157B">
            <w:pPr>
              <w:spacing w:after="0"/>
              <w:rPr>
                <w:rFonts w:cstheme="minorHAnsi"/>
              </w:rPr>
            </w:pPr>
            <w:r>
              <w:rPr>
                <w:rFonts w:cstheme="minorHAnsi"/>
              </w:rPr>
              <w:t>44</w:t>
            </w:r>
            <w:r w:rsidRPr="00715092">
              <w:rPr>
                <w:rFonts w:cstheme="minorHAnsi"/>
              </w:rPr>
              <w:t>%</w:t>
            </w:r>
          </w:p>
        </w:tc>
        <w:tc>
          <w:tcPr>
            <w:tcW w:w="1276" w:type="dxa"/>
            <w:tcBorders>
              <w:top w:val="nil"/>
              <w:left w:val="nil"/>
              <w:bottom w:val="single" w:sz="4" w:space="0" w:color="auto"/>
              <w:right w:val="nil"/>
            </w:tcBorders>
            <w:shd w:val="clear" w:color="auto" w:fill="auto"/>
            <w:noWrap/>
            <w:vAlign w:val="center"/>
            <w:hideMark/>
          </w:tcPr>
          <w:p w:rsidR="00C9157B" w:rsidRPr="00715092" w:rsidRDefault="00C9157B" w:rsidP="00C9157B">
            <w:pPr>
              <w:spacing w:after="0"/>
              <w:rPr>
                <w:rFonts w:cstheme="minorHAnsi"/>
              </w:rPr>
            </w:pPr>
            <w:r>
              <w:rPr>
                <w:rFonts w:cstheme="minorHAnsi"/>
              </w:rPr>
              <w:t>46</w:t>
            </w:r>
            <w:r w:rsidRPr="00715092">
              <w:rPr>
                <w:rFonts w:cstheme="minorHAnsi"/>
              </w:rPr>
              <w:t>%</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C9157B" w:rsidRPr="00715092" w:rsidRDefault="00C9157B" w:rsidP="00C9157B">
            <w:pPr>
              <w:spacing w:after="0"/>
              <w:rPr>
                <w:rFonts w:cstheme="minorHAnsi"/>
              </w:rPr>
            </w:pPr>
            <w:r>
              <w:rPr>
                <w:rFonts w:cstheme="minorHAnsi"/>
              </w:rPr>
              <w:t>45</w:t>
            </w:r>
            <w:r w:rsidRPr="00715092">
              <w:rPr>
                <w:rFonts w:cstheme="minorHAnsi"/>
              </w:rPr>
              <w:t>%</w:t>
            </w:r>
          </w:p>
        </w:tc>
        <w:tc>
          <w:tcPr>
            <w:tcW w:w="1276" w:type="dxa"/>
            <w:tcBorders>
              <w:top w:val="nil"/>
              <w:left w:val="nil"/>
              <w:bottom w:val="single" w:sz="4" w:space="0" w:color="auto"/>
              <w:right w:val="nil"/>
            </w:tcBorders>
            <w:shd w:val="clear" w:color="auto" w:fill="auto"/>
            <w:noWrap/>
            <w:vAlign w:val="center"/>
            <w:hideMark/>
          </w:tcPr>
          <w:p w:rsidR="00C9157B" w:rsidRPr="00715092" w:rsidRDefault="00C9157B" w:rsidP="00C9157B">
            <w:pPr>
              <w:spacing w:after="0"/>
              <w:rPr>
                <w:rFonts w:cstheme="minorHAnsi"/>
              </w:rPr>
            </w:pPr>
            <w:r>
              <w:rPr>
                <w:rFonts w:cstheme="minorHAnsi"/>
              </w:rPr>
              <w:t>47</w:t>
            </w:r>
            <w:r w:rsidRPr="00715092">
              <w:rPr>
                <w:rFonts w:cstheme="minorHAnsi"/>
              </w:rPr>
              <w:t>%</w:t>
            </w: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C9157B" w:rsidRPr="00715092" w:rsidRDefault="00C9157B" w:rsidP="00C9157B">
            <w:pPr>
              <w:spacing w:after="0"/>
              <w:rPr>
                <w:rFonts w:cstheme="minorHAnsi"/>
              </w:rPr>
            </w:pPr>
            <w:r>
              <w:rPr>
                <w:rFonts w:cstheme="minorHAnsi"/>
              </w:rPr>
              <w:t>46</w:t>
            </w:r>
            <w:r w:rsidRPr="00715092">
              <w:rPr>
                <w:rFonts w:cstheme="minorHAnsi"/>
              </w:rPr>
              <w:t>%</w:t>
            </w:r>
          </w:p>
        </w:tc>
        <w:tc>
          <w:tcPr>
            <w:tcW w:w="1276" w:type="dxa"/>
            <w:tcBorders>
              <w:top w:val="nil"/>
              <w:left w:val="nil"/>
              <w:bottom w:val="single" w:sz="4" w:space="0" w:color="auto"/>
              <w:right w:val="single" w:sz="8" w:space="0" w:color="auto"/>
            </w:tcBorders>
            <w:shd w:val="clear" w:color="auto" w:fill="auto"/>
            <w:noWrap/>
            <w:vAlign w:val="center"/>
            <w:hideMark/>
          </w:tcPr>
          <w:p w:rsidR="00C9157B" w:rsidRPr="00715092" w:rsidRDefault="00C9157B" w:rsidP="00C9157B">
            <w:pPr>
              <w:spacing w:after="0"/>
              <w:rPr>
                <w:rFonts w:cstheme="minorHAnsi"/>
              </w:rPr>
            </w:pPr>
            <w:r>
              <w:rPr>
                <w:rFonts w:cstheme="minorHAnsi"/>
              </w:rPr>
              <w:t>47</w:t>
            </w:r>
            <w:r w:rsidRPr="00715092">
              <w:rPr>
                <w:rFonts w:cstheme="minorHAnsi"/>
              </w:rPr>
              <w:t>%</w:t>
            </w:r>
          </w:p>
        </w:tc>
      </w:tr>
      <w:tr w:rsidR="00C9157B"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C9157B" w:rsidRPr="00AD165E" w:rsidRDefault="00C9157B" w:rsidP="00C9157B">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4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C9157B" w:rsidRPr="00715092" w:rsidRDefault="00C9157B" w:rsidP="00C9157B">
            <w:pPr>
              <w:spacing w:after="0"/>
              <w:rPr>
                <w:rFonts w:cstheme="minorHAnsi"/>
              </w:rPr>
            </w:pPr>
            <w:r>
              <w:rPr>
                <w:rFonts w:cstheme="minorHAnsi"/>
              </w:rPr>
              <w:t>43</w:t>
            </w:r>
            <w:r w:rsidRPr="00715092">
              <w:rPr>
                <w:rFonts w:cstheme="minorHAnsi"/>
              </w:rPr>
              <w:t>%</w:t>
            </w:r>
          </w:p>
        </w:tc>
        <w:tc>
          <w:tcPr>
            <w:tcW w:w="1276" w:type="dxa"/>
            <w:tcBorders>
              <w:top w:val="nil"/>
              <w:left w:val="nil"/>
              <w:bottom w:val="single" w:sz="4" w:space="0" w:color="auto"/>
              <w:right w:val="nil"/>
            </w:tcBorders>
            <w:shd w:val="clear" w:color="auto" w:fill="auto"/>
            <w:noWrap/>
            <w:vAlign w:val="center"/>
            <w:hideMark/>
          </w:tcPr>
          <w:p w:rsidR="00C9157B" w:rsidRPr="00715092" w:rsidRDefault="00C9157B" w:rsidP="00C9157B">
            <w:pPr>
              <w:spacing w:after="0"/>
              <w:rPr>
                <w:rFonts w:cstheme="minorHAnsi"/>
              </w:rPr>
            </w:pPr>
            <w:r>
              <w:rPr>
                <w:rFonts w:cstheme="minorHAnsi"/>
              </w:rPr>
              <w:t>44</w:t>
            </w:r>
            <w:r w:rsidRPr="00715092">
              <w:rPr>
                <w:rFonts w:cstheme="minorHAnsi"/>
              </w:rPr>
              <w:t>%</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C9157B" w:rsidRPr="00715092" w:rsidRDefault="00C9157B" w:rsidP="00C9157B">
            <w:pPr>
              <w:spacing w:after="0"/>
              <w:rPr>
                <w:rFonts w:cstheme="minorHAnsi"/>
              </w:rPr>
            </w:pPr>
            <w:r>
              <w:rPr>
                <w:rFonts w:cstheme="minorHAnsi"/>
              </w:rPr>
              <w:t>44</w:t>
            </w:r>
            <w:r w:rsidRPr="00715092">
              <w:rPr>
                <w:rFonts w:cstheme="minorHAnsi"/>
              </w:rPr>
              <w:t>%</w:t>
            </w:r>
          </w:p>
        </w:tc>
        <w:tc>
          <w:tcPr>
            <w:tcW w:w="1276" w:type="dxa"/>
            <w:tcBorders>
              <w:top w:val="nil"/>
              <w:left w:val="nil"/>
              <w:bottom w:val="single" w:sz="4" w:space="0" w:color="auto"/>
              <w:right w:val="nil"/>
            </w:tcBorders>
            <w:shd w:val="clear" w:color="auto" w:fill="auto"/>
            <w:noWrap/>
            <w:vAlign w:val="center"/>
            <w:hideMark/>
          </w:tcPr>
          <w:p w:rsidR="00C9157B" w:rsidRPr="00715092" w:rsidRDefault="00C9157B" w:rsidP="00C9157B">
            <w:pPr>
              <w:spacing w:after="0"/>
              <w:rPr>
                <w:rFonts w:cstheme="minorHAnsi"/>
              </w:rPr>
            </w:pPr>
            <w:r>
              <w:rPr>
                <w:rFonts w:cstheme="minorHAnsi"/>
              </w:rPr>
              <w:t>43</w:t>
            </w:r>
            <w:r w:rsidRPr="00715092">
              <w:rPr>
                <w:rFonts w:cstheme="minorHAnsi"/>
              </w:rPr>
              <w:t>%</w:t>
            </w: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C9157B" w:rsidRPr="00715092" w:rsidRDefault="00C9157B" w:rsidP="00C9157B">
            <w:pPr>
              <w:spacing w:after="0"/>
              <w:rPr>
                <w:rFonts w:cstheme="minorHAnsi"/>
              </w:rPr>
            </w:pPr>
            <w:r>
              <w:rPr>
                <w:rFonts w:cstheme="minorHAnsi"/>
              </w:rPr>
              <w:t>46</w:t>
            </w:r>
            <w:r w:rsidRPr="00715092">
              <w:rPr>
                <w:rFonts w:cstheme="minorHAnsi"/>
              </w:rPr>
              <w:t>%</w:t>
            </w:r>
          </w:p>
        </w:tc>
        <w:tc>
          <w:tcPr>
            <w:tcW w:w="1276" w:type="dxa"/>
            <w:tcBorders>
              <w:top w:val="nil"/>
              <w:left w:val="nil"/>
              <w:bottom w:val="single" w:sz="4" w:space="0" w:color="auto"/>
              <w:right w:val="single" w:sz="8" w:space="0" w:color="auto"/>
            </w:tcBorders>
            <w:shd w:val="clear" w:color="auto" w:fill="auto"/>
            <w:noWrap/>
            <w:vAlign w:val="bottom"/>
            <w:hideMark/>
          </w:tcPr>
          <w:p w:rsidR="00C9157B" w:rsidRPr="00EC7ADD" w:rsidRDefault="00C9157B" w:rsidP="00C9157B">
            <w:pPr>
              <w:spacing w:after="0" w:line="240" w:lineRule="auto"/>
              <w:rPr>
                <w:rFonts w:ascii="Arial" w:eastAsia="Times New Roman" w:hAnsi="Arial" w:cs="Arial"/>
                <w:color w:val="000000"/>
                <w:lang w:eastAsia="en-AU"/>
              </w:rPr>
            </w:pPr>
            <w:r w:rsidRPr="00EC7ADD">
              <w:rPr>
                <w:rFonts w:ascii="Arial" w:eastAsia="Times New Roman" w:hAnsi="Arial" w:cs="Arial"/>
                <w:color w:val="000000"/>
                <w:lang w:eastAsia="en-AU"/>
              </w:rPr>
              <w:t> </w:t>
            </w:r>
          </w:p>
        </w:tc>
      </w:tr>
      <w:tr w:rsidR="00C9157B"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C9157B" w:rsidRPr="00AD165E" w:rsidRDefault="00C9157B" w:rsidP="00C9157B">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3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C9157B" w:rsidRPr="00715092" w:rsidRDefault="00C9157B" w:rsidP="00C9157B">
            <w:pPr>
              <w:spacing w:after="0"/>
              <w:rPr>
                <w:rFonts w:cstheme="minorHAnsi"/>
              </w:rPr>
            </w:pPr>
            <w:r>
              <w:rPr>
                <w:rFonts w:cstheme="minorHAnsi"/>
              </w:rPr>
              <w:t>41</w:t>
            </w:r>
            <w:r w:rsidRPr="00715092">
              <w:rPr>
                <w:rFonts w:cstheme="minorHAnsi"/>
              </w:rPr>
              <w:t>%</w:t>
            </w:r>
          </w:p>
        </w:tc>
        <w:tc>
          <w:tcPr>
            <w:tcW w:w="1276" w:type="dxa"/>
            <w:tcBorders>
              <w:top w:val="nil"/>
              <w:left w:val="nil"/>
              <w:bottom w:val="single" w:sz="4" w:space="0" w:color="auto"/>
              <w:right w:val="nil"/>
            </w:tcBorders>
            <w:shd w:val="clear" w:color="auto" w:fill="auto"/>
            <w:noWrap/>
            <w:vAlign w:val="center"/>
            <w:hideMark/>
          </w:tcPr>
          <w:p w:rsidR="00C9157B" w:rsidRPr="00715092" w:rsidRDefault="00C9157B" w:rsidP="00C9157B">
            <w:pPr>
              <w:spacing w:after="0"/>
              <w:rPr>
                <w:rFonts w:cstheme="minorHAnsi"/>
              </w:rPr>
            </w:pPr>
            <w:r>
              <w:rPr>
                <w:rFonts w:cstheme="minorHAnsi"/>
              </w:rPr>
              <w:t>42</w:t>
            </w:r>
            <w:r w:rsidRPr="00715092">
              <w:rPr>
                <w:rFonts w:cstheme="minorHAnsi"/>
              </w:rPr>
              <w:t>%</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C9157B" w:rsidRPr="00715092" w:rsidRDefault="00C9157B" w:rsidP="00C9157B">
            <w:pPr>
              <w:spacing w:after="0"/>
              <w:rPr>
                <w:rFonts w:cstheme="minorHAnsi"/>
              </w:rPr>
            </w:pPr>
            <w:r>
              <w:rPr>
                <w:rFonts w:cstheme="minorHAnsi"/>
              </w:rPr>
              <w:t>41</w:t>
            </w:r>
            <w:r w:rsidRPr="00715092">
              <w:rPr>
                <w:rFonts w:cstheme="minorHAnsi"/>
              </w:rPr>
              <w:t>%</w:t>
            </w:r>
          </w:p>
        </w:tc>
        <w:tc>
          <w:tcPr>
            <w:tcW w:w="1276" w:type="dxa"/>
            <w:tcBorders>
              <w:top w:val="nil"/>
              <w:left w:val="nil"/>
              <w:bottom w:val="single" w:sz="4" w:space="0" w:color="auto"/>
              <w:right w:val="nil"/>
            </w:tcBorders>
            <w:shd w:val="clear" w:color="auto" w:fill="auto"/>
            <w:noWrap/>
            <w:vAlign w:val="center"/>
            <w:hideMark/>
          </w:tcPr>
          <w:p w:rsidR="00C9157B" w:rsidRPr="00715092" w:rsidRDefault="00C9157B" w:rsidP="00C9157B">
            <w:pPr>
              <w:spacing w:after="0"/>
              <w:rPr>
                <w:rFonts w:cstheme="minorHAnsi"/>
              </w:rPr>
            </w:pPr>
            <w:r>
              <w:rPr>
                <w:rFonts w:cstheme="minorHAnsi"/>
              </w:rPr>
              <w:t>44</w:t>
            </w:r>
            <w:r w:rsidRPr="00715092">
              <w:rPr>
                <w:rFonts w:cstheme="minorHAnsi"/>
              </w:rPr>
              <w:t>%</w:t>
            </w:r>
          </w:p>
        </w:tc>
        <w:tc>
          <w:tcPr>
            <w:tcW w:w="1275" w:type="dxa"/>
            <w:tcBorders>
              <w:top w:val="nil"/>
              <w:left w:val="single" w:sz="8" w:space="0" w:color="auto"/>
              <w:bottom w:val="single" w:sz="4" w:space="0" w:color="auto"/>
              <w:right w:val="single" w:sz="8" w:space="0" w:color="auto"/>
            </w:tcBorders>
            <w:shd w:val="clear" w:color="auto" w:fill="auto"/>
            <w:noWrap/>
            <w:vAlign w:val="bottom"/>
            <w:hideMark/>
          </w:tcPr>
          <w:p w:rsidR="00C9157B" w:rsidRPr="00EC7ADD" w:rsidRDefault="00C9157B" w:rsidP="00C9157B">
            <w:pPr>
              <w:spacing w:after="0" w:line="240" w:lineRule="auto"/>
              <w:rPr>
                <w:rFonts w:ascii="Arial" w:eastAsia="Times New Roman" w:hAnsi="Arial" w:cs="Arial"/>
                <w:color w:val="000000"/>
                <w:lang w:eastAsia="en-AU"/>
              </w:rPr>
            </w:pPr>
            <w:r w:rsidRPr="00EC7ADD">
              <w:rPr>
                <w:rFonts w:ascii="Arial" w:eastAsia="Times New Roman" w:hAnsi="Arial" w:cs="Arial"/>
                <w:color w:val="000000"/>
                <w:lang w:eastAsia="en-AU"/>
              </w:rPr>
              <w:t> </w:t>
            </w:r>
          </w:p>
        </w:tc>
        <w:tc>
          <w:tcPr>
            <w:tcW w:w="1276" w:type="dxa"/>
            <w:tcBorders>
              <w:top w:val="nil"/>
              <w:left w:val="nil"/>
              <w:bottom w:val="single" w:sz="4" w:space="0" w:color="auto"/>
              <w:right w:val="single" w:sz="8" w:space="0" w:color="auto"/>
            </w:tcBorders>
            <w:shd w:val="clear" w:color="auto" w:fill="auto"/>
            <w:noWrap/>
            <w:vAlign w:val="bottom"/>
            <w:hideMark/>
          </w:tcPr>
          <w:p w:rsidR="00C9157B" w:rsidRPr="00EC7ADD" w:rsidRDefault="00C9157B" w:rsidP="00C9157B">
            <w:pPr>
              <w:spacing w:after="0" w:line="240" w:lineRule="auto"/>
              <w:rPr>
                <w:rFonts w:ascii="Arial" w:eastAsia="Times New Roman" w:hAnsi="Arial" w:cs="Arial"/>
                <w:color w:val="000000"/>
                <w:lang w:eastAsia="en-AU"/>
              </w:rPr>
            </w:pPr>
            <w:r w:rsidRPr="00EC7ADD">
              <w:rPr>
                <w:rFonts w:ascii="Arial" w:eastAsia="Times New Roman" w:hAnsi="Arial" w:cs="Arial"/>
                <w:color w:val="000000"/>
                <w:lang w:eastAsia="en-AU"/>
              </w:rPr>
              <w:t> </w:t>
            </w:r>
          </w:p>
        </w:tc>
      </w:tr>
      <w:tr w:rsidR="00C9157B"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C9157B" w:rsidRPr="00AD165E" w:rsidRDefault="00C9157B" w:rsidP="00C9157B">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2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C9157B" w:rsidRPr="00715092" w:rsidRDefault="00C9157B" w:rsidP="00C9157B">
            <w:pPr>
              <w:spacing w:after="0"/>
              <w:rPr>
                <w:rFonts w:cstheme="minorHAnsi"/>
              </w:rPr>
            </w:pPr>
            <w:r>
              <w:rPr>
                <w:rFonts w:cstheme="minorHAnsi"/>
              </w:rPr>
              <w:t>41</w:t>
            </w:r>
            <w:r w:rsidRPr="00715092">
              <w:rPr>
                <w:rFonts w:cstheme="minorHAnsi"/>
              </w:rPr>
              <w:t>%</w:t>
            </w:r>
          </w:p>
        </w:tc>
        <w:tc>
          <w:tcPr>
            <w:tcW w:w="1276" w:type="dxa"/>
            <w:tcBorders>
              <w:top w:val="nil"/>
              <w:left w:val="nil"/>
              <w:bottom w:val="single" w:sz="4" w:space="0" w:color="auto"/>
              <w:right w:val="nil"/>
            </w:tcBorders>
            <w:shd w:val="clear" w:color="auto" w:fill="auto"/>
            <w:noWrap/>
            <w:vAlign w:val="center"/>
            <w:hideMark/>
          </w:tcPr>
          <w:p w:rsidR="00C9157B" w:rsidRPr="00715092" w:rsidRDefault="00C9157B" w:rsidP="00C9157B">
            <w:pPr>
              <w:spacing w:after="0"/>
              <w:rPr>
                <w:rFonts w:cstheme="minorHAnsi"/>
              </w:rPr>
            </w:pPr>
            <w:r>
              <w:rPr>
                <w:rFonts w:cstheme="minorHAnsi"/>
              </w:rPr>
              <w:t>42</w:t>
            </w:r>
            <w:r w:rsidRPr="00715092">
              <w:rPr>
                <w:rFonts w:cstheme="minorHAnsi"/>
              </w:rPr>
              <w:t>%</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C9157B" w:rsidRPr="00715092" w:rsidRDefault="00C9157B" w:rsidP="00C9157B">
            <w:pPr>
              <w:spacing w:after="0"/>
              <w:rPr>
                <w:rFonts w:cstheme="minorHAnsi"/>
              </w:rPr>
            </w:pPr>
            <w:r>
              <w:rPr>
                <w:rFonts w:cstheme="minorHAnsi"/>
              </w:rPr>
              <w:t>44</w:t>
            </w:r>
            <w:r w:rsidRPr="00715092">
              <w:rPr>
                <w:rFonts w:cstheme="minorHAnsi"/>
              </w:rPr>
              <w:t>%</w:t>
            </w:r>
          </w:p>
        </w:tc>
        <w:tc>
          <w:tcPr>
            <w:tcW w:w="1276" w:type="dxa"/>
            <w:tcBorders>
              <w:top w:val="nil"/>
              <w:left w:val="nil"/>
              <w:bottom w:val="single" w:sz="4" w:space="0" w:color="auto"/>
              <w:right w:val="nil"/>
            </w:tcBorders>
            <w:shd w:val="clear" w:color="auto" w:fill="auto"/>
            <w:noWrap/>
            <w:vAlign w:val="bottom"/>
            <w:hideMark/>
          </w:tcPr>
          <w:p w:rsidR="00C9157B" w:rsidRPr="00EC7ADD" w:rsidRDefault="00C9157B" w:rsidP="00C9157B">
            <w:pPr>
              <w:spacing w:after="0" w:line="240" w:lineRule="auto"/>
              <w:rPr>
                <w:rFonts w:ascii="Arial" w:eastAsia="Times New Roman" w:hAnsi="Arial" w:cs="Arial"/>
                <w:color w:val="000000"/>
                <w:lang w:eastAsia="en-AU"/>
              </w:rPr>
            </w:pPr>
            <w:r w:rsidRPr="00EC7ADD">
              <w:rPr>
                <w:rFonts w:ascii="Arial" w:eastAsia="Times New Roman" w:hAnsi="Arial" w:cs="Arial"/>
                <w:color w:val="000000"/>
                <w:lang w:eastAsia="en-AU"/>
              </w:rPr>
              <w:t> </w:t>
            </w:r>
          </w:p>
        </w:tc>
        <w:tc>
          <w:tcPr>
            <w:tcW w:w="1275" w:type="dxa"/>
            <w:tcBorders>
              <w:top w:val="nil"/>
              <w:left w:val="single" w:sz="8" w:space="0" w:color="auto"/>
              <w:bottom w:val="single" w:sz="4" w:space="0" w:color="auto"/>
              <w:right w:val="single" w:sz="8" w:space="0" w:color="auto"/>
            </w:tcBorders>
            <w:shd w:val="clear" w:color="auto" w:fill="auto"/>
            <w:noWrap/>
            <w:vAlign w:val="bottom"/>
            <w:hideMark/>
          </w:tcPr>
          <w:p w:rsidR="00C9157B" w:rsidRPr="00EC7ADD" w:rsidRDefault="00C9157B" w:rsidP="00C9157B">
            <w:pPr>
              <w:spacing w:after="0" w:line="240" w:lineRule="auto"/>
              <w:rPr>
                <w:rFonts w:ascii="Arial" w:eastAsia="Times New Roman" w:hAnsi="Arial" w:cs="Arial"/>
                <w:color w:val="000000"/>
                <w:lang w:eastAsia="en-AU"/>
              </w:rPr>
            </w:pPr>
            <w:r w:rsidRPr="00EC7ADD">
              <w:rPr>
                <w:rFonts w:ascii="Arial" w:eastAsia="Times New Roman" w:hAnsi="Arial" w:cs="Arial"/>
                <w:color w:val="000000"/>
                <w:lang w:eastAsia="en-AU"/>
              </w:rPr>
              <w:t> </w:t>
            </w:r>
          </w:p>
        </w:tc>
        <w:tc>
          <w:tcPr>
            <w:tcW w:w="1276" w:type="dxa"/>
            <w:tcBorders>
              <w:top w:val="nil"/>
              <w:left w:val="nil"/>
              <w:bottom w:val="single" w:sz="4" w:space="0" w:color="auto"/>
              <w:right w:val="single" w:sz="8" w:space="0" w:color="auto"/>
            </w:tcBorders>
            <w:shd w:val="clear" w:color="auto" w:fill="auto"/>
            <w:noWrap/>
            <w:vAlign w:val="bottom"/>
            <w:hideMark/>
          </w:tcPr>
          <w:p w:rsidR="00C9157B" w:rsidRPr="00EC7ADD" w:rsidRDefault="00C9157B" w:rsidP="00C9157B">
            <w:pPr>
              <w:spacing w:after="0" w:line="240" w:lineRule="auto"/>
              <w:rPr>
                <w:rFonts w:ascii="Arial" w:eastAsia="Times New Roman" w:hAnsi="Arial" w:cs="Arial"/>
                <w:color w:val="000000"/>
                <w:lang w:eastAsia="en-AU"/>
              </w:rPr>
            </w:pPr>
            <w:r w:rsidRPr="00EC7ADD">
              <w:rPr>
                <w:rFonts w:ascii="Arial" w:eastAsia="Times New Roman" w:hAnsi="Arial" w:cs="Arial"/>
                <w:color w:val="000000"/>
                <w:lang w:eastAsia="en-AU"/>
              </w:rPr>
              <w:t> </w:t>
            </w:r>
          </w:p>
        </w:tc>
      </w:tr>
      <w:tr w:rsidR="00C9157B" w:rsidRPr="00AD165E" w:rsidTr="00632614">
        <w:trPr>
          <w:trHeight w:val="285"/>
        </w:trPr>
        <w:tc>
          <w:tcPr>
            <w:tcW w:w="1500" w:type="dxa"/>
            <w:tcBorders>
              <w:top w:val="nil"/>
              <w:left w:val="single" w:sz="8" w:space="0" w:color="auto"/>
              <w:bottom w:val="single" w:sz="8" w:space="0" w:color="auto"/>
              <w:right w:val="nil"/>
            </w:tcBorders>
            <w:shd w:val="clear" w:color="auto" w:fill="auto"/>
            <w:noWrap/>
            <w:vAlign w:val="bottom"/>
            <w:hideMark/>
          </w:tcPr>
          <w:p w:rsidR="00C9157B" w:rsidRPr="00AD165E" w:rsidRDefault="00C9157B" w:rsidP="00C9157B">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1 year</w:t>
            </w:r>
          </w:p>
        </w:tc>
        <w:tc>
          <w:tcPr>
            <w:tcW w:w="1325" w:type="dxa"/>
            <w:tcBorders>
              <w:top w:val="nil"/>
              <w:left w:val="single" w:sz="8" w:space="0" w:color="auto"/>
              <w:bottom w:val="single" w:sz="8" w:space="0" w:color="auto"/>
              <w:right w:val="single" w:sz="8" w:space="0" w:color="auto"/>
            </w:tcBorders>
            <w:shd w:val="clear" w:color="auto" w:fill="auto"/>
            <w:noWrap/>
            <w:vAlign w:val="center"/>
            <w:hideMark/>
          </w:tcPr>
          <w:p w:rsidR="00C9157B" w:rsidRPr="00715092" w:rsidRDefault="00C9157B" w:rsidP="00C9157B">
            <w:pPr>
              <w:spacing w:after="0"/>
              <w:rPr>
                <w:rFonts w:cstheme="minorHAnsi"/>
              </w:rPr>
            </w:pPr>
            <w:r>
              <w:rPr>
                <w:rFonts w:cstheme="minorHAnsi"/>
              </w:rPr>
              <w:t>43</w:t>
            </w:r>
            <w:r w:rsidRPr="00715092">
              <w:rPr>
                <w:rFonts w:cstheme="minorHAnsi"/>
              </w:rPr>
              <w:t>%</w:t>
            </w:r>
          </w:p>
        </w:tc>
        <w:tc>
          <w:tcPr>
            <w:tcW w:w="1276" w:type="dxa"/>
            <w:tcBorders>
              <w:top w:val="nil"/>
              <w:left w:val="nil"/>
              <w:bottom w:val="single" w:sz="8" w:space="0" w:color="auto"/>
              <w:right w:val="nil"/>
            </w:tcBorders>
            <w:shd w:val="clear" w:color="auto" w:fill="auto"/>
            <w:noWrap/>
            <w:vAlign w:val="center"/>
            <w:hideMark/>
          </w:tcPr>
          <w:p w:rsidR="00C9157B" w:rsidRPr="00715092" w:rsidRDefault="00C9157B" w:rsidP="00C9157B">
            <w:pPr>
              <w:spacing w:after="0"/>
              <w:rPr>
                <w:rFonts w:cstheme="minorHAnsi"/>
              </w:rPr>
            </w:pPr>
            <w:r>
              <w:rPr>
                <w:rFonts w:cstheme="minorHAnsi"/>
              </w:rPr>
              <w:t>45</w:t>
            </w:r>
            <w:r w:rsidRPr="00715092">
              <w:rPr>
                <w:rFonts w:cstheme="minorHAnsi"/>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C9157B" w:rsidRPr="00EC7ADD" w:rsidRDefault="00C9157B" w:rsidP="00C9157B">
            <w:pPr>
              <w:spacing w:after="0" w:line="240" w:lineRule="auto"/>
              <w:rPr>
                <w:rFonts w:ascii="Arial" w:eastAsia="Times New Roman" w:hAnsi="Arial" w:cs="Arial"/>
                <w:color w:val="000000"/>
                <w:lang w:eastAsia="en-AU"/>
              </w:rPr>
            </w:pPr>
            <w:r w:rsidRPr="00EC7ADD">
              <w:rPr>
                <w:rFonts w:ascii="Arial" w:eastAsia="Times New Roman" w:hAnsi="Arial" w:cs="Arial"/>
                <w:color w:val="000000"/>
                <w:lang w:eastAsia="en-AU"/>
              </w:rPr>
              <w:t> </w:t>
            </w:r>
          </w:p>
        </w:tc>
        <w:tc>
          <w:tcPr>
            <w:tcW w:w="1276" w:type="dxa"/>
            <w:tcBorders>
              <w:top w:val="nil"/>
              <w:left w:val="nil"/>
              <w:bottom w:val="single" w:sz="8" w:space="0" w:color="auto"/>
              <w:right w:val="nil"/>
            </w:tcBorders>
            <w:shd w:val="clear" w:color="auto" w:fill="auto"/>
            <w:noWrap/>
            <w:vAlign w:val="bottom"/>
            <w:hideMark/>
          </w:tcPr>
          <w:p w:rsidR="00C9157B" w:rsidRPr="00EC7ADD" w:rsidRDefault="00C9157B" w:rsidP="00C9157B">
            <w:pPr>
              <w:spacing w:after="0" w:line="240" w:lineRule="auto"/>
              <w:rPr>
                <w:rFonts w:ascii="Arial" w:eastAsia="Times New Roman" w:hAnsi="Arial" w:cs="Arial"/>
                <w:color w:val="000000"/>
                <w:lang w:eastAsia="en-AU"/>
              </w:rPr>
            </w:pPr>
            <w:r w:rsidRPr="00EC7ADD">
              <w:rPr>
                <w:rFonts w:ascii="Arial" w:eastAsia="Times New Roman" w:hAnsi="Arial" w:cs="Arial"/>
                <w:color w:val="000000"/>
                <w:lang w:eastAsia="en-AU"/>
              </w:rPr>
              <w:t> </w:t>
            </w:r>
          </w:p>
        </w:tc>
        <w:tc>
          <w:tcPr>
            <w:tcW w:w="1275" w:type="dxa"/>
            <w:tcBorders>
              <w:top w:val="nil"/>
              <w:left w:val="single" w:sz="8" w:space="0" w:color="auto"/>
              <w:bottom w:val="single" w:sz="8" w:space="0" w:color="auto"/>
              <w:right w:val="single" w:sz="8" w:space="0" w:color="auto"/>
            </w:tcBorders>
            <w:shd w:val="clear" w:color="auto" w:fill="auto"/>
            <w:noWrap/>
            <w:vAlign w:val="bottom"/>
            <w:hideMark/>
          </w:tcPr>
          <w:p w:rsidR="00C9157B" w:rsidRPr="00EC7ADD" w:rsidRDefault="00C9157B" w:rsidP="00C9157B">
            <w:pPr>
              <w:spacing w:after="0" w:line="240" w:lineRule="auto"/>
              <w:rPr>
                <w:rFonts w:ascii="Arial" w:eastAsia="Times New Roman" w:hAnsi="Arial" w:cs="Arial"/>
                <w:color w:val="000000"/>
                <w:lang w:eastAsia="en-AU"/>
              </w:rPr>
            </w:pPr>
            <w:r w:rsidRPr="00EC7ADD">
              <w:rPr>
                <w:rFonts w:ascii="Arial" w:eastAsia="Times New Roman" w:hAnsi="Arial" w:cs="Arial"/>
                <w:color w:val="000000"/>
                <w:lang w:eastAsia="en-AU"/>
              </w:rPr>
              <w:t> </w:t>
            </w:r>
          </w:p>
        </w:tc>
        <w:tc>
          <w:tcPr>
            <w:tcW w:w="1276" w:type="dxa"/>
            <w:tcBorders>
              <w:top w:val="nil"/>
              <w:left w:val="nil"/>
              <w:bottom w:val="single" w:sz="8" w:space="0" w:color="auto"/>
              <w:right w:val="single" w:sz="8" w:space="0" w:color="auto"/>
            </w:tcBorders>
            <w:shd w:val="clear" w:color="auto" w:fill="auto"/>
            <w:noWrap/>
            <w:vAlign w:val="bottom"/>
            <w:hideMark/>
          </w:tcPr>
          <w:p w:rsidR="00C9157B" w:rsidRPr="00EC7ADD" w:rsidRDefault="00C9157B" w:rsidP="00C9157B">
            <w:pPr>
              <w:spacing w:after="0" w:line="240" w:lineRule="auto"/>
              <w:rPr>
                <w:rFonts w:ascii="Arial" w:eastAsia="Times New Roman" w:hAnsi="Arial" w:cs="Arial"/>
                <w:color w:val="000000"/>
                <w:lang w:eastAsia="en-AU"/>
              </w:rPr>
            </w:pPr>
            <w:r w:rsidRPr="00EC7ADD">
              <w:rPr>
                <w:rFonts w:ascii="Arial" w:eastAsia="Times New Roman" w:hAnsi="Arial" w:cs="Arial"/>
                <w:color w:val="000000"/>
                <w:lang w:eastAsia="en-AU"/>
              </w:rPr>
              <w:t> </w:t>
            </w:r>
          </w:p>
        </w:tc>
      </w:tr>
    </w:tbl>
    <w:p w:rsidR="00C9157B" w:rsidRDefault="00C9157B" w:rsidP="00B83265">
      <w:pPr>
        <w:spacing w:after="240"/>
        <w:rPr>
          <w:rFonts w:cstheme="minorHAnsi"/>
        </w:rPr>
      </w:pPr>
    </w:p>
    <w:p w:rsidR="00B83265" w:rsidRPr="002817DE" w:rsidRDefault="00B83265" w:rsidP="002817DE">
      <w:pPr>
        <w:pStyle w:val="Heading2"/>
      </w:pPr>
      <w:bookmarkStart w:id="60" w:name="_Toc121151432"/>
      <w:r w:rsidRPr="002817DE">
        <w:t>Slide 50: Participants aged 15 and over – Choice and control</w:t>
      </w:r>
      <w:bookmarkEnd w:id="60"/>
    </w:p>
    <w:p w:rsidR="00B83265" w:rsidRPr="00BB5E10" w:rsidRDefault="00B83265" w:rsidP="00B83265">
      <w:pPr>
        <w:rPr>
          <w:b/>
        </w:rPr>
      </w:pPr>
      <w:r w:rsidRPr="00BB5E10">
        <w:rPr>
          <w:b/>
        </w:rPr>
        <w:t>% who say they choose how they spend their free time</w:t>
      </w:r>
    </w:p>
    <w:p w:rsidR="00B83265" w:rsidRDefault="00B83265" w:rsidP="00B83265">
      <w:pPr>
        <w:spacing w:after="240"/>
        <w:rPr>
          <w:rFonts w:cstheme="minorHAnsi"/>
        </w:rPr>
      </w:pPr>
      <w:r w:rsidRPr="00AD4C8D">
        <w:rPr>
          <w:rFonts w:cstheme="minorHAnsi"/>
        </w:rPr>
        <w:lastRenderedPageBreak/>
        <w:t>There are positive changes over time (across all cohorts) in the percentage of participants who say they choose how they spend their free time. For participants in cohort five, the percentage increased by 19.7 percentage points, from 57.9% at baseline to 77.6% at fifth review. However, there was a 5.3 percentage point decrease at latest review. Cohorts one, two, three and four also show increases over time – 4.7, 5.3, 12.5 and 16.3 percentage points between baseline and latest review, respectively.</w:t>
      </w:r>
    </w:p>
    <w:p w:rsidR="00594154" w:rsidRDefault="00B83265" w:rsidP="00594154">
      <w:pPr>
        <w:spacing w:after="240"/>
        <w:rPr>
          <w:rFonts w:cstheme="minorHAnsi"/>
        </w:rPr>
      </w:pPr>
      <w:r>
        <w:rPr>
          <w:rFonts w:cstheme="minorHAnsi"/>
        </w:rPr>
        <w:t xml:space="preserve">A chart shows </w:t>
      </w:r>
      <w:r w:rsidRPr="00AD4C8D">
        <w:rPr>
          <w:rFonts w:cstheme="minorHAnsi"/>
        </w:rPr>
        <w:t>the percentage who say they choose how they spend their free time</w:t>
      </w:r>
      <w:r>
        <w:rPr>
          <w:rFonts w:cstheme="minorHAnsi"/>
        </w:rPr>
        <w:t xml:space="preserve"> </w:t>
      </w:r>
      <w:r w:rsidRPr="00AD4C8D">
        <w:rPr>
          <w:rFonts w:cstheme="minorHAnsi"/>
        </w:rPr>
        <w:t xml:space="preserve">at baseline and at subsequent reviews, separately for participants </w:t>
      </w:r>
      <w:r w:rsidR="00594154" w:rsidRPr="00715092">
        <w:rPr>
          <w:rFonts w:cstheme="minorHAnsi"/>
        </w:rPr>
        <w:t xml:space="preserve">in the </w:t>
      </w:r>
      <w:r w:rsidR="00594154">
        <w:rPr>
          <w:rFonts w:cstheme="minorHAnsi"/>
        </w:rPr>
        <w:t xml:space="preserve">five years, </w:t>
      </w:r>
      <w:r w:rsidR="00594154" w:rsidRPr="00715092">
        <w:rPr>
          <w:rFonts w:cstheme="minorHAnsi"/>
        </w:rPr>
        <w:t>four years, three years, two years or one year</w:t>
      </w:r>
      <w:r w:rsidR="00594154">
        <w:rPr>
          <w:rFonts w:cstheme="minorHAnsi"/>
        </w:rPr>
        <w:t xml:space="preserve"> cohorts</w:t>
      </w:r>
      <w:r w:rsidR="00594154" w:rsidRPr="00715092">
        <w:rPr>
          <w:rFonts w:cstheme="minorHAnsi"/>
        </w:rPr>
        <w:t>.</w:t>
      </w:r>
    </w:p>
    <w:p w:rsidR="00594154" w:rsidRDefault="00594154" w:rsidP="00594154">
      <w:pPr>
        <w:spacing w:after="240"/>
        <w:rPr>
          <w:rFonts w:cstheme="minorHAnsi"/>
        </w:rPr>
      </w:pPr>
      <w:r>
        <w:rPr>
          <w:rFonts w:cstheme="minorHAnsi"/>
        </w:rPr>
        <w:t>For PSto14, analysed by time since first in P15to24, otherwise by time in Scheme.</w:t>
      </w:r>
    </w:p>
    <w:p w:rsidR="00B83265" w:rsidRPr="00AD4C8D" w:rsidRDefault="00594154" w:rsidP="00594154">
      <w:pPr>
        <w:spacing w:after="240"/>
        <w:rPr>
          <w:rFonts w:cstheme="minorHAnsi"/>
        </w:rPr>
      </w:pPr>
      <w:r>
        <w:rPr>
          <w:rFonts w:cstheme="minorHAnsi"/>
        </w:rPr>
        <w:t>This indicator improved.</w:t>
      </w:r>
    </w:p>
    <w:p w:rsidR="00B83265" w:rsidRDefault="00B83265" w:rsidP="00B83265">
      <w:pPr>
        <w:spacing w:after="240"/>
        <w:rPr>
          <w:rFonts w:cstheme="minorHAnsi"/>
        </w:rPr>
      </w:pPr>
      <w:r w:rsidRPr="00EB3F27">
        <w:rPr>
          <w:rFonts w:cstheme="minorHAnsi"/>
        </w:rPr>
        <w:t>% who say they choose how they spend their free time</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220"/>
        <w:gridCol w:w="1221"/>
        <w:gridCol w:w="1221"/>
        <w:gridCol w:w="1220"/>
        <w:gridCol w:w="1221"/>
        <w:gridCol w:w="1221"/>
      </w:tblGrid>
      <w:tr w:rsidR="00B83265" w:rsidRPr="00F712CC" w:rsidTr="00F712CC">
        <w:trPr>
          <w:trHeight w:val="264"/>
        </w:trPr>
        <w:tc>
          <w:tcPr>
            <w:tcW w:w="2547" w:type="dxa"/>
            <w:noWrap/>
            <w:vAlign w:val="center"/>
            <w:hideMark/>
          </w:tcPr>
          <w:p w:rsidR="00B83265" w:rsidRPr="00F712CC" w:rsidRDefault="00B83265" w:rsidP="00F712CC">
            <w:pPr>
              <w:spacing w:after="0"/>
              <w:rPr>
                <w:rFonts w:ascii="Arial" w:eastAsia="Times New Roman" w:hAnsi="Arial" w:cs="Arial"/>
                <w:b/>
                <w:bCs/>
                <w:color w:val="000000"/>
                <w:lang w:eastAsia="zh-CN"/>
              </w:rPr>
            </w:pPr>
            <w:r w:rsidRPr="00F712CC">
              <w:rPr>
                <w:rFonts w:ascii="Arial" w:eastAsia="Times New Roman" w:hAnsi="Arial" w:cs="Arial"/>
                <w:b/>
                <w:bCs/>
                <w:color w:val="000000"/>
                <w:lang w:eastAsia="zh-CN"/>
              </w:rPr>
              <w:t>Cohort</w:t>
            </w:r>
          </w:p>
        </w:tc>
        <w:tc>
          <w:tcPr>
            <w:tcW w:w="1220" w:type="dxa"/>
            <w:noWrap/>
            <w:vAlign w:val="center"/>
            <w:hideMark/>
          </w:tcPr>
          <w:p w:rsidR="00B83265" w:rsidRPr="00F712CC" w:rsidRDefault="00B83265" w:rsidP="00F712CC">
            <w:pPr>
              <w:spacing w:after="0"/>
              <w:rPr>
                <w:rFonts w:ascii="Arial" w:eastAsia="Times New Roman" w:hAnsi="Arial" w:cs="Arial"/>
                <w:b/>
                <w:bCs/>
                <w:color w:val="000000"/>
                <w:lang w:eastAsia="zh-CN"/>
              </w:rPr>
            </w:pPr>
            <w:r w:rsidRPr="00F712CC">
              <w:rPr>
                <w:rFonts w:ascii="Arial" w:eastAsia="Times New Roman" w:hAnsi="Arial" w:cs="Arial"/>
                <w:b/>
                <w:bCs/>
                <w:color w:val="000000"/>
                <w:lang w:eastAsia="zh-CN"/>
              </w:rPr>
              <w:t>Baseline</w:t>
            </w:r>
          </w:p>
        </w:tc>
        <w:tc>
          <w:tcPr>
            <w:tcW w:w="1221" w:type="dxa"/>
            <w:noWrap/>
            <w:vAlign w:val="center"/>
            <w:hideMark/>
          </w:tcPr>
          <w:p w:rsidR="00B83265" w:rsidRPr="00F712CC" w:rsidRDefault="00B83265" w:rsidP="00F712CC">
            <w:pPr>
              <w:spacing w:after="0"/>
              <w:rPr>
                <w:rFonts w:ascii="Arial" w:eastAsia="Times New Roman" w:hAnsi="Arial" w:cs="Arial"/>
                <w:b/>
                <w:bCs/>
                <w:color w:val="000000"/>
                <w:lang w:eastAsia="zh-CN"/>
              </w:rPr>
            </w:pPr>
            <w:r w:rsidRPr="00F712CC">
              <w:rPr>
                <w:rFonts w:ascii="Arial" w:eastAsia="Times New Roman" w:hAnsi="Arial" w:cs="Arial"/>
                <w:b/>
                <w:bCs/>
                <w:color w:val="000000"/>
                <w:lang w:eastAsia="zh-CN"/>
              </w:rPr>
              <w:t>Review 1</w:t>
            </w:r>
          </w:p>
        </w:tc>
        <w:tc>
          <w:tcPr>
            <w:tcW w:w="1221" w:type="dxa"/>
            <w:noWrap/>
            <w:vAlign w:val="center"/>
            <w:hideMark/>
          </w:tcPr>
          <w:p w:rsidR="00B83265" w:rsidRPr="00F712CC" w:rsidRDefault="00B83265" w:rsidP="00F712CC">
            <w:pPr>
              <w:spacing w:after="0"/>
              <w:rPr>
                <w:rFonts w:ascii="Arial" w:eastAsia="Times New Roman" w:hAnsi="Arial" w:cs="Arial"/>
                <w:b/>
                <w:bCs/>
                <w:color w:val="000000"/>
                <w:lang w:eastAsia="zh-CN"/>
              </w:rPr>
            </w:pPr>
            <w:r w:rsidRPr="00F712CC">
              <w:rPr>
                <w:rFonts w:ascii="Arial" w:eastAsia="Times New Roman" w:hAnsi="Arial" w:cs="Arial"/>
                <w:b/>
                <w:bCs/>
                <w:color w:val="000000"/>
                <w:lang w:eastAsia="zh-CN"/>
              </w:rPr>
              <w:t>Review 2</w:t>
            </w:r>
          </w:p>
        </w:tc>
        <w:tc>
          <w:tcPr>
            <w:tcW w:w="1220" w:type="dxa"/>
            <w:noWrap/>
            <w:vAlign w:val="center"/>
            <w:hideMark/>
          </w:tcPr>
          <w:p w:rsidR="00B83265" w:rsidRPr="00F712CC" w:rsidRDefault="00B83265" w:rsidP="00F712CC">
            <w:pPr>
              <w:spacing w:after="0"/>
              <w:rPr>
                <w:rFonts w:ascii="Arial" w:eastAsia="Times New Roman" w:hAnsi="Arial" w:cs="Arial"/>
                <w:b/>
                <w:bCs/>
                <w:color w:val="000000"/>
                <w:lang w:eastAsia="zh-CN"/>
              </w:rPr>
            </w:pPr>
            <w:r w:rsidRPr="00F712CC">
              <w:rPr>
                <w:rFonts w:ascii="Arial" w:eastAsia="Times New Roman" w:hAnsi="Arial" w:cs="Arial"/>
                <w:b/>
                <w:bCs/>
                <w:color w:val="000000"/>
                <w:lang w:eastAsia="zh-CN"/>
              </w:rPr>
              <w:t>Review 3</w:t>
            </w:r>
          </w:p>
        </w:tc>
        <w:tc>
          <w:tcPr>
            <w:tcW w:w="1221" w:type="dxa"/>
            <w:noWrap/>
            <w:vAlign w:val="center"/>
            <w:hideMark/>
          </w:tcPr>
          <w:p w:rsidR="00B83265" w:rsidRPr="00F712CC" w:rsidRDefault="00B83265" w:rsidP="00F712CC">
            <w:pPr>
              <w:spacing w:after="0"/>
              <w:rPr>
                <w:rFonts w:ascii="Arial" w:eastAsia="Times New Roman" w:hAnsi="Arial" w:cs="Arial"/>
                <w:b/>
                <w:bCs/>
                <w:color w:val="000000"/>
                <w:lang w:eastAsia="zh-CN"/>
              </w:rPr>
            </w:pPr>
            <w:r w:rsidRPr="00F712CC">
              <w:rPr>
                <w:rFonts w:ascii="Arial" w:eastAsia="Times New Roman" w:hAnsi="Arial" w:cs="Arial"/>
                <w:b/>
                <w:bCs/>
                <w:color w:val="000000"/>
                <w:lang w:eastAsia="zh-CN"/>
              </w:rPr>
              <w:t>Review 4</w:t>
            </w:r>
          </w:p>
        </w:tc>
        <w:tc>
          <w:tcPr>
            <w:tcW w:w="1221" w:type="dxa"/>
            <w:vAlign w:val="center"/>
          </w:tcPr>
          <w:p w:rsidR="00B83265" w:rsidRPr="00F712CC" w:rsidRDefault="00B83265" w:rsidP="00F712CC">
            <w:pPr>
              <w:spacing w:after="0"/>
              <w:rPr>
                <w:rFonts w:ascii="Arial" w:eastAsia="Times New Roman" w:hAnsi="Arial" w:cs="Arial"/>
                <w:b/>
                <w:bCs/>
                <w:color w:val="000000"/>
                <w:lang w:eastAsia="zh-CN"/>
              </w:rPr>
            </w:pPr>
            <w:r w:rsidRPr="00F712CC">
              <w:rPr>
                <w:rFonts w:ascii="Arial" w:eastAsia="Times New Roman" w:hAnsi="Arial" w:cs="Arial"/>
                <w:b/>
                <w:bCs/>
                <w:color w:val="000000"/>
                <w:lang w:eastAsia="zh-CN"/>
              </w:rPr>
              <w:t>Review 5</w:t>
            </w:r>
          </w:p>
        </w:tc>
      </w:tr>
      <w:tr w:rsidR="00B83265" w:rsidRPr="00F712CC" w:rsidTr="00F712CC">
        <w:trPr>
          <w:trHeight w:val="264"/>
        </w:trPr>
        <w:tc>
          <w:tcPr>
            <w:tcW w:w="2547" w:type="dxa"/>
            <w:noWrap/>
            <w:vAlign w:val="center"/>
          </w:tcPr>
          <w:p w:rsidR="00B83265" w:rsidRPr="00F712CC" w:rsidRDefault="00B83265" w:rsidP="00F712CC">
            <w:pPr>
              <w:spacing w:after="0"/>
              <w:rPr>
                <w:rFonts w:ascii="Arial" w:hAnsi="Arial" w:cs="Arial"/>
                <w:color w:val="000000"/>
              </w:rPr>
            </w:pPr>
            <w:r w:rsidRPr="00F712CC">
              <w:rPr>
                <w:rFonts w:ascii="Arial" w:hAnsi="Arial" w:cs="Arial"/>
              </w:rPr>
              <w:t>5 year</w:t>
            </w:r>
          </w:p>
        </w:tc>
        <w:tc>
          <w:tcPr>
            <w:tcW w:w="1220" w:type="dxa"/>
            <w:noWrap/>
            <w:vAlign w:val="center"/>
          </w:tcPr>
          <w:p w:rsidR="00B83265" w:rsidRPr="00F712CC" w:rsidRDefault="00B83265" w:rsidP="00F712CC">
            <w:pPr>
              <w:spacing w:after="0"/>
              <w:rPr>
                <w:rFonts w:ascii="Arial" w:hAnsi="Arial" w:cs="Arial"/>
              </w:rPr>
            </w:pPr>
            <w:r w:rsidRPr="00F712CC">
              <w:rPr>
                <w:rFonts w:ascii="Arial" w:hAnsi="Arial" w:cs="Arial"/>
              </w:rPr>
              <w:t>57.9%</w:t>
            </w:r>
          </w:p>
        </w:tc>
        <w:tc>
          <w:tcPr>
            <w:tcW w:w="1221" w:type="dxa"/>
            <w:noWrap/>
            <w:vAlign w:val="center"/>
          </w:tcPr>
          <w:p w:rsidR="00B83265" w:rsidRPr="00F712CC" w:rsidRDefault="00B83265" w:rsidP="00F712CC">
            <w:pPr>
              <w:spacing w:after="0"/>
              <w:rPr>
                <w:rFonts w:ascii="Arial" w:hAnsi="Arial" w:cs="Arial"/>
              </w:rPr>
            </w:pPr>
            <w:r w:rsidRPr="00F712CC">
              <w:rPr>
                <w:rFonts w:ascii="Arial" w:hAnsi="Arial" w:cs="Arial"/>
              </w:rPr>
              <w:t>60.0%</w:t>
            </w:r>
          </w:p>
        </w:tc>
        <w:tc>
          <w:tcPr>
            <w:tcW w:w="1221" w:type="dxa"/>
            <w:noWrap/>
            <w:vAlign w:val="center"/>
          </w:tcPr>
          <w:p w:rsidR="00B83265" w:rsidRPr="00F712CC" w:rsidRDefault="00B83265" w:rsidP="00F712CC">
            <w:pPr>
              <w:spacing w:after="0"/>
              <w:rPr>
                <w:rFonts w:ascii="Arial" w:hAnsi="Arial" w:cs="Arial"/>
              </w:rPr>
            </w:pPr>
            <w:r w:rsidRPr="00F712CC">
              <w:rPr>
                <w:rFonts w:ascii="Arial" w:hAnsi="Arial" w:cs="Arial"/>
              </w:rPr>
              <w:t>84.0%</w:t>
            </w:r>
          </w:p>
        </w:tc>
        <w:tc>
          <w:tcPr>
            <w:tcW w:w="1220" w:type="dxa"/>
            <w:noWrap/>
            <w:vAlign w:val="center"/>
          </w:tcPr>
          <w:p w:rsidR="00B83265" w:rsidRPr="00F712CC" w:rsidRDefault="00B83265" w:rsidP="00F712CC">
            <w:pPr>
              <w:spacing w:after="0"/>
              <w:rPr>
                <w:rFonts w:ascii="Arial" w:hAnsi="Arial" w:cs="Arial"/>
              </w:rPr>
            </w:pPr>
            <w:r w:rsidRPr="00F712CC">
              <w:rPr>
                <w:rFonts w:ascii="Arial" w:hAnsi="Arial" w:cs="Arial"/>
              </w:rPr>
              <w:t>75.0%</w:t>
            </w:r>
          </w:p>
        </w:tc>
        <w:tc>
          <w:tcPr>
            <w:tcW w:w="1221" w:type="dxa"/>
            <w:noWrap/>
            <w:vAlign w:val="center"/>
          </w:tcPr>
          <w:p w:rsidR="00B83265" w:rsidRPr="00F712CC" w:rsidRDefault="00B83265" w:rsidP="00F712CC">
            <w:pPr>
              <w:spacing w:after="0"/>
              <w:rPr>
                <w:rFonts w:ascii="Arial" w:hAnsi="Arial" w:cs="Arial"/>
              </w:rPr>
            </w:pPr>
            <w:r w:rsidRPr="00F712CC">
              <w:rPr>
                <w:rFonts w:ascii="Arial" w:hAnsi="Arial" w:cs="Arial"/>
              </w:rPr>
              <w:t>82.9%</w:t>
            </w:r>
          </w:p>
        </w:tc>
        <w:tc>
          <w:tcPr>
            <w:tcW w:w="1221" w:type="dxa"/>
            <w:vAlign w:val="center"/>
          </w:tcPr>
          <w:p w:rsidR="00B83265" w:rsidRPr="00F712CC" w:rsidRDefault="00B83265" w:rsidP="00F712CC">
            <w:pPr>
              <w:spacing w:after="0"/>
              <w:rPr>
                <w:rFonts w:ascii="Arial" w:hAnsi="Arial" w:cs="Arial"/>
              </w:rPr>
            </w:pPr>
            <w:r w:rsidRPr="00F712CC">
              <w:rPr>
                <w:rFonts w:ascii="Arial" w:hAnsi="Arial" w:cs="Arial"/>
              </w:rPr>
              <w:t>77.6%</w:t>
            </w:r>
          </w:p>
        </w:tc>
      </w:tr>
      <w:tr w:rsidR="00B83265" w:rsidRPr="00F712CC" w:rsidTr="00F712CC">
        <w:trPr>
          <w:trHeight w:val="264"/>
        </w:trPr>
        <w:tc>
          <w:tcPr>
            <w:tcW w:w="2547" w:type="dxa"/>
            <w:noWrap/>
            <w:vAlign w:val="center"/>
          </w:tcPr>
          <w:p w:rsidR="00B83265" w:rsidRPr="00F712CC" w:rsidRDefault="00B83265" w:rsidP="00F712CC">
            <w:pPr>
              <w:spacing w:after="0"/>
              <w:rPr>
                <w:rFonts w:ascii="Arial" w:hAnsi="Arial" w:cs="Arial"/>
              </w:rPr>
            </w:pPr>
            <w:r w:rsidRPr="00F712CC">
              <w:rPr>
                <w:rFonts w:ascii="Arial" w:hAnsi="Arial" w:cs="Arial"/>
              </w:rPr>
              <w:t>4 year</w:t>
            </w:r>
          </w:p>
        </w:tc>
        <w:tc>
          <w:tcPr>
            <w:tcW w:w="1220" w:type="dxa"/>
            <w:noWrap/>
            <w:vAlign w:val="center"/>
          </w:tcPr>
          <w:p w:rsidR="00B83265" w:rsidRPr="00F712CC" w:rsidRDefault="00B83265" w:rsidP="00F712CC">
            <w:pPr>
              <w:spacing w:after="0"/>
              <w:rPr>
                <w:rFonts w:ascii="Arial" w:hAnsi="Arial" w:cs="Arial"/>
              </w:rPr>
            </w:pPr>
            <w:r w:rsidRPr="00F712CC">
              <w:rPr>
                <w:rFonts w:ascii="Arial" w:hAnsi="Arial" w:cs="Arial"/>
              </w:rPr>
              <w:t>59.1%</w:t>
            </w:r>
          </w:p>
        </w:tc>
        <w:tc>
          <w:tcPr>
            <w:tcW w:w="1221" w:type="dxa"/>
            <w:noWrap/>
            <w:vAlign w:val="center"/>
          </w:tcPr>
          <w:p w:rsidR="00B83265" w:rsidRPr="00F712CC" w:rsidRDefault="00B83265" w:rsidP="00F712CC">
            <w:pPr>
              <w:spacing w:after="0"/>
              <w:rPr>
                <w:rFonts w:ascii="Arial" w:hAnsi="Arial" w:cs="Arial"/>
              </w:rPr>
            </w:pPr>
            <w:r w:rsidRPr="00F712CC">
              <w:rPr>
                <w:rFonts w:ascii="Arial" w:hAnsi="Arial" w:cs="Arial"/>
              </w:rPr>
              <w:t>68.2%</w:t>
            </w:r>
          </w:p>
        </w:tc>
        <w:tc>
          <w:tcPr>
            <w:tcW w:w="1221" w:type="dxa"/>
            <w:noWrap/>
            <w:vAlign w:val="center"/>
          </w:tcPr>
          <w:p w:rsidR="00B83265" w:rsidRPr="00F712CC" w:rsidRDefault="00B83265" w:rsidP="00F712CC">
            <w:pPr>
              <w:spacing w:after="0"/>
              <w:rPr>
                <w:rFonts w:ascii="Arial" w:hAnsi="Arial" w:cs="Arial"/>
              </w:rPr>
            </w:pPr>
            <w:r w:rsidRPr="00F712CC">
              <w:rPr>
                <w:rFonts w:ascii="Arial" w:hAnsi="Arial" w:cs="Arial"/>
              </w:rPr>
              <w:t>72.0%</w:t>
            </w:r>
          </w:p>
        </w:tc>
        <w:tc>
          <w:tcPr>
            <w:tcW w:w="1220" w:type="dxa"/>
            <w:noWrap/>
            <w:vAlign w:val="center"/>
          </w:tcPr>
          <w:p w:rsidR="00B83265" w:rsidRPr="00F712CC" w:rsidRDefault="00B83265" w:rsidP="00F712CC">
            <w:pPr>
              <w:spacing w:after="0"/>
              <w:rPr>
                <w:rFonts w:ascii="Arial" w:hAnsi="Arial" w:cs="Arial"/>
              </w:rPr>
            </w:pPr>
            <w:r w:rsidRPr="00F712CC">
              <w:rPr>
                <w:rFonts w:ascii="Arial" w:hAnsi="Arial" w:cs="Arial"/>
              </w:rPr>
              <w:t>71.1%</w:t>
            </w:r>
          </w:p>
        </w:tc>
        <w:tc>
          <w:tcPr>
            <w:tcW w:w="1221" w:type="dxa"/>
            <w:noWrap/>
            <w:vAlign w:val="center"/>
          </w:tcPr>
          <w:p w:rsidR="00B83265" w:rsidRPr="00F712CC" w:rsidRDefault="00B83265" w:rsidP="00F712CC">
            <w:pPr>
              <w:spacing w:after="0"/>
              <w:rPr>
                <w:rFonts w:ascii="Arial" w:hAnsi="Arial" w:cs="Arial"/>
              </w:rPr>
            </w:pPr>
            <w:r w:rsidRPr="00F712CC">
              <w:rPr>
                <w:rFonts w:ascii="Arial" w:hAnsi="Arial" w:cs="Arial"/>
              </w:rPr>
              <w:t>75.4%</w:t>
            </w:r>
          </w:p>
        </w:tc>
        <w:tc>
          <w:tcPr>
            <w:tcW w:w="1221" w:type="dxa"/>
            <w:vAlign w:val="center"/>
          </w:tcPr>
          <w:p w:rsidR="00B83265" w:rsidRPr="00F712CC" w:rsidRDefault="00B83265" w:rsidP="00F712CC">
            <w:pPr>
              <w:spacing w:after="0"/>
              <w:rPr>
                <w:rFonts w:ascii="Arial" w:hAnsi="Arial" w:cs="Arial"/>
              </w:rPr>
            </w:pPr>
          </w:p>
        </w:tc>
      </w:tr>
      <w:tr w:rsidR="00B83265" w:rsidRPr="00F712CC" w:rsidTr="00F712CC">
        <w:trPr>
          <w:trHeight w:val="264"/>
        </w:trPr>
        <w:tc>
          <w:tcPr>
            <w:tcW w:w="2547" w:type="dxa"/>
            <w:noWrap/>
            <w:vAlign w:val="center"/>
          </w:tcPr>
          <w:p w:rsidR="00B83265" w:rsidRPr="00F712CC" w:rsidRDefault="00B83265" w:rsidP="00F712CC">
            <w:pPr>
              <w:spacing w:after="0"/>
              <w:rPr>
                <w:rFonts w:ascii="Arial" w:hAnsi="Arial" w:cs="Arial"/>
              </w:rPr>
            </w:pPr>
            <w:r w:rsidRPr="00F712CC">
              <w:rPr>
                <w:rFonts w:ascii="Arial" w:hAnsi="Arial" w:cs="Arial"/>
              </w:rPr>
              <w:t>3 years</w:t>
            </w:r>
          </w:p>
        </w:tc>
        <w:tc>
          <w:tcPr>
            <w:tcW w:w="1220" w:type="dxa"/>
            <w:noWrap/>
            <w:vAlign w:val="center"/>
          </w:tcPr>
          <w:p w:rsidR="00B83265" w:rsidRPr="00F712CC" w:rsidRDefault="00B83265" w:rsidP="00F712CC">
            <w:pPr>
              <w:spacing w:after="0"/>
              <w:rPr>
                <w:rFonts w:ascii="Arial" w:hAnsi="Arial" w:cs="Arial"/>
              </w:rPr>
            </w:pPr>
            <w:r w:rsidRPr="00F712CC">
              <w:rPr>
                <w:rFonts w:ascii="Arial" w:hAnsi="Arial" w:cs="Arial"/>
              </w:rPr>
              <w:t>65.7%</w:t>
            </w:r>
          </w:p>
        </w:tc>
        <w:tc>
          <w:tcPr>
            <w:tcW w:w="1221" w:type="dxa"/>
            <w:noWrap/>
            <w:vAlign w:val="center"/>
          </w:tcPr>
          <w:p w:rsidR="00B83265" w:rsidRPr="00F712CC" w:rsidRDefault="00B83265" w:rsidP="00F712CC">
            <w:pPr>
              <w:spacing w:after="0"/>
              <w:rPr>
                <w:rFonts w:ascii="Arial" w:hAnsi="Arial" w:cs="Arial"/>
              </w:rPr>
            </w:pPr>
            <w:r w:rsidRPr="00F712CC">
              <w:rPr>
                <w:rFonts w:ascii="Arial" w:hAnsi="Arial" w:cs="Arial"/>
              </w:rPr>
              <w:t>77.9%</w:t>
            </w:r>
          </w:p>
        </w:tc>
        <w:tc>
          <w:tcPr>
            <w:tcW w:w="1221" w:type="dxa"/>
            <w:noWrap/>
            <w:vAlign w:val="center"/>
          </w:tcPr>
          <w:p w:rsidR="00B83265" w:rsidRPr="00F712CC" w:rsidRDefault="00B83265" w:rsidP="00F712CC">
            <w:pPr>
              <w:spacing w:after="0"/>
              <w:rPr>
                <w:rFonts w:ascii="Arial" w:hAnsi="Arial" w:cs="Arial"/>
              </w:rPr>
            </w:pPr>
            <w:r w:rsidRPr="00F712CC">
              <w:rPr>
                <w:rFonts w:ascii="Arial" w:hAnsi="Arial" w:cs="Arial"/>
              </w:rPr>
              <w:t>77.3%</w:t>
            </w:r>
          </w:p>
        </w:tc>
        <w:tc>
          <w:tcPr>
            <w:tcW w:w="1220" w:type="dxa"/>
            <w:noWrap/>
            <w:vAlign w:val="center"/>
          </w:tcPr>
          <w:p w:rsidR="00B83265" w:rsidRPr="00F712CC" w:rsidRDefault="00B83265" w:rsidP="00F712CC">
            <w:pPr>
              <w:spacing w:after="0"/>
              <w:rPr>
                <w:rFonts w:ascii="Arial" w:hAnsi="Arial" w:cs="Arial"/>
              </w:rPr>
            </w:pPr>
            <w:r w:rsidRPr="00F712CC">
              <w:rPr>
                <w:rFonts w:ascii="Arial" w:hAnsi="Arial" w:cs="Arial"/>
              </w:rPr>
              <w:t>78.3%</w:t>
            </w:r>
          </w:p>
        </w:tc>
        <w:tc>
          <w:tcPr>
            <w:tcW w:w="1221" w:type="dxa"/>
            <w:noWrap/>
            <w:vAlign w:val="center"/>
          </w:tcPr>
          <w:p w:rsidR="00B83265" w:rsidRPr="00F712CC" w:rsidRDefault="00B83265" w:rsidP="00F712CC">
            <w:pPr>
              <w:spacing w:after="0"/>
              <w:rPr>
                <w:rFonts w:ascii="Arial" w:hAnsi="Arial" w:cs="Arial"/>
              </w:rPr>
            </w:pPr>
          </w:p>
        </w:tc>
        <w:tc>
          <w:tcPr>
            <w:tcW w:w="1221" w:type="dxa"/>
            <w:vAlign w:val="center"/>
          </w:tcPr>
          <w:p w:rsidR="00B83265" w:rsidRPr="00F712CC" w:rsidRDefault="00B83265" w:rsidP="00F712CC">
            <w:pPr>
              <w:spacing w:after="0"/>
              <w:rPr>
                <w:rFonts w:ascii="Arial" w:hAnsi="Arial" w:cs="Arial"/>
              </w:rPr>
            </w:pPr>
          </w:p>
        </w:tc>
      </w:tr>
      <w:tr w:rsidR="00B83265" w:rsidRPr="00F712CC" w:rsidTr="00F712CC">
        <w:trPr>
          <w:trHeight w:val="264"/>
        </w:trPr>
        <w:tc>
          <w:tcPr>
            <w:tcW w:w="2547" w:type="dxa"/>
            <w:noWrap/>
            <w:vAlign w:val="center"/>
          </w:tcPr>
          <w:p w:rsidR="00B83265" w:rsidRPr="00F712CC" w:rsidRDefault="00B83265" w:rsidP="00F712CC">
            <w:pPr>
              <w:spacing w:after="0"/>
              <w:rPr>
                <w:rFonts w:ascii="Arial" w:hAnsi="Arial" w:cs="Arial"/>
              </w:rPr>
            </w:pPr>
            <w:r w:rsidRPr="00F712CC">
              <w:rPr>
                <w:rFonts w:ascii="Arial" w:hAnsi="Arial" w:cs="Arial"/>
              </w:rPr>
              <w:t>2 years</w:t>
            </w:r>
          </w:p>
        </w:tc>
        <w:tc>
          <w:tcPr>
            <w:tcW w:w="1220" w:type="dxa"/>
            <w:noWrap/>
            <w:vAlign w:val="center"/>
          </w:tcPr>
          <w:p w:rsidR="00B83265" w:rsidRPr="00F712CC" w:rsidRDefault="00B83265" w:rsidP="00F712CC">
            <w:pPr>
              <w:spacing w:after="0"/>
              <w:rPr>
                <w:rFonts w:ascii="Arial" w:hAnsi="Arial" w:cs="Arial"/>
              </w:rPr>
            </w:pPr>
            <w:r w:rsidRPr="00F712CC">
              <w:rPr>
                <w:rFonts w:ascii="Arial" w:hAnsi="Arial" w:cs="Arial"/>
              </w:rPr>
              <w:t>70.2%</w:t>
            </w:r>
          </w:p>
        </w:tc>
        <w:tc>
          <w:tcPr>
            <w:tcW w:w="1221" w:type="dxa"/>
            <w:noWrap/>
            <w:vAlign w:val="center"/>
          </w:tcPr>
          <w:p w:rsidR="00B83265" w:rsidRPr="00F712CC" w:rsidRDefault="00B83265" w:rsidP="00F712CC">
            <w:pPr>
              <w:spacing w:after="0"/>
              <w:rPr>
                <w:rFonts w:ascii="Arial" w:hAnsi="Arial" w:cs="Arial"/>
              </w:rPr>
            </w:pPr>
            <w:r w:rsidRPr="00F712CC">
              <w:rPr>
                <w:rFonts w:ascii="Arial" w:hAnsi="Arial" w:cs="Arial"/>
              </w:rPr>
              <w:t>70.5%</w:t>
            </w:r>
          </w:p>
        </w:tc>
        <w:tc>
          <w:tcPr>
            <w:tcW w:w="1221" w:type="dxa"/>
            <w:noWrap/>
            <w:vAlign w:val="center"/>
          </w:tcPr>
          <w:p w:rsidR="00B83265" w:rsidRPr="00F712CC" w:rsidRDefault="00B83265" w:rsidP="00F712CC">
            <w:pPr>
              <w:spacing w:after="0"/>
              <w:rPr>
                <w:rFonts w:ascii="Arial" w:hAnsi="Arial" w:cs="Arial"/>
              </w:rPr>
            </w:pPr>
            <w:r w:rsidRPr="00F712CC">
              <w:rPr>
                <w:rFonts w:ascii="Arial" w:hAnsi="Arial" w:cs="Arial"/>
              </w:rPr>
              <w:t>75.6%</w:t>
            </w:r>
          </w:p>
        </w:tc>
        <w:tc>
          <w:tcPr>
            <w:tcW w:w="1220" w:type="dxa"/>
            <w:noWrap/>
            <w:vAlign w:val="center"/>
          </w:tcPr>
          <w:p w:rsidR="00B83265" w:rsidRPr="00F712CC" w:rsidRDefault="00B83265" w:rsidP="00F712CC">
            <w:pPr>
              <w:spacing w:after="0"/>
              <w:rPr>
                <w:rFonts w:ascii="Arial" w:hAnsi="Arial" w:cs="Arial"/>
              </w:rPr>
            </w:pPr>
          </w:p>
        </w:tc>
        <w:tc>
          <w:tcPr>
            <w:tcW w:w="1221" w:type="dxa"/>
            <w:noWrap/>
            <w:vAlign w:val="center"/>
          </w:tcPr>
          <w:p w:rsidR="00B83265" w:rsidRPr="00F712CC" w:rsidRDefault="00B83265" w:rsidP="00F712CC">
            <w:pPr>
              <w:spacing w:after="0"/>
              <w:rPr>
                <w:rFonts w:ascii="Arial" w:hAnsi="Arial" w:cs="Arial"/>
              </w:rPr>
            </w:pPr>
          </w:p>
        </w:tc>
        <w:tc>
          <w:tcPr>
            <w:tcW w:w="1221" w:type="dxa"/>
            <w:vAlign w:val="center"/>
          </w:tcPr>
          <w:p w:rsidR="00B83265" w:rsidRPr="00F712CC" w:rsidRDefault="00B83265" w:rsidP="00F712CC">
            <w:pPr>
              <w:spacing w:after="0"/>
              <w:rPr>
                <w:rFonts w:ascii="Arial" w:hAnsi="Arial" w:cs="Arial"/>
              </w:rPr>
            </w:pPr>
          </w:p>
        </w:tc>
      </w:tr>
      <w:tr w:rsidR="00B83265" w:rsidRPr="00F712CC" w:rsidTr="00F712CC">
        <w:trPr>
          <w:trHeight w:val="264"/>
        </w:trPr>
        <w:tc>
          <w:tcPr>
            <w:tcW w:w="2547" w:type="dxa"/>
            <w:noWrap/>
            <w:vAlign w:val="center"/>
          </w:tcPr>
          <w:p w:rsidR="00B83265" w:rsidRPr="00F712CC" w:rsidRDefault="00B83265" w:rsidP="00F712CC">
            <w:pPr>
              <w:spacing w:after="0"/>
              <w:rPr>
                <w:rFonts w:ascii="Arial" w:hAnsi="Arial" w:cs="Arial"/>
              </w:rPr>
            </w:pPr>
            <w:r w:rsidRPr="00F712CC">
              <w:rPr>
                <w:rFonts w:ascii="Arial" w:hAnsi="Arial" w:cs="Arial"/>
              </w:rPr>
              <w:t>1 year</w:t>
            </w:r>
          </w:p>
        </w:tc>
        <w:tc>
          <w:tcPr>
            <w:tcW w:w="1220" w:type="dxa"/>
            <w:noWrap/>
            <w:vAlign w:val="center"/>
          </w:tcPr>
          <w:p w:rsidR="00B83265" w:rsidRPr="00F712CC" w:rsidRDefault="00B83265" w:rsidP="00F712CC">
            <w:pPr>
              <w:spacing w:after="0"/>
              <w:rPr>
                <w:rFonts w:ascii="Arial" w:hAnsi="Arial" w:cs="Arial"/>
              </w:rPr>
            </w:pPr>
            <w:r w:rsidRPr="00F712CC">
              <w:rPr>
                <w:rFonts w:ascii="Arial" w:hAnsi="Arial" w:cs="Arial"/>
              </w:rPr>
              <w:t>71.6%</w:t>
            </w:r>
          </w:p>
        </w:tc>
        <w:tc>
          <w:tcPr>
            <w:tcW w:w="1221" w:type="dxa"/>
            <w:noWrap/>
            <w:vAlign w:val="center"/>
          </w:tcPr>
          <w:p w:rsidR="00B83265" w:rsidRPr="00F712CC" w:rsidRDefault="00B83265" w:rsidP="00F712CC">
            <w:pPr>
              <w:spacing w:after="0"/>
              <w:rPr>
                <w:rFonts w:ascii="Arial" w:hAnsi="Arial" w:cs="Arial"/>
              </w:rPr>
            </w:pPr>
            <w:r w:rsidRPr="00F712CC">
              <w:rPr>
                <w:rFonts w:ascii="Arial" w:hAnsi="Arial" w:cs="Arial"/>
              </w:rPr>
              <w:t>76.3%</w:t>
            </w:r>
          </w:p>
        </w:tc>
        <w:tc>
          <w:tcPr>
            <w:tcW w:w="1221" w:type="dxa"/>
            <w:noWrap/>
            <w:vAlign w:val="center"/>
          </w:tcPr>
          <w:p w:rsidR="00B83265" w:rsidRPr="00F712CC" w:rsidRDefault="00B83265" w:rsidP="00F712CC">
            <w:pPr>
              <w:spacing w:after="0"/>
              <w:rPr>
                <w:rFonts w:ascii="Arial" w:hAnsi="Arial" w:cs="Arial"/>
              </w:rPr>
            </w:pPr>
          </w:p>
        </w:tc>
        <w:tc>
          <w:tcPr>
            <w:tcW w:w="1220" w:type="dxa"/>
            <w:noWrap/>
            <w:vAlign w:val="center"/>
          </w:tcPr>
          <w:p w:rsidR="00B83265" w:rsidRPr="00F712CC" w:rsidRDefault="00B83265" w:rsidP="00F712CC">
            <w:pPr>
              <w:spacing w:after="0"/>
              <w:rPr>
                <w:rFonts w:ascii="Arial" w:hAnsi="Arial" w:cs="Arial"/>
              </w:rPr>
            </w:pPr>
          </w:p>
        </w:tc>
        <w:tc>
          <w:tcPr>
            <w:tcW w:w="1221" w:type="dxa"/>
            <w:noWrap/>
            <w:vAlign w:val="center"/>
          </w:tcPr>
          <w:p w:rsidR="00B83265" w:rsidRPr="00F712CC" w:rsidRDefault="00B83265" w:rsidP="00F712CC">
            <w:pPr>
              <w:spacing w:after="0"/>
              <w:rPr>
                <w:rFonts w:ascii="Arial" w:hAnsi="Arial" w:cs="Arial"/>
              </w:rPr>
            </w:pPr>
          </w:p>
        </w:tc>
        <w:tc>
          <w:tcPr>
            <w:tcW w:w="1221" w:type="dxa"/>
            <w:vAlign w:val="center"/>
          </w:tcPr>
          <w:p w:rsidR="00B83265" w:rsidRPr="00F712CC" w:rsidRDefault="00B83265" w:rsidP="00F712CC">
            <w:pPr>
              <w:spacing w:after="0"/>
              <w:rPr>
                <w:rFonts w:ascii="Arial" w:hAnsi="Arial" w:cs="Arial"/>
              </w:rPr>
            </w:pPr>
          </w:p>
        </w:tc>
      </w:tr>
    </w:tbl>
    <w:p w:rsidR="00B83265" w:rsidRDefault="00B83265" w:rsidP="00B83265">
      <w:pPr>
        <w:spacing w:after="240"/>
        <w:rPr>
          <w:rFonts w:cstheme="minorHAnsi"/>
        </w:rPr>
      </w:pPr>
    </w:p>
    <w:p w:rsidR="00B83265" w:rsidRPr="002817DE" w:rsidRDefault="00B83265" w:rsidP="002817DE">
      <w:pPr>
        <w:pStyle w:val="Heading2"/>
      </w:pPr>
      <w:bookmarkStart w:id="61" w:name="_Toc121151433"/>
      <w:r w:rsidRPr="002817DE">
        <w:t>Slide 51: Participants aged 15 and over – Choice and control</w:t>
      </w:r>
      <w:bookmarkEnd w:id="61"/>
    </w:p>
    <w:p w:rsidR="00B83265" w:rsidRPr="00BB5E10" w:rsidRDefault="00B83265" w:rsidP="00B83265">
      <w:pPr>
        <w:rPr>
          <w:b/>
        </w:rPr>
      </w:pPr>
      <w:r w:rsidRPr="00BB5E10">
        <w:rPr>
          <w:b/>
        </w:rPr>
        <w:t xml:space="preserve">% who </w:t>
      </w:r>
      <w:r>
        <w:rPr>
          <w:b/>
        </w:rPr>
        <w:t>feel able to advocate (stand up) for themselves</w:t>
      </w:r>
    </w:p>
    <w:p w:rsidR="00B83265" w:rsidRPr="00C7140B" w:rsidRDefault="00B83265" w:rsidP="00B83265">
      <w:pPr>
        <w:spacing w:after="240"/>
        <w:rPr>
          <w:rFonts w:cstheme="minorHAnsi"/>
        </w:rPr>
      </w:pPr>
      <w:r w:rsidRPr="00C7140B">
        <w:rPr>
          <w:rFonts w:cstheme="minorHAnsi"/>
        </w:rPr>
        <w:t>Participants aged 15 and over are less likely to feel able to advocate (stand up) for themselves over time. Over a five year period, there was a 4.8 percentage point decrease between baseline (44.5%) and fifth review (39.8%). This declining trend is also evident for cohorts 3 and 4, while there has been no real change for cohorts 1 and 2.</w:t>
      </w:r>
    </w:p>
    <w:p w:rsidR="00B83265" w:rsidRDefault="00B83265" w:rsidP="00B83265">
      <w:pPr>
        <w:spacing w:after="240"/>
        <w:rPr>
          <w:rFonts w:cstheme="minorHAnsi"/>
        </w:rPr>
      </w:pPr>
      <w:r w:rsidRPr="00C7140B">
        <w:rPr>
          <w:rFonts w:cstheme="minorHAnsi"/>
        </w:rPr>
        <w:t>There is a declining trend across all age groups, except participants in the S-14/15-24 age group where there are slight improvements at later review periods. However, this age group has the lowest percentage of participants reporting positively – 22.2% at fourth review for cohort 4. The 25+ age group had the highest percentage of participants reporting that they feel able to advocate for themselves (46.4% at fourth review for cohort 4).</w:t>
      </w:r>
    </w:p>
    <w:p w:rsidR="00A834D9" w:rsidRDefault="00B83265" w:rsidP="00A834D9">
      <w:pPr>
        <w:spacing w:after="240"/>
        <w:rPr>
          <w:rFonts w:cstheme="minorHAnsi"/>
        </w:rPr>
      </w:pPr>
      <w:r>
        <w:rPr>
          <w:rFonts w:cstheme="minorHAnsi"/>
        </w:rPr>
        <w:t xml:space="preserve">Five charts shows </w:t>
      </w:r>
      <w:r w:rsidRPr="00AD4C8D">
        <w:rPr>
          <w:rFonts w:cstheme="minorHAnsi"/>
        </w:rPr>
        <w:t xml:space="preserve">the percentage </w:t>
      </w:r>
      <w:r w:rsidRPr="00C7140B">
        <w:rPr>
          <w:rFonts w:cstheme="minorHAnsi"/>
        </w:rPr>
        <w:t xml:space="preserve">who feel able to advocate (stand up) for themselves </w:t>
      </w:r>
      <w:r w:rsidRPr="00AD4C8D">
        <w:rPr>
          <w:rFonts w:cstheme="minorHAnsi"/>
        </w:rPr>
        <w:t>at baseline and at subsequent reviews</w:t>
      </w:r>
      <w:r w:rsidR="00A834D9" w:rsidRPr="00715092">
        <w:rPr>
          <w:rFonts w:cstheme="minorHAnsi"/>
        </w:rPr>
        <w:t xml:space="preserve">, separately for participants in the </w:t>
      </w:r>
      <w:r w:rsidR="00A834D9">
        <w:rPr>
          <w:rFonts w:cstheme="minorHAnsi"/>
        </w:rPr>
        <w:t xml:space="preserve">five years, </w:t>
      </w:r>
      <w:r w:rsidR="00A834D9" w:rsidRPr="00715092">
        <w:rPr>
          <w:rFonts w:cstheme="minorHAnsi"/>
        </w:rPr>
        <w:t>four years, three years, two years or one year</w:t>
      </w:r>
      <w:r w:rsidR="00A834D9">
        <w:rPr>
          <w:rFonts w:cstheme="minorHAnsi"/>
        </w:rPr>
        <w:t xml:space="preserve"> cohorts</w:t>
      </w:r>
      <w:r w:rsidR="00A834D9" w:rsidRPr="00715092">
        <w:rPr>
          <w:rFonts w:cstheme="minorHAnsi"/>
        </w:rPr>
        <w:t>.</w:t>
      </w:r>
      <w:r w:rsidR="00A834D9">
        <w:rPr>
          <w:rFonts w:cstheme="minorHAnsi"/>
        </w:rPr>
        <w:t xml:space="preserve"> Separate lines on each chart show results for all participants, and for participants in the S-14/15-24, 15-24, 15-24/25+ and 25+ age groups.</w:t>
      </w:r>
    </w:p>
    <w:p w:rsidR="00A834D9" w:rsidRDefault="00A834D9" w:rsidP="00A834D9">
      <w:pPr>
        <w:spacing w:after="240"/>
        <w:rPr>
          <w:rFonts w:cstheme="minorHAnsi"/>
        </w:rPr>
      </w:pPr>
      <w:r>
        <w:rPr>
          <w:rFonts w:cstheme="minorHAnsi"/>
        </w:rPr>
        <w:t>For PSto14, analysed by time since first in P15to24, otherwise by time in Scheme.</w:t>
      </w:r>
    </w:p>
    <w:p w:rsidR="00A834D9" w:rsidRDefault="00A834D9" w:rsidP="00A834D9">
      <w:pPr>
        <w:spacing w:after="240"/>
        <w:rPr>
          <w:rFonts w:cstheme="minorHAnsi"/>
        </w:rPr>
      </w:pPr>
      <w:r>
        <w:rPr>
          <w:rFonts w:cstheme="minorHAnsi"/>
        </w:rPr>
        <w:t>This indicator deteriorated.</w:t>
      </w:r>
    </w:p>
    <w:p w:rsidR="00A834D9" w:rsidRDefault="00A834D9" w:rsidP="00A834D9">
      <w:pPr>
        <w:spacing w:after="240"/>
        <w:rPr>
          <w:rFonts w:cstheme="minorHAnsi"/>
        </w:rPr>
      </w:pPr>
      <w:r>
        <w:rPr>
          <w:rFonts w:cstheme="minorHAnsi"/>
        </w:rPr>
        <w:t>Results for all participants are labelled on the charts:</w:t>
      </w:r>
    </w:p>
    <w:tbl>
      <w:tblPr>
        <w:tblW w:w="9204" w:type="dxa"/>
        <w:tblLook w:val="04A0" w:firstRow="1" w:lastRow="0" w:firstColumn="1" w:lastColumn="0" w:noHBand="0" w:noVBand="1"/>
      </w:tblPr>
      <w:tblGrid>
        <w:gridCol w:w="1500"/>
        <w:gridCol w:w="1325"/>
        <w:gridCol w:w="1276"/>
        <w:gridCol w:w="1276"/>
        <w:gridCol w:w="1276"/>
        <w:gridCol w:w="1275"/>
        <w:gridCol w:w="1276"/>
      </w:tblGrid>
      <w:tr w:rsidR="00A834D9" w:rsidRPr="00AD165E" w:rsidTr="00632614">
        <w:trPr>
          <w:trHeight w:val="285"/>
        </w:trPr>
        <w:tc>
          <w:tcPr>
            <w:tcW w:w="1500" w:type="dxa"/>
            <w:tcBorders>
              <w:top w:val="single" w:sz="8" w:space="0" w:color="auto"/>
              <w:left w:val="single" w:sz="8" w:space="0" w:color="auto"/>
              <w:bottom w:val="single" w:sz="8" w:space="0" w:color="auto"/>
              <w:right w:val="nil"/>
            </w:tcBorders>
            <w:shd w:val="clear" w:color="auto" w:fill="auto"/>
            <w:noWrap/>
            <w:vAlign w:val="bottom"/>
            <w:hideMark/>
          </w:tcPr>
          <w:p w:rsidR="00A834D9" w:rsidRPr="00AD165E" w:rsidRDefault="00A834D9" w:rsidP="0063261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lastRenderedPageBreak/>
              <w:t>Cohort</w:t>
            </w:r>
          </w:p>
        </w:tc>
        <w:tc>
          <w:tcPr>
            <w:tcW w:w="13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834D9" w:rsidRPr="00AD165E" w:rsidRDefault="00A834D9" w:rsidP="0063261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B</w:t>
            </w:r>
            <w:r>
              <w:rPr>
                <w:rFonts w:ascii="Arial" w:eastAsia="Times New Roman" w:hAnsi="Arial" w:cs="Arial"/>
                <w:b/>
                <w:bCs/>
                <w:color w:val="000000"/>
                <w:lang w:eastAsia="en-AU"/>
              </w:rPr>
              <w:t>aseline</w:t>
            </w:r>
          </w:p>
        </w:tc>
        <w:tc>
          <w:tcPr>
            <w:tcW w:w="1276" w:type="dxa"/>
            <w:tcBorders>
              <w:top w:val="single" w:sz="8" w:space="0" w:color="auto"/>
              <w:left w:val="nil"/>
              <w:bottom w:val="single" w:sz="8" w:space="0" w:color="auto"/>
              <w:right w:val="nil"/>
            </w:tcBorders>
            <w:shd w:val="clear" w:color="auto" w:fill="auto"/>
            <w:noWrap/>
            <w:vAlign w:val="bottom"/>
            <w:hideMark/>
          </w:tcPr>
          <w:p w:rsidR="00A834D9" w:rsidRPr="00AD165E" w:rsidRDefault="00A834D9"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1</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834D9" w:rsidRPr="00AD165E" w:rsidRDefault="00A834D9"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2</w:t>
            </w:r>
          </w:p>
        </w:tc>
        <w:tc>
          <w:tcPr>
            <w:tcW w:w="1276" w:type="dxa"/>
            <w:tcBorders>
              <w:top w:val="single" w:sz="8" w:space="0" w:color="auto"/>
              <w:left w:val="nil"/>
              <w:bottom w:val="single" w:sz="8" w:space="0" w:color="auto"/>
              <w:right w:val="nil"/>
            </w:tcBorders>
            <w:shd w:val="clear" w:color="auto" w:fill="auto"/>
            <w:noWrap/>
            <w:vAlign w:val="bottom"/>
            <w:hideMark/>
          </w:tcPr>
          <w:p w:rsidR="00A834D9" w:rsidRPr="00AD165E" w:rsidRDefault="00A834D9"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3</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834D9" w:rsidRPr="00AD165E" w:rsidRDefault="00A834D9"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4</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A834D9" w:rsidRPr="00AD165E" w:rsidRDefault="00A834D9"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5</w:t>
            </w:r>
          </w:p>
        </w:tc>
      </w:tr>
      <w:tr w:rsidR="00A834D9"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A834D9" w:rsidRPr="00AD165E" w:rsidRDefault="00A834D9" w:rsidP="00A834D9">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5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A834D9" w:rsidRPr="00550D6D" w:rsidRDefault="00A834D9" w:rsidP="00A834D9">
            <w:pPr>
              <w:spacing w:after="0"/>
              <w:rPr>
                <w:rFonts w:ascii="Arial" w:hAnsi="Arial" w:cs="Arial"/>
              </w:rPr>
            </w:pPr>
            <w:r w:rsidRPr="00550D6D">
              <w:rPr>
                <w:rFonts w:ascii="Arial" w:hAnsi="Arial" w:cs="Arial"/>
              </w:rPr>
              <w:t>45%</w:t>
            </w:r>
          </w:p>
        </w:tc>
        <w:tc>
          <w:tcPr>
            <w:tcW w:w="1276" w:type="dxa"/>
            <w:tcBorders>
              <w:top w:val="nil"/>
              <w:left w:val="nil"/>
              <w:bottom w:val="single" w:sz="4" w:space="0" w:color="auto"/>
              <w:right w:val="nil"/>
            </w:tcBorders>
            <w:shd w:val="clear" w:color="auto" w:fill="auto"/>
            <w:noWrap/>
            <w:vAlign w:val="center"/>
            <w:hideMark/>
          </w:tcPr>
          <w:p w:rsidR="00A834D9" w:rsidRPr="00550D6D" w:rsidRDefault="00A834D9" w:rsidP="00A834D9">
            <w:pPr>
              <w:spacing w:after="0"/>
              <w:rPr>
                <w:rFonts w:ascii="Arial" w:hAnsi="Arial" w:cs="Arial"/>
              </w:rPr>
            </w:pPr>
            <w:r w:rsidRPr="00550D6D">
              <w:rPr>
                <w:rFonts w:ascii="Arial" w:hAnsi="Arial" w:cs="Arial"/>
              </w:rPr>
              <w:t>42%</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A834D9" w:rsidRPr="00550D6D" w:rsidRDefault="00A834D9" w:rsidP="00A834D9">
            <w:pPr>
              <w:spacing w:after="0"/>
              <w:rPr>
                <w:rFonts w:ascii="Arial" w:hAnsi="Arial" w:cs="Arial"/>
              </w:rPr>
            </w:pPr>
            <w:r w:rsidRPr="00550D6D">
              <w:rPr>
                <w:rFonts w:ascii="Arial" w:hAnsi="Arial" w:cs="Arial"/>
              </w:rPr>
              <w:t>41%</w:t>
            </w:r>
          </w:p>
        </w:tc>
        <w:tc>
          <w:tcPr>
            <w:tcW w:w="1276" w:type="dxa"/>
            <w:tcBorders>
              <w:top w:val="nil"/>
              <w:left w:val="nil"/>
              <w:bottom w:val="single" w:sz="4" w:space="0" w:color="auto"/>
              <w:right w:val="nil"/>
            </w:tcBorders>
            <w:shd w:val="clear" w:color="auto" w:fill="auto"/>
            <w:noWrap/>
            <w:vAlign w:val="center"/>
            <w:hideMark/>
          </w:tcPr>
          <w:p w:rsidR="00A834D9" w:rsidRPr="00550D6D" w:rsidRDefault="00A834D9" w:rsidP="00A834D9">
            <w:pPr>
              <w:spacing w:after="0"/>
              <w:rPr>
                <w:rFonts w:ascii="Arial" w:hAnsi="Arial" w:cs="Arial"/>
              </w:rPr>
            </w:pPr>
            <w:r w:rsidRPr="00550D6D">
              <w:rPr>
                <w:rFonts w:ascii="Arial" w:hAnsi="Arial" w:cs="Arial"/>
              </w:rPr>
              <w:t>39%</w:t>
            </w: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A834D9" w:rsidRPr="00550D6D" w:rsidRDefault="00A834D9" w:rsidP="00A834D9">
            <w:pPr>
              <w:spacing w:after="0"/>
              <w:rPr>
                <w:rFonts w:ascii="Arial" w:hAnsi="Arial" w:cs="Arial"/>
              </w:rPr>
            </w:pPr>
            <w:r w:rsidRPr="00550D6D">
              <w:rPr>
                <w:rFonts w:ascii="Arial" w:hAnsi="Arial" w:cs="Arial"/>
              </w:rPr>
              <w:t>39%</w:t>
            </w:r>
          </w:p>
        </w:tc>
        <w:tc>
          <w:tcPr>
            <w:tcW w:w="1276" w:type="dxa"/>
            <w:tcBorders>
              <w:top w:val="nil"/>
              <w:left w:val="nil"/>
              <w:bottom w:val="single" w:sz="4" w:space="0" w:color="auto"/>
              <w:right w:val="single" w:sz="8" w:space="0" w:color="auto"/>
            </w:tcBorders>
            <w:shd w:val="clear" w:color="auto" w:fill="auto"/>
            <w:noWrap/>
            <w:vAlign w:val="center"/>
            <w:hideMark/>
          </w:tcPr>
          <w:p w:rsidR="00A834D9" w:rsidRPr="00550D6D" w:rsidRDefault="00A834D9" w:rsidP="00A834D9">
            <w:pPr>
              <w:spacing w:after="0"/>
              <w:rPr>
                <w:rFonts w:ascii="Arial" w:hAnsi="Arial" w:cs="Arial"/>
              </w:rPr>
            </w:pPr>
            <w:r w:rsidRPr="00550D6D">
              <w:rPr>
                <w:rFonts w:ascii="Arial" w:hAnsi="Arial" w:cs="Arial"/>
              </w:rPr>
              <w:t>40%</w:t>
            </w:r>
          </w:p>
        </w:tc>
      </w:tr>
      <w:tr w:rsidR="00A834D9"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A834D9" w:rsidRPr="00AD165E" w:rsidRDefault="00A834D9" w:rsidP="00A834D9">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4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A834D9" w:rsidRPr="00550D6D" w:rsidRDefault="00A834D9" w:rsidP="00A834D9">
            <w:pPr>
              <w:spacing w:after="0"/>
              <w:rPr>
                <w:rFonts w:ascii="Arial" w:hAnsi="Arial" w:cs="Arial"/>
              </w:rPr>
            </w:pPr>
            <w:r w:rsidRPr="00550D6D">
              <w:rPr>
                <w:rFonts w:ascii="Arial" w:hAnsi="Arial" w:cs="Arial"/>
              </w:rPr>
              <w:t>44%</w:t>
            </w:r>
          </w:p>
        </w:tc>
        <w:tc>
          <w:tcPr>
            <w:tcW w:w="1276" w:type="dxa"/>
            <w:tcBorders>
              <w:top w:val="nil"/>
              <w:left w:val="nil"/>
              <w:bottom w:val="single" w:sz="4" w:space="0" w:color="auto"/>
              <w:right w:val="nil"/>
            </w:tcBorders>
            <w:shd w:val="clear" w:color="auto" w:fill="auto"/>
            <w:noWrap/>
            <w:vAlign w:val="center"/>
            <w:hideMark/>
          </w:tcPr>
          <w:p w:rsidR="00A834D9" w:rsidRPr="00550D6D" w:rsidRDefault="00A834D9" w:rsidP="00A834D9">
            <w:pPr>
              <w:spacing w:after="0"/>
              <w:rPr>
                <w:rFonts w:ascii="Arial" w:hAnsi="Arial" w:cs="Arial"/>
              </w:rPr>
            </w:pPr>
            <w:r w:rsidRPr="00550D6D">
              <w:rPr>
                <w:rFonts w:ascii="Arial" w:hAnsi="Arial" w:cs="Arial"/>
              </w:rPr>
              <w:t>42%</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A834D9" w:rsidRPr="00550D6D" w:rsidRDefault="00A834D9" w:rsidP="00A834D9">
            <w:pPr>
              <w:spacing w:after="0"/>
              <w:rPr>
                <w:rFonts w:ascii="Arial" w:hAnsi="Arial" w:cs="Arial"/>
              </w:rPr>
            </w:pPr>
            <w:r w:rsidRPr="00550D6D">
              <w:rPr>
                <w:rFonts w:ascii="Arial" w:hAnsi="Arial" w:cs="Arial"/>
              </w:rPr>
              <w:t>40%</w:t>
            </w:r>
          </w:p>
        </w:tc>
        <w:tc>
          <w:tcPr>
            <w:tcW w:w="1276" w:type="dxa"/>
            <w:tcBorders>
              <w:top w:val="nil"/>
              <w:left w:val="nil"/>
              <w:bottom w:val="single" w:sz="4" w:space="0" w:color="auto"/>
              <w:right w:val="nil"/>
            </w:tcBorders>
            <w:shd w:val="clear" w:color="auto" w:fill="auto"/>
            <w:noWrap/>
            <w:vAlign w:val="center"/>
            <w:hideMark/>
          </w:tcPr>
          <w:p w:rsidR="00A834D9" w:rsidRPr="00550D6D" w:rsidRDefault="00A834D9" w:rsidP="00A834D9">
            <w:pPr>
              <w:spacing w:after="0"/>
              <w:rPr>
                <w:rFonts w:ascii="Arial" w:hAnsi="Arial" w:cs="Arial"/>
              </w:rPr>
            </w:pPr>
            <w:r w:rsidRPr="00550D6D">
              <w:rPr>
                <w:rFonts w:ascii="Arial" w:hAnsi="Arial" w:cs="Arial"/>
              </w:rPr>
              <w:t>39%</w:t>
            </w: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A834D9" w:rsidRPr="00550D6D" w:rsidRDefault="00A834D9" w:rsidP="00A834D9">
            <w:pPr>
              <w:spacing w:after="0"/>
              <w:rPr>
                <w:rFonts w:ascii="Arial" w:hAnsi="Arial" w:cs="Arial"/>
              </w:rPr>
            </w:pPr>
            <w:r w:rsidRPr="00550D6D">
              <w:rPr>
                <w:rFonts w:ascii="Arial" w:hAnsi="Arial" w:cs="Arial"/>
              </w:rPr>
              <w:t>40%</w:t>
            </w:r>
          </w:p>
        </w:tc>
        <w:tc>
          <w:tcPr>
            <w:tcW w:w="1276" w:type="dxa"/>
            <w:tcBorders>
              <w:top w:val="nil"/>
              <w:left w:val="nil"/>
              <w:bottom w:val="single" w:sz="4" w:space="0" w:color="auto"/>
              <w:right w:val="single" w:sz="8" w:space="0" w:color="auto"/>
            </w:tcBorders>
            <w:shd w:val="clear" w:color="auto" w:fill="auto"/>
            <w:noWrap/>
            <w:vAlign w:val="bottom"/>
            <w:hideMark/>
          </w:tcPr>
          <w:p w:rsidR="00A834D9" w:rsidRPr="00550D6D" w:rsidRDefault="00A834D9" w:rsidP="00A834D9">
            <w:pPr>
              <w:spacing w:after="0" w:line="240" w:lineRule="auto"/>
              <w:rPr>
                <w:rFonts w:ascii="Arial" w:eastAsia="Times New Roman" w:hAnsi="Arial" w:cs="Arial"/>
                <w:color w:val="000000"/>
                <w:lang w:eastAsia="en-AU"/>
              </w:rPr>
            </w:pPr>
            <w:r w:rsidRPr="00550D6D">
              <w:rPr>
                <w:rFonts w:ascii="Arial" w:eastAsia="Times New Roman" w:hAnsi="Arial" w:cs="Arial"/>
                <w:color w:val="000000"/>
                <w:lang w:eastAsia="en-AU"/>
              </w:rPr>
              <w:t> </w:t>
            </w:r>
          </w:p>
        </w:tc>
      </w:tr>
      <w:tr w:rsidR="00A834D9"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A834D9" w:rsidRPr="00AD165E" w:rsidRDefault="00A834D9" w:rsidP="00A834D9">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3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A834D9" w:rsidRPr="00550D6D" w:rsidRDefault="00A834D9" w:rsidP="00A834D9">
            <w:pPr>
              <w:spacing w:after="0"/>
              <w:rPr>
                <w:rFonts w:ascii="Arial" w:hAnsi="Arial" w:cs="Arial"/>
              </w:rPr>
            </w:pPr>
            <w:r w:rsidRPr="00550D6D">
              <w:rPr>
                <w:rFonts w:ascii="Arial" w:hAnsi="Arial" w:cs="Arial"/>
              </w:rPr>
              <w:t>41%</w:t>
            </w:r>
          </w:p>
        </w:tc>
        <w:tc>
          <w:tcPr>
            <w:tcW w:w="1276" w:type="dxa"/>
            <w:tcBorders>
              <w:top w:val="nil"/>
              <w:left w:val="nil"/>
              <w:bottom w:val="single" w:sz="4" w:space="0" w:color="auto"/>
              <w:right w:val="nil"/>
            </w:tcBorders>
            <w:shd w:val="clear" w:color="auto" w:fill="auto"/>
            <w:noWrap/>
            <w:vAlign w:val="center"/>
            <w:hideMark/>
          </w:tcPr>
          <w:p w:rsidR="00A834D9" w:rsidRPr="00550D6D" w:rsidRDefault="00A834D9" w:rsidP="00A834D9">
            <w:pPr>
              <w:spacing w:after="0"/>
              <w:rPr>
                <w:rFonts w:ascii="Arial" w:hAnsi="Arial" w:cs="Arial"/>
              </w:rPr>
            </w:pPr>
            <w:r w:rsidRPr="00550D6D">
              <w:rPr>
                <w:rFonts w:ascii="Arial" w:hAnsi="Arial" w:cs="Arial"/>
              </w:rPr>
              <w:t>39%</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A834D9" w:rsidRPr="00550D6D" w:rsidRDefault="00A834D9" w:rsidP="00A834D9">
            <w:pPr>
              <w:spacing w:after="0"/>
              <w:rPr>
                <w:rFonts w:ascii="Arial" w:hAnsi="Arial" w:cs="Arial"/>
              </w:rPr>
            </w:pPr>
            <w:r w:rsidRPr="00550D6D">
              <w:rPr>
                <w:rFonts w:ascii="Arial" w:hAnsi="Arial" w:cs="Arial"/>
              </w:rPr>
              <w:t>38%</w:t>
            </w:r>
          </w:p>
        </w:tc>
        <w:tc>
          <w:tcPr>
            <w:tcW w:w="1276" w:type="dxa"/>
            <w:tcBorders>
              <w:top w:val="nil"/>
              <w:left w:val="nil"/>
              <w:bottom w:val="single" w:sz="4" w:space="0" w:color="auto"/>
              <w:right w:val="nil"/>
            </w:tcBorders>
            <w:shd w:val="clear" w:color="auto" w:fill="auto"/>
            <w:noWrap/>
            <w:vAlign w:val="center"/>
            <w:hideMark/>
          </w:tcPr>
          <w:p w:rsidR="00A834D9" w:rsidRPr="00550D6D" w:rsidRDefault="00A834D9" w:rsidP="00A834D9">
            <w:pPr>
              <w:spacing w:after="0"/>
              <w:rPr>
                <w:rFonts w:ascii="Arial" w:hAnsi="Arial" w:cs="Arial"/>
              </w:rPr>
            </w:pPr>
            <w:r w:rsidRPr="00550D6D">
              <w:rPr>
                <w:rFonts w:ascii="Arial" w:hAnsi="Arial" w:cs="Arial"/>
              </w:rPr>
              <w:t>39%</w:t>
            </w:r>
          </w:p>
        </w:tc>
        <w:tc>
          <w:tcPr>
            <w:tcW w:w="1275" w:type="dxa"/>
            <w:tcBorders>
              <w:top w:val="nil"/>
              <w:left w:val="single" w:sz="8" w:space="0" w:color="auto"/>
              <w:bottom w:val="single" w:sz="4" w:space="0" w:color="auto"/>
              <w:right w:val="single" w:sz="8" w:space="0" w:color="auto"/>
            </w:tcBorders>
            <w:shd w:val="clear" w:color="auto" w:fill="auto"/>
            <w:noWrap/>
            <w:vAlign w:val="bottom"/>
            <w:hideMark/>
          </w:tcPr>
          <w:p w:rsidR="00A834D9" w:rsidRPr="00550D6D" w:rsidRDefault="00A834D9" w:rsidP="00A834D9">
            <w:pPr>
              <w:spacing w:after="0" w:line="240" w:lineRule="auto"/>
              <w:rPr>
                <w:rFonts w:ascii="Arial" w:eastAsia="Times New Roman" w:hAnsi="Arial" w:cs="Arial"/>
                <w:color w:val="000000"/>
                <w:lang w:eastAsia="en-AU"/>
              </w:rPr>
            </w:pPr>
            <w:r w:rsidRPr="00550D6D">
              <w:rPr>
                <w:rFonts w:ascii="Arial" w:eastAsia="Times New Roman" w:hAnsi="Arial" w:cs="Arial"/>
                <w:color w:val="000000"/>
                <w:lang w:eastAsia="en-AU"/>
              </w:rPr>
              <w:t> </w:t>
            </w:r>
          </w:p>
        </w:tc>
        <w:tc>
          <w:tcPr>
            <w:tcW w:w="1276" w:type="dxa"/>
            <w:tcBorders>
              <w:top w:val="nil"/>
              <w:left w:val="nil"/>
              <w:bottom w:val="single" w:sz="4" w:space="0" w:color="auto"/>
              <w:right w:val="single" w:sz="8" w:space="0" w:color="auto"/>
            </w:tcBorders>
            <w:shd w:val="clear" w:color="auto" w:fill="auto"/>
            <w:noWrap/>
            <w:vAlign w:val="bottom"/>
            <w:hideMark/>
          </w:tcPr>
          <w:p w:rsidR="00A834D9" w:rsidRPr="00550D6D" w:rsidRDefault="00A834D9" w:rsidP="00A834D9">
            <w:pPr>
              <w:spacing w:after="0" w:line="240" w:lineRule="auto"/>
              <w:rPr>
                <w:rFonts w:ascii="Arial" w:eastAsia="Times New Roman" w:hAnsi="Arial" w:cs="Arial"/>
                <w:color w:val="000000"/>
                <w:lang w:eastAsia="en-AU"/>
              </w:rPr>
            </w:pPr>
            <w:r w:rsidRPr="00550D6D">
              <w:rPr>
                <w:rFonts w:ascii="Arial" w:eastAsia="Times New Roman" w:hAnsi="Arial" w:cs="Arial"/>
                <w:color w:val="000000"/>
                <w:lang w:eastAsia="en-AU"/>
              </w:rPr>
              <w:t> </w:t>
            </w:r>
          </w:p>
        </w:tc>
      </w:tr>
      <w:tr w:rsidR="00A834D9"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A834D9" w:rsidRPr="00AD165E" w:rsidRDefault="00A834D9" w:rsidP="00A834D9">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2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A834D9" w:rsidRPr="00550D6D" w:rsidRDefault="00A834D9" w:rsidP="00A834D9">
            <w:pPr>
              <w:spacing w:after="0"/>
              <w:rPr>
                <w:rFonts w:ascii="Arial" w:hAnsi="Arial" w:cs="Arial"/>
              </w:rPr>
            </w:pPr>
            <w:r w:rsidRPr="00550D6D">
              <w:rPr>
                <w:rFonts w:ascii="Arial" w:hAnsi="Arial" w:cs="Arial"/>
              </w:rPr>
              <w:t>39%</w:t>
            </w:r>
          </w:p>
        </w:tc>
        <w:tc>
          <w:tcPr>
            <w:tcW w:w="1276" w:type="dxa"/>
            <w:tcBorders>
              <w:top w:val="nil"/>
              <w:left w:val="nil"/>
              <w:bottom w:val="single" w:sz="4" w:space="0" w:color="auto"/>
              <w:right w:val="nil"/>
            </w:tcBorders>
            <w:shd w:val="clear" w:color="auto" w:fill="auto"/>
            <w:noWrap/>
            <w:vAlign w:val="center"/>
            <w:hideMark/>
          </w:tcPr>
          <w:p w:rsidR="00A834D9" w:rsidRPr="00550D6D" w:rsidRDefault="00A834D9" w:rsidP="00A834D9">
            <w:pPr>
              <w:spacing w:after="0"/>
              <w:rPr>
                <w:rFonts w:ascii="Arial" w:hAnsi="Arial" w:cs="Arial"/>
              </w:rPr>
            </w:pPr>
            <w:r w:rsidRPr="00550D6D">
              <w:rPr>
                <w:rFonts w:ascii="Arial" w:hAnsi="Arial" w:cs="Arial"/>
              </w:rPr>
              <w:t>38%</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A834D9" w:rsidRPr="00550D6D" w:rsidRDefault="00A834D9" w:rsidP="00A834D9">
            <w:pPr>
              <w:spacing w:after="0"/>
              <w:rPr>
                <w:rFonts w:ascii="Arial" w:hAnsi="Arial" w:cs="Arial"/>
              </w:rPr>
            </w:pPr>
            <w:r w:rsidRPr="00550D6D">
              <w:rPr>
                <w:rFonts w:ascii="Arial" w:hAnsi="Arial" w:cs="Arial"/>
              </w:rPr>
              <w:t>38%</w:t>
            </w:r>
          </w:p>
        </w:tc>
        <w:tc>
          <w:tcPr>
            <w:tcW w:w="1276" w:type="dxa"/>
            <w:tcBorders>
              <w:top w:val="nil"/>
              <w:left w:val="nil"/>
              <w:bottom w:val="single" w:sz="4" w:space="0" w:color="auto"/>
              <w:right w:val="nil"/>
            </w:tcBorders>
            <w:shd w:val="clear" w:color="auto" w:fill="auto"/>
            <w:noWrap/>
            <w:vAlign w:val="bottom"/>
            <w:hideMark/>
          </w:tcPr>
          <w:p w:rsidR="00A834D9" w:rsidRPr="00550D6D" w:rsidRDefault="00A834D9" w:rsidP="00A834D9">
            <w:pPr>
              <w:spacing w:after="0" w:line="240" w:lineRule="auto"/>
              <w:rPr>
                <w:rFonts w:ascii="Arial" w:eastAsia="Times New Roman" w:hAnsi="Arial" w:cs="Arial"/>
                <w:color w:val="000000"/>
                <w:lang w:eastAsia="en-AU"/>
              </w:rPr>
            </w:pPr>
            <w:r w:rsidRPr="00550D6D">
              <w:rPr>
                <w:rFonts w:ascii="Arial" w:eastAsia="Times New Roman" w:hAnsi="Arial" w:cs="Arial"/>
                <w:color w:val="000000"/>
                <w:lang w:eastAsia="en-AU"/>
              </w:rPr>
              <w:t> </w:t>
            </w:r>
          </w:p>
        </w:tc>
        <w:tc>
          <w:tcPr>
            <w:tcW w:w="1275" w:type="dxa"/>
            <w:tcBorders>
              <w:top w:val="nil"/>
              <w:left w:val="single" w:sz="8" w:space="0" w:color="auto"/>
              <w:bottom w:val="single" w:sz="4" w:space="0" w:color="auto"/>
              <w:right w:val="single" w:sz="8" w:space="0" w:color="auto"/>
            </w:tcBorders>
            <w:shd w:val="clear" w:color="auto" w:fill="auto"/>
            <w:noWrap/>
            <w:vAlign w:val="bottom"/>
            <w:hideMark/>
          </w:tcPr>
          <w:p w:rsidR="00A834D9" w:rsidRPr="00550D6D" w:rsidRDefault="00A834D9" w:rsidP="00A834D9">
            <w:pPr>
              <w:spacing w:after="0" w:line="240" w:lineRule="auto"/>
              <w:rPr>
                <w:rFonts w:ascii="Arial" w:eastAsia="Times New Roman" w:hAnsi="Arial" w:cs="Arial"/>
                <w:color w:val="000000"/>
                <w:lang w:eastAsia="en-AU"/>
              </w:rPr>
            </w:pPr>
            <w:r w:rsidRPr="00550D6D">
              <w:rPr>
                <w:rFonts w:ascii="Arial" w:eastAsia="Times New Roman" w:hAnsi="Arial" w:cs="Arial"/>
                <w:color w:val="000000"/>
                <w:lang w:eastAsia="en-AU"/>
              </w:rPr>
              <w:t> </w:t>
            </w:r>
          </w:p>
        </w:tc>
        <w:tc>
          <w:tcPr>
            <w:tcW w:w="1276" w:type="dxa"/>
            <w:tcBorders>
              <w:top w:val="nil"/>
              <w:left w:val="nil"/>
              <w:bottom w:val="single" w:sz="4" w:space="0" w:color="auto"/>
              <w:right w:val="single" w:sz="8" w:space="0" w:color="auto"/>
            </w:tcBorders>
            <w:shd w:val="clear" w:color="auto" w:fill="auto"/>
            <w:noWrap/>
            <w:vAlign w:val="bottom"/>
            <w:hideMark/>
          </w:tcPr>
          <w:p w:rsidR="00A834D9" w:rsidRPr="00550D6D" w:rsidRDefault="00A834D9" w:rsidP="00A834D9">
            <w:pPr>
              <w:spacing w:after="0" w:line="240" w:lineRule="auto"/>
              <w:rPr>
                <w:rFonts w:ascii="Arial" w:eastAsia="Times New Roman" w:hAnsi="Arial" w:cs="Arial"/>
                <w:color w:val="000000"/>
                <w:lang w:eastAsia="en-AU"/>
              </w:rPr>
            </w:pPr>
            <w:r w:rsidRPr="00550D6D">
              <w:rPr>
                <w:rFonts w:ascii="Arial" w:eastAsia="Times New Roman" w:hAnsi="Arial" w:cs="Arial"/>
                <w:color w:val="000000"/>
                <w:lang w:eastAsia="en-AU"/>
              </w:rPr>
              <w:t> </w:t>
            </w:r>
          </w:p>
        </w:tc>
      </w:tr>
      <w:tr w:rsidR="00A834D9" w:rsidRPr="00AD165E" w:rsidTr="00632614">
        <w:trPr>
          <w:trHeight w:val="285"/>
        </w:trPr>
        <w:tc>
          <w:tcPr>
            <w:tcW w:w="1500" w:type="dxa"/>
            <w:tcBorders>
              <w:top w:val="nil"/>
              <w:left w:val="single" w:sz="8" w:space="0" w:color="auto"/>
              <w:bottom w:val="single" w:sz="8" w:space="0" w:color="auto"/>
              <w:right w:val="nil"/>
            </w:tcBorders>
            <w:shd w:val="clear" w:color="auto" w:fill="auto"/>
            <w:noWrap/>
            <w:vAlign w:val="bottom"/>
            <w:hideMark/>
          </w:tcPr>
          <w:p w:rsidR="00A834D9" w:rsidRPr="00AD165E" w:rsidRDefault="00A834D9" w:rsidP="00A834D9">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1 year</w:t>
            </w:r>
          </w:p>
        </w:tc>
        <w:tc>
          <w:tcPr>
            <w:tcW w:w="1325" w:type="dxa"/>
            <w:tcBorders>
              <w:top w:val="nil"/>
              <w:left w:val="single" w:sz="8" w:space="0" w:color="auto"/>
              <w:bottom w:val="single" w:sz="8" w:space="0" w:color="auto"/>
              <w:right w:val="single" w:sz="8" w:space="0" w:color="auto"/>
            </w:tcBorders>
            <w:shd w:val="clear" w:color="auto" w:fill="auto"/>
            <w:noWrap/>
            <w:vAlign w:val="center"/>
            <w:hideMark/>
          </w:tcPr>
          <w:p w:rsidR="00A834D9" w:rsidRPr="00550D6D" w:rsidRDefault="00A834D9" w:rsidP="00A834D9">
            <w:pPr>
              <w:spacing w:after="0"/>
              <w:rPr>
                <w:rFonts w:ascii="Arial" w:hAnsi="Arial" w:cs="Arial"/>
              </w:rPr>
            </w:pPr>
            <w:r w:rsidRPr="00550D6D">
              <w:rPr>
                <w:rFonts w:ascii="Arial" w:hAnsi="Arial" w:cs="Arial"/>
              </w:rPr>
              <w:t>38%</w:t>
            </w:r>
          </w:p>
        </w:tc>
        <w:tc>
          <w:tcPr>
            <w:tcW w:w="1276" w:type="dxa"/>
            <w:tcBorders>
              <w:top w:val="nil"/>
              <w:left w:val="nil"/>
              <w:bottom w:val="single" w:sz="8" w:space="0" w:color="auto"/>
              <w:right w:val="nil"/>
            </w:tcBorders>
            <w:shd w:val="clear" w:color="auto" w:fill="auto"/>
            <w:noWrap/>
            <w:vAlign w:val="center"/>
            <w:hideMark/>
          </w:tcPr>
          <w:p w:rsidR="00A834D9" w:rsidRPr="00550D6D" w:rsidRDefault="00A834D9" w:rsidP="00A834D9">
            <w:pPr>
              <w:spacing w:after="0"/>
              <w:rPr>
                <w:rFonts w:ascii="Arial" w:hAnsi="Arial" w:cs="Arial"/>
              </w:rPr>
            </w:pPr>
            <w:r w:rsidRPr="00550D6D">
              <w:rPr>
                <w:rFonts w:ascii="Arial" w:hAnsi="Arial" w:cs="Arial"/>
              </w:rPr>
              <w:t>39%</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A834D9" w:rsidRPr="00550D6D" w:rsidRDefault="00A834D9" w:rsidP="00A834D9">
            <w:pPr>
              <w:spacing w:after="0" w:line="240" w:lineRule="auto"/>
              <w:rPr>
                <w:rFonts w:ascii="Arial" w:eastAsia="Times New Roman" w:hAnsi="Arial" w:cs="Arial"/>
                <w:color w:val="000000"/>
                <w:lang w:eastAsia="en-AU"/>
              </w:rPr>
            </w:pPr>
            <w:r w:rsidRPr="00550D6D">
              <w:rPr>
                <w:rFonts w:ascii="Arial" w:eastAsia="Times New Roman" w:hAnsi="Arial" w:cs="Arial"/>
                <w:color w:val="000000"/>
                <w:lang w:eastAsia="en-AU"/>
              </w:rPr>
              <w:t> </w:t>
            </w:r>
          </w:p>
        </w:tc>
        <w:tc>
          <w:tcPr>
            <w:tcW w:w="1276" w:type="dxa"/>
            <w:tcBorders>
              <w:top w:val="nil"/>
              <w:left w:val="nil"/>
              <w:bottom w:val="single" w:sz="8" w:space="0" w:color="auto"/>
              <w:right w:val="nil"/>
            </w:tcBorders>
            <w:shd w:val="clear" w:color="auto" w:fill="auto"/>
            <w:noWrap/>
            <w:vAlign w:val="bottom"/>
            <w:hideMark/>
          </w:tcPr>
          <w:p w:rsidR="00A834D9" w:rsidRPr="00550D6D" w:rsidRDefault="00A834D9" w:rsidP="00A834D9">
            <w:pPr>
              <w:spacing w:after="0" w:line="240" w:lineRule="auto"/>
              <w:rPr>
                <w:rFonts w:ascii="Arial" w:eastAsia="Times New Roman" w:hAnsi="Arial" w:cs="Arial"/>
                <w:color w:val="000000"/>
                <w:lang w:eastAsia="en-AU"/>
              </w:rPr>
            </w:pPr>
            <w:r w:rsidRPr="00550D6D">
              <w:rPr>
                <w:rFonts w:ascii="Arial" w:eastAsia="Times New Roman" w:hAnsi="Arial" w:cs="Arial"/>
                <w:color w:val="000000"/>
                <w:lang w:eastAsia="en-AU"/>
              </w:rPr>
              <w:t> </w:t>
            </w:r>
          </w:p>
        </w:tc>
        <w:tc>
          <w:tcPr>
            <w:tcW w:w="1275" w:type="dxa"/>
            <w:tcBorders>
              <w:top w:val="nil"/>
              <w:left w:val="single" w:sz="8" w:space="0" w:color="auto"/>
              <w:bottom w:val="single" w:sz="8" w:space="0" w:color="auto"/>
              <w:right w:val="single" w:sz="8" w:space="0" w:color="auto"/>
            </w:tcBorders>
            <w:shd w:val="clear" w:color="auto" w:fill="auto"/>
            <w:noWrap/>
            <w:vAlign w:val="bottom"/>
            <w:hideMark/>
          </w:tcPr>
          <w:p w:rsidR="00A834D9" w:rsidRPr="00550D6D" w:rsidRDefault="00A834D9" w:rsidP="00A834D9">
            <w:pPr>
              <w:spacing w:after="0" w:line="240" w:lineRule="auto"/>
              <w:rPr>
                <w:rFonts w:ascii="Arial" w:eastAsia="Times New Roman" w:hAnsi="Arial" w:cs="Arial"/>
                <w:color w:val="000000"/>
                <w:lang w:eastAsia="en-AU"/>
              </w:rPr>
            </w:pPr>
            <w:r w:rsidRPr="00550D6D">
              <w:rPr>
                <w:rFonts w:ascii="Arial" w:eastAsia="Times New Roman" w:hAnsi="Arial" w:cs="Arial"/>
                <w:color w:val="000000"/>
                <w:lang w:eastAsia="en-AU"/>
              </w:rPr>
              <w:t> </w:t>
            </w:r>
          </w:p>
        </w:tc>
        <w:tc>
          <w:tcPr>
            <w:tcW w:w="1276" w:type="dxa"/>
            <w:tcBorders>
              <w:top w:val="nil"/>
              <w:left w:val="nil"/>
              <w:bottom w:val="single" w:sz="8" w:space="0" w:color="auto"/>
              <w:right w:val="single" w:sz="8" w:space="0" w:color="auto"/>
            </w:tcBorders>
            <w:shd w:val="clear" w:color="auto" w:fill="auto"/>
            <w:noWrap/>
            <w:vAlign w:val="bottom"/>
            <w:hideMark/>
          </w:tcPr>
          <w:p w:rsidR="00A834D9" w:rsidRPr="00550D6D" w:rsidRDefault="00A834D9" w:rsidP="00A834D9">
            <w:pPr>
              <w:spacing w:after="0" w:line="240" w:lineRule="auto"/>
              <w:rPr>
                <w:rFonts w:ascii="Arial" w:eastAsia="Times New Roman" w:hAnsi="Arial" w:cs="Arial"/>
                <w:color w:val="000000"/>
                <w:lang w:eastAsia="en-AU"/>
              </w:rPr>
            </w:pPr>
            <w:r w:rsidRPr="00550D6D">
              <w:rPr>
                <w:rFonts w:ascii="Arial" w:eastAsia="Times New Roman" w:hAnsi="Arial" w:cs="Arial"/>
                <w:color w:val="000000"/>
                <w:lang w:eastAsia="en-AU"/>
              </w:rPr>
              <w:t> </w:t>
            </w:r>
          </w:p>
        </w:tc>
      </w:tr>
    </w:tbl>
    <w:p w:rsidR="00A834D9" w:rsidRDefault="00A834D9" w:rsidP="00B83265">
      <w:pPr>
        <w:spacing w:after="240"/>
        <w:rPr>
          <w:rFonts w:cstheme="minorHAnsi"/>
        </w:rPr>
      </w:pPr>
    </w:p>
    <w:p w:rsidR="00B83265" w:rsidRPr="002817DE" w:rsidRDefault="00B83265" w:rsidP="002817DE">
      <w:pPr>
        <w:pStyle w:val="Heading2"/>
      </w:pPr>
      <w:bookmarkStart w:id="62" w:name="_Toc121151434"/>
      <w:r w:rsidRPr="002817DE">
        <w:t>Slide 52: Participants aged 15 and over – Relationships: Relationships with friends and staff</w:t>
      </w:r>
      <w:bookmarkEnd w:id="62"/>
    </w:p>
    <w:p w:rsidR="00B83265" w:rsidRDefault="00B83265" w:rsidP="00B83265">
      <w:pPr>
        <w:rPr>
          <w:b/>
        </w:rPr>
      </w:pPr>
      <w:r>
        <w:rPr>
          <w:rFonts w:cs="FS Me Pro Light"/>
          <w:color w:val="000000"/>
          <w:sz w:val="21"/>
          <w:szCs w:val="21"/>
        </w:rPr>
        <w:t>Long Form survey results show improvements over time for relationships with friends and staff.</w:t>
      </w:r>
    </w:p>
    <w:p w:rsidR="00B83265" w:rsidRPr="00BB5E10" w:rsidRDefault="00B83265" w:rsidP="00B83265">
      <w:pPr>
        <w:rPr>
          <w:b/>
        </w:rPr>
      </w:pPr>
      <w:r w:rsidRPr="00BB5E10">
        <w:rPr>
          <w:b/>
        </w:rPr>
        <w:t xml:space="preserve">% who </w:t>
      </w:r>
      <w:r>
        <w:rPr>
          <w:b/>
        </w:rPr>
        <w:t>get to see their friends without paid staff or family present</w:t>
      </w:r>
    </w:p>
    <w:p w:rsidR="00B83265" w:rsidRDefault="00B83265" w:rsidP="00B83265">
      <w:pPr>
        <w:spacing w:after="240"/>
        <w:rPr>
          <w:rFonts w:cstheme="minorHAnsi"/>
        </w:rPr>
      </w:pPr>
      <w:r w:rsidRPr="00C7140B">
        <w:rPr>
          <w:rFonts w:cstheme="minorHAnsi"/>
        </w:rPr>
        <w:t>For participants aged 15 to 24 in the C4 cohort, results suggest that participants are increasingly getting to see their friends without paid staff or family present</w:t>
      </w:r>
      <w:r w:rsidR="00233603">
        <w:rPr>
          <w:rFonts w:cstheme="minorHAnsi"/>
        </w:rPr>
        <w:t xml:space="preserve"> (</w:t>
      </w:r>
      <w:r w:rsidR="0080201D">
        <w:rPr>
          <w:rFonts w:cstheme="minorHAnsi"/>
        </w:rPr>
        <w:t>Footnote 1</w:t>
      </w:r>
      <w:r w:rsidR="00233603">
        <w:rPr>
          <w:rFonts w:cstheme="minorHAnsi"/>
        </w:rPr>
        <w:t>)</w:t>
      </w:r>
      <w:r w:rsidRPr="00C7140B">
        <w:rPr>
          <w:rFonts w:cstheme="minorHAnsi"/>
        </w:rPr>
        <w:t xml:space="preserve"> – 59.0% at fourth review compared to 41.0% at baseline, an increase of 17.9 percentage points over four years. Cohorts one to three show improvements on this indicator of 9.0 to 9.5 percentage points.</w:t>
      </w:r>
    </w:p>
    <w:p w:rsidR="00B83265" w:rsidRPr="00BB5E10" w:rsidRDefault="00B83265" w:rsidP="00B83265">
      <w:pPr>
        <w:rPr>
          <w:b/>
        </w:rPr>
      </w:pPr>
      <w:r w:rsidRPr="00BB5E10">
        <w:rPr>
          <w:b/>
        </w:rPr>
        <w:t xml:space="preserve">% who </w:t>
      </w:r>
      <w:r>
        <w:rPr>
          <w:b/>
        </w:rPr>
        <w:t>feel happy with their relationship with staff</w:t>
      </w:r>
    </w:p>
    <w:p w:rsidR="00B83265" w:rsidRDefault="00B83265" w:rsidP="00B83265">
      <w:pPr>
        <w:spacing w:after="240"/>
        <w:rPr>
          <w:rFonts w:cstheme="minorHAnsi"/>
        </w:rPr>
      </w:pPr>
      <w:r w:rsidRPr="00C7140B">
        <w:rPr>
          <w:rFonts w:cstheme="minorHAnsi"/>
        </w:rPr>
        <w:t>A higher percentage of participants aged 15 and over are reporting feeling happy with their relationship with staff – 97.1% at fifth review compared to 71.0% at baseline. There have been increases of between 14.2 and 26.1 percentage points for participants in the Scheme for three or more years. Smaller increases are evident for those in cohorts one and two – 5.7 and 7.7 percentage points, respectively.</w:t>
      </w:r>
    </w:p>
    <w:p w:rsidR="00B83265" w:rsidRPr="00AD4C8D" w:rsidRDefault="00B83265" w:rsidP="00B83265">
      <w:pPr>
        <w:spacing w:after="240"/>
        <w:rPr>
          <w:rFonts w:cstheme="minorHAnsi"/>
        </w:rPr>
      </w:pPr>
      <w:r>
        <w:rPr>
          <w:rFonts w:cstheme="minorHAnsi"/>
        </w:rPr>
        <w:t xml:space="preserve">Two charts show </w:t>
      </w:r>
      <w:r w:rsidRPr="00AD4C8D">
        <w:rPr>
          <w:rFonts w:cstheme="minorHAnsi"/>
        </w:rPr>
        <w:t>the percentage</w:t>
      </w:r>
      <w:r w:rsidR="009A4858">
        <w:rPr>
          <w:rFonts w:cstheme="minorHAnsi"/>
        </w:rPr>
        <w:t>s</w:t>
      </w:r>
      <w:r w:rsidRPr="00AD4C8D">
        <w:rPr>
          <w:rFonts w:cstheme="minorHAnsi"/>
        </w:rPr>
        <w:t xml:space="preserve"> </w:t>
      </w:r>
      <w:r w:rsidRPr="00BE65DB">
        <w:rPr>
          <w:rFonts w:cstheme="minorHAnsi"/>
        </w:rPr>
        <w:t>who get to see their friends without paid staff or family present</w:t>
      </w:r>
      <w:r w:rsidR="009A4858">
        <w:rPr>
          <w:rFonts w:cstheme="minorHAnsi"/>
        </w:rPr>
        <w:t>,</w:t>
      </w:r>
      <w:r w:rsidRPr="00AD4C8D">
        <w:rPr>
          <w:rFonts w:cstheme="minorHAnsi"/>
        </w:rPr>
        <w:t xml:space="preserve"> </w:t>
      </w:r>
      <w:r>
        <w:rPr>
          <w:rFonts w:cstheme="minorHAnsi"/>
        </w:rPr>
        <w:t>and who feel happy with their relationship with staff</w:t>
      </w:r>
      <w:r w:rsidR="009A4858">
        <w:rPr>
          <w:rFonts w:cstheme="minorHAnsi"/>
        </w:rPr>
        <w:t>,</w:t>
      </w:r>
      <w:r>
        <w:rPr>
          <w:rFonts w:cstheme="minorHAnsi"/>
        </w:rPr>
        <w:t xml:space="preserve"> </w:t>
      </w:r>
      <w:r w:rsidRPr="00AD4C8D">
        <w:rPr>
          <w:rFonts w:cstheme="minorHAnsi"/>
        </w:rPr>
        <w:t>at baseline and at subsequent reviews</w:t>
      </w:r>
      <w:r w:rsidR="009A4858">
        <w:rPr>
          <w:rFonts w:cstheme="minorHAnsi"/>
        </w:rPr>
        <w:t>.</w:t>
      </w:r>
    </w:p>
    <w:p w:rsidR="00B83265" w:rsidRDefault="00B83265" w:rsidP="00B83265">
      <w:pPr>
        <w:spacing w:after="240"/>
        <w:rPr>
          <w:rFonts w:cstheme="minorHAnsi"/>
        </w:rPr>
      </w:pPr>
      <w:r w:rsidRPr="00BE65DB">
        <w:rPr>
          <w:rFonts w:cstheme="minorHAnsi"/>
        </w:rPr>
        <w:t>% who get to see their friends without paid staff or family present</w:t>
      </w:r>
      <w:r w:rsidR="009A4858">
        <w:rPr>
          <w:rFonts w:cstheme="minorHAnsi"/>
        </w:rPr>
        <w:t>: one to four year cohorts</w:t>
      </w:r>
    </w:p>
    <w:tbl>
      <w:tblPr>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269"/>
        <w:gridCol w:w="1270"/>
        <w:gridCol w:w="1270"/>
        <w:gridCol w:w="1270"/>
        <w:gridCol w:w="1270"/>
      </w:tblGrid>
      <w:tr w:rsidR="00B83265" w:rsidRPr="003C1218" w:rsidTr="003C1218">
        <w:trPr>
          <w:trHeight w:val="264"/>
        </w:trPr>
        <w:tc>
          <w:tcPr>
            <w:tcW w:w="2547" w:type="dxa"/>
            <w:noWrap/>
            <w:vAlign w:val="center"/>
            <w:hideMark/>
          </w:tcPr>
          <w:p w:rsidR="00B83265" w:rsidRPr="003C1218" w:rsidRDefault="00B83265" w:rsidP="003C1218">
            <w:pPr>
              <w:spacing w:after="0"/>
              <w:rPr>
                <w:rFonts w:ascii="Arial" w:eastAsia="Times New Roman" w:hAnsi="Arial" w:cs="Arial"/>
                <w:b/>
                <w:bCs/>
                <w:color w:val="000000"/>
                <w:lang w:eastAsia="zh-CN"/>
              </w:rPr>
            </w:pPr>
            <w:r w:rsidRPr="003C1218">
              <w:rPr>
                <w:rFonts w:ascii="Arial" w:eastAsia="Times New Roman" w:hAnsi="Arial" w:cs="Arial"/>
                <w:b/>
                <w:bCs/>
                <w:color w:val="000000"/>
                <w:lang w:eastAsia="zh-CN"/>
              </w:rPr>
              <w:t>Cohort</w:t>
            </w:r>
          </w:p>
        </w:tc>
        <w:tc>
          <w:tcPr>
            <w:tcW w:w="1269" w:type="dxa"/>
            <w:noWrap/>
            <w:vAlign w:val="center"/>
            <w:hideMark/>
          </w:tcPr>
          <w:p w:rsidR="00B83265" w:rsidRPr="003C1218" w:rsidRDefault="00B83265" w:rsidP="003C1218">
            <w:pPr>
              <w:spacing w:after="0"/>
              <w:rPr>
                <w:rFonts w:ascii="Arial" w:eastAsia="Times New Roman" w:hAnsi="Arial" w:cs="Arial"/>
                <w:b/>
                <w:bCs/>
                <w:color w:val="000000"/>
                <w:lang w:eastAsia="zh-CN"/>
              </w:rPr>
            </w:pPr>
            <w:r w:rsidRPr="003C1218">
              <w:rPr>
                <w:rFonts w:ascii="Arial" w:eastAsia="Times New Roman" w:hAnsi="Arial" w:cs="Arial"/>
                <w:b/>
                <w:bCs/>
                <w:color w:val="000000"/>
                <w:lang w:eastAsia="zh-CN"/>
              </w:rPr>
              <w:t>Baseline</w:t>
            </w:r>
          </w:p>
        </w:tc>
        <w:tc>
          <w:tcPr>
            <w:tcW w:w="1270" w:type="dxa"/>
            <w:noWrap/>
            <w:vAlign w:val="center"/>
            <w:hideMark/>
          </w:tcPr>
          <w:p w:rsidR="00B83265" w:rsidRPr="003C1218" w:rsidRDefault="00B83265" w:rsidP="003C1218">
            <w:pPr>
              <w:spacing w:after="0"/>
              <w:rPr>
                <w:rFonts w:ascii="Arial" w:eastAsia="Times New Roman" w:hAnsi="Arial" w:cs="Arial"/>
                <w:b/>
                <w:bCs/>
                <w:color w:val="000000"/>
                <w:lang w:eastAsia="zh-CN"/>
              </w:rPr>
            </w:pPr>
            <w:r w:rsidRPr="003C1218">
              <w:rPr>
                <w:rFonts w:ascii="Arial" w:eastAsia="Times New Roman" w:hAnsi="Arial" w:cs="Arial"/>
                <w:b/>
                <w:bCs/>
                <w:color w:val="000000"/>
                <w:lang w:eastAsia="zh-CN"/>
              </w:rPr>
              <w:t>Review 1</w:t>
            </w:r>
          </w:p>
        </w:tc>
        <w:tc>
          <w:tcPr>
            <w:tcW w:w="1270" w:type="dxa"/>
            <w:noWrap/>
            <w:vAlign w:val="center"/>
            <w:hideMark/>
          </w:tcPr>
          <w:p w:rsidR="00B83265" w:rsidRPr="003C1218" w:rsidRDefault="00B83265" w:rsidP="003C1218">
            <w:pPr>
              <w:spacing w:after="0"/>
              <w:rPr>
                <w:rFonts w:ascii="Arial" w:eastAsia="Times New Roman" w:hAnsi="Arial" w:cs="Arial"/>
                <w:b/>
                <w:bCs/>
                <w:color w:val="000000"/>
                <w:lang w:eastAsia="zh-CN"/>
              </w:rPr>
            </w:pPr>
            <w:r w:rsidRPr="003C1218">
              <w:rPr>
                <w:rFonts w:ascii="Arial" w:eastAsia="Times New Roman" w:hAnsi="Arial" w:cs="Arial"/>
                <w:b/>
                <w:bCs/>
                <w:color w:val="000000"/>
                <w:lang w:eastAsia="zh-CN"/>
              </w:rPr>
              <w:t>Review 2</w:t>
            </w:r>
          </w:p>
        </w:tc>
        <w:tc>
          <w:tcPr>
            <w:tcW w:w="1270" w:type="dxa"/>
            <w:noWrap/>
            <w:vAlign w:val="center"/>
            <w:hideMark/>
          </w:tcPr>
          <w:p w:rsidR="00B83265" w:rsidRPr="003C1218" w:rsidRDefault="00B83265" w:rsidP="003C1218">
            <w:pPr>
              <w:spacing w:after="0"/>
              <w:rPr>
                <w:rFonts w:ascii="Arial" w:eastAsia="Times New Roman" w:hAnsi="Arial" w:cs="Arial"/>
                <w:b/>
                <w:bCs/>
                <w:color w:val="000000"/>
                <w:lang w:eastAsia="zh-CN"/>
              </w:rPr>
            </w:pPr>
            <w:r w:rsidRPr="003C1218">
              <w:rPr>
                <w:rFonts w:ascii="Arial" w:eastAsia="Times New Roman" w:hAnsi="Arial" w:cs="Arial"/>
                <w:b/>
                <w:bCs/>
                <w:color w:val="000000"/>
                <w:lang w:eastAsia="zh-CN"/>
              </w:rPr>
              <w:t>Review 3</w:t>
            </w:r>
          </w:p>
        </w:tc>
        <w:tc>
          <w:tcPr>
            <w:tcW w:w="1270" w:type="dxa"/>
            <w:noWrap/>
            <w:vAlign w:val="center"/>
            <w:hideMark/>
          </w:tcPr>
          <w:p w:rsidR="00B83265" w:rsidRPr="003C1218" w:rsidRDefault="00B83265" w:rsidP="003C1218">
            <w:pPr>
              <w:spacing w:after="0"/>
              <w:rPr>
                <w:rFonts w:ascii="Arial" w:eastAsia="Times New Roman" w:hAnsi="Arial" w:cs="Arial"/>
                <w:b/>
                <w:bCs/>
                <w:color w:val="000000"/>
                <w:lang w:eastAsia="zh-CN"/>
              </w:rPr>
            </w:pPr>
            <w:r w:rsidRPr="003C1218">
              <w:rPr>
                <w:rFonts w:ascii="Arial" w:eastAsia="Times New Roman" w:hAnsi="Arial" w:cs="Arial"/>
                <w:b/>
                <w:bCs/>
                <w:color w:val="000000"/>
                <w:lang w:eastAsia="zh-CN"/>
              </w:rPr>
              <w:t>Review 4</w:t>
            </w:r>
          </w:p>
        </w:tc>
      </w:tr>
      <w:tr w:rsidR="00B83265" w:rsidRPr="003C1218" w:rsidTr="003C1218">
        <w:trPr>
          <w:trHeight w:val="264"/>
        </w:trPr>
        <w:tc>
          <w:tcPr>
            <w:tcW w:w="2547" w:type="dxa"/>
            <w:noWrap/>
            <w:vAlign w:val="center"/>
          </w:tcPr>
          <w:p w:rsidR="00B83265" w:rsidRPr="003C1218" w:rsidRDefault="00B83265" w:rsidP="003C1218">
            <w:pPr>
              <w:spacing w:after="0"/>
              <w:rPr>
                <w:rFonts w:ascii="Arial" w:hAnsi="Arial" w:cs="Arial"/>
              </w:rPr>
            </w:pPr>
            <w:r w:rsidRPr="003C1218">
              <w:rPr>
                <w:rFonts w:ascii="Arial" w:hAnsi="Arial" w:cs="Arial"/>
              </w:rPr>
              <w:t>4 year</w:t>
            </w:r>
            <w:r w:rsidR="009A4858" w:rsidRPr="003C1218">
              <w:rPr>
                <w:rFonts w:ascii="Arial" w:hAnsi="Arial" w:cs="Arial"/>
              </w:rPr>
              <w:t>s</w:t>
            </w:r>
          </w:p>
        </w:tc>
        <w:tc>
          <w:tcPr>
            <w:tcW w:w="1269" w:type="dxa"/>
            <w:noWrap/>
            <w:vAlign w:val="center"/>
          </w:tcPr>
          <w:p w:rsidR="00B83265" w:rsidRPr="003C1218" w:rsidRDefault="00B83265" w:rsidP="003C1218">
            <w:pPr>
              <w:spacing w:after="0"/>
              <w:rPr>
                <w:rFonts w:ascii="Arial" w:hAnsi="Arial" w:cs="Arial"/>
              </w:rPr>
            </w:pPr>
            <w:r w:rsidRPr="003C1218">
              <w:rPr>
                <w:rFonts w:ascii="Arial" w:hAnsi="Arial" w:cs="Arial"/>
              </w:rPr>
              <w:t>41.0%</w:t>
            </w:r>
          </w:p>
        </w:tc>
        <w:tc>
          <w:tcPr>
            <w:tcW w:w="1270" w:type="dxa"/>
            <w:noWrap/>
            <w:vAlign w:val="center"/>
          </w:tcPr>
          <w:p w:rsidR="00B83265" w:rsidRPr="003C1218" w:rsidRDefault="00B83265" w:rsidP="003C1218">
            <w:pPr>
              <w:spacing w:after="0"/>
              <w:rPr>
                <w:rFonts w:ascii="Arial" w:hAnsi="Arial" w:cs="Arial"/>
              </w:rPr>
            </w:pPr>
            <w:r w:rsidRPr="003C1218">
              <w:rPr>
                <w:rFonts w:ascii="Arial" w:hAnsi="Arial" w:cs="Arial"/>
              </w:rPr>
              <w:t>48.7%</w:t>
            </w:r>
          </w:p>
        </w:tc>
        <w:tc>
          <w:tcPr>
            <w:tcW w:w="1270" w:type="dxa"/>
            <w:noWrap/>
            <w:vAlign w:val="center"/>
          </w:tcPr>
          <w:p w:rsidR="00B83265" w:rsidRPr="003C1218" w:rsidRDefault="00B83265" w:rsidP="003C1218">
            <w:pPr>
              <w:spacing w:after="0"/>
              <w:rPr>
                <w:rFonts w:ascii="Arial" w:hAnsi="Arial" w:cs="Arial"/>
              </w:rPr>
            </w:pPr>
            <w:r w:rsidRPr="003C1218">
              <w:rPr>
                <w:rFonts w:ascii="Arial" w:hAnsi="Arial" w:cs="Arial"/>
              </w:rPr>
              <w:t>41.0%</w:t>
            </w:r>
          </w:p>
        </w:tc>
        <w:tc>
          <w:tcPr>
            <w:tcW w:w="1270" w:type="dxa"/>
            <w:noWrap/>
            <w:vAlign w:val="center"/>
          </w:tcPr>
          <w:p w:rsidR="00B83265" w:rsidRPr="003C1218" w:rsidRDefault="00B83265" w:rsidP="003C1218">
            <w:pPr>
              <w:spacing w:after="0"/>
              <w:rPr>
                <w:rFonts w:ascii="Arial" w:hAnsi="Arial" w:cs="Arial"/>
              </w:rPr>
            </w:pPr>
            <w:r w:rsidRPr="003C1218">
              <w:rPr>
                <w:rFonts w:ascii="Arial" w:hAnsi="Arial" w:cs="Arial"/>
              </w:rPr>
              <w:t>43.6%</w:t>
            </w:r>
          </w:p>
        </w:tc>
        <w:tc>
          <w:tcPr>
            <w:tcW w:w="1270" w:type="dxa"/>
            <w:noWrap/>
            <w:vAlign w:val="center"/>
          </w:tcPr>
          <w:p w:rsidR="00B83265" w:rsidRPr="003C1218" w:rsidRDefault="00B83265" w:rsidP="003C1218">
            <w:pPr>
              <w:spacing w:after="0"/>
              <w:rPr>
                <w:rFonts w:ascii="Arial" w:hAnsi="Arial" w:cs="Arial"/>
              </w:rPr>
            </w:pPr>
            <w:r w:rsidRPr="003C1218">
              <w:rPr>
                <w:rFonts w:ascii="Arial" w:hAnsi="Arial" w:cs="Arial"/>
              </w:rPr>
              <w:t>59.0%</w:t>
            </w:r>
          </w:p>
        </w:tc>
      </w:tr>
      <w:tr w:rsidR="00B83265" w:rsidRPr="003C1218" w:rsidTr="003C1218">
        <w:trPr>
          <w:trHeight w:val="264"/>
        </w:trPr>
        <w:tc>
          <w:tcPr>
            <w:tcW w:w="2547" w:type="dxa"/>
            <w:noWrap/>
            <w:vAlign w:val="center"/>
          </w:tcPr>
          <w:p w:rsidR="00B83265" w:rsidRPr="003C1218" w:rsidRDefault="00B83265" w:rsidP="003C1218">
            <w:pPr>
              <w:spacing w:after="0"/>
              <w:rPr>
                <w:rFonts w:ascii="Arial" w:hAnsi="Arial" w:cs="Arial"/>
              </w:rPr>
            </w:pPr>
            <w:r w:rsidRPr="003C1218">
              <w:rPr>
                <w:rFonts w:ascii="Arial" w:hAnsi="Arial" w:cs="Arial"/>
              </w:rPr>
              <w:t>3 years</w:t>
            </w:r>
          </w:p>
        </w:tc>
        <w:tc>
          <w:tcPr>
            <w:tcW w:w="1269" w:type="dxa"/>
            <w:noWrap/>
            <w:vAlign w:val="center"/>
          </w:tcPr>
          <w:p w:rsidR="00B83265" w:rsidRPr="003C1218" w:rsidRDefault="00B83265" w:rsidP="003C1218">
            <w:pPr>
              <w:spacing w:after="0"/>
              <w:rPr>
                <w:rFonts w:ascii="Arial" w:hAnsi="Arial" w:cs="Arial"/>
              </w:rPr>
            </w:pPr>
            <w:r w:rsidRPr="003C1218">
              <w:rPr>
                <w:rFonts w:ascii="Arial" w:hAnsi="Arial" w:cs="Arial"/>
              </w:rPr>
              <w:t>48.6%</w:t>
            </w:r>
          </w:p>
        </w:tc>
        <w:tc>
          <w:tcPr>
            <w:tcW w:w="1270" w:type="dxa"/>
            <w:noWrap/>
            <w:vAlign w:val="center"/>
          </w:tcPr>
          <w:p w:rsidR="00B83265" w:rsidRPr="003C1218" w:rsidRDefault="00B83265" w:rsidP="003C1218">
            <w:pPr>
              <w:spacing w:after="0"/>
              <w:rPr>
                <w:rFonts w:ascii="Arial" w:hAnsi="Arial" w:cs="Arial"/>
              </w:rPr>
            </w:pPr>
            <w:r w:rsidRPr="003C1218">
              <w:rPr>
                <w:rFonts w:ascii="Arial" w:hAnsi="Arial" w:cs="Arial"/>
              </w:rPr>
              <w:t>54.3%</w:t>
            </w:r>
          </w:p>
        </w:tc>
        <w:tc>
          <w:tcPr>
            <w:tcW w:w="1270" w:type="dxa"/>
            <w:noWrap/>
            <w:vAlign w:val="center"/>
          </w:tcPr>
          <w:p w:rsidR="00B83265" w:rsidRPr="003C1218" w:rsidRDefault="00B83265" w:rsidP="003C1218">
            <w:pPr>
              <w:spacing w:after="0"/>
              <w:rPr>
                <w:rFonts w:ascii="Arial" w:hAnsi="Arial" w:cs="Arial"/>
              </w:rPr>
            </w:pPr>
            <w:r w:rsidRPr="003C1218">
              <w:rPr>
                <w:rFonts w:ascii="Arial" w:hAnsi="Arial" w:cs="Arial"/>
              </w:rPr>
              <w:t>55.2%</w:t>
            </w:r>
          </w:p>
        </w:tc>
        <w:tc>
          <w:tcPr>
            <w:tcW w:w="1270" w:type="dxa"/>
            <w:noWrap/>
            <w:vAlign w:val="center"/>
          </w:tcPr>
          <w:p w:rsidR="00B83265" w:rsidRPr="003C1218" w:rsidRDefault="00B83265" w:rsidP="003C1218">
            <w:pPr>
              <w:spacing w:after="0"/>
              <w:rPr>
                <w:rFonts w:ascii="Arial" w:hAnsi="Arial" w:cs="Arial"/>
              </w:rPr>
            </w:pPr>
            <w:r w:rsidRPr="003C1218">
              <w:rPr>
                <w:rFonts w:ascii="Arial" w:hAnsi="Arial" w:cs="Arial"/>
              </w:rPr>
              <w:t>58.1%</w:t>
            </w:r>
          </w:p>
        </w:tc>
        <w:tc>
          <w:tcPr>
            <w:tcW w:w="1270" w:type="dxa"/>
            <w:noWrap/>
            <w:vAlign w:val="center"/>
          </w:tcPr>
          <w:p w:rsidR="00B83265" w:rsidRPr="003C1218" w:rsidRDefault="00B83265" w:rsidP="003C1218">
            <w:pPr>
              <w:spacing w:after="0"/>
              <w:rPr>
                <w:rFonts w:ascii="Arial" w:hAnsi="Arial" w:cs="Arial"/>
              </w:rPr>
            </w:pPr>
          </w:p>
        </w:tc>
      </w:tr>
      <w:tr w:rsidR="00B83265" w:rsidRPr="003C1218" w:rsidTr="003C1218">
        <w:trPr>
          <w:trHeight w:val="264"/>
        </w:trPr>
        <w:tc>
          <w:tcPr>
            <w:tcW w:w="2547" w:type="dxa"/>
            <w:noWrap/>
            <w:vAlign w:val="center"/>
          </w:tcPr>
          <w:p w:rsidR="00B83265" w:rsidRPr="003C1218" w:rsidRDefault="00B83265" w:rsidP="003C1218">
            <w:pPr>
              <w:spacing w:after="0"/>
              <w:rPr>
                <w:rFonts w:ascii="Arial" w:hAnsi="Arial" w:cs="Arial"/>
              </w:rPr>
            </w:pPr>
            <w:r w:rsidRPr="003C1218">
              <w:rPr>
                <w:rFonts w:ascii="Arial" w:hAnsi="Arial" w:cs="Arial"/>
              </w:rPr>
              <w:t>2 years</w:t>
            </w:r>
          </w:p>
        </w:tc>
        <w:tc>
          <w:tcPr>
            <w:tcW w:w="1269" w:type="dxa"/>
            <w:noWrap/>
            <w:vAlign w:val="center"/>
          </w:tcPr>
          <w:p w:rsidR="00B83265" w:rsidRPr="003C1218" w:rsidRDefault="00B83265" w:rsidP="003C1218">
            <w:pPr>
              <w:spacing w:after="0"/>
              <w:rPr>
                <w:rFonts w:ascii="Arial" w:hAnsi="Arial" w:cs="Arial"/>
              </w:rPr>
            </w:pPr>
            <w:r w:rsidRPr="003C1218">
              <w:rPr>
                <w:rFonts w:ascii="Arial" w:hAnsi="Arial" w:cs="Arial"/>
              </w:rPr>
              <w:t>46.8%</w:t>
            </w:r>
          </w:p>
        </w:tc>
        <w:tc>
          <w:tcPr>
            <w:tcW w:w="1270" w:type="dxa"/>
            <w:noWrap/>
            <w:vAlign w:val="center"/>
          </w:tcPr>
          <w:p w:rsidR="00B83265" w:rsidRPr="003C1218" w:rsidRDefault="00B83265" w:rsidP="003C1218">
            <w:pPr>
              <w:spacing w:after="0"/>
              <w:rPr>
                <w:rFonts w:ascii="Arial" w:hAnsi="Arial" w:cs="Arial"/>
              </w:rPr>
            </w:pPr>
            <w:r w:rsidRPr="003C1218">
              <w:rPr>
                <w:rFonts w:ascii="Arial" w:hAnsi="Arial" w:cs="Arial"/>
              </w:rPr>
              <w:t>53.5%</w:t>
            </w:r>
          </w:p>
        </w:tc>
        <w:tc>
          <w:tcPr>
            <w:tcW w:w="1270" w:type="dxa"/>
            <w:noWrap/>
            <w:vAlign w:val="center"/>
          </w:tcPr>
          <w:p w:rsidR="00B83265" w:rsidRPr="003C1218" w:rsidRDefault="00B83265" w:rsidP="003C1218">
            <w:pPr>
              <w:spacing w:after="0"/>
              <w:rPr>
                <w:rFonts w:ascii="Arial" w:hAnsi="Arial" w:cs="Arial"/>
              </w:rPr>
            </w:pPr>
            <w:r w:rsidRPr="003C1218">
              <w:rPr>
                <w:rFonts w:ascii="Arial" w:hAnsi="Arial" w:cs="Arial"/>
              </w:rPr>
              <w:t>55.8%</w:t>
            </w:r>
          </w:p>
        </w:tc>
        <w:tc>
          <w:tcPr>
            <w:tcW w:w="1270" w:type="dxa"/>
            <w:noWrap/>
            <w:vAlign w:val="center"/>
          </w:tcPr>
          <w:p w:rsidR="00B83265" w:rsidRPr="003C1218" w:rsidRDefault="00B83265" w:rsidP="003C1218">
            <w:pPr>
              <w:spacing w:after="0"/>
              <w:rPr>
                <w:rFonts w:ascii="Arial" w:hAnsi="Arial" w:cs="Arial"/>
              </w:rPr>
            </w:pPr>
          </w:p>
        </w:tc>
        <w:tc>
          <w:tcPr>
            <w:tcW w:w="1270" w:type="dxa"/>
            <w:noWrap/>
            <w:vAlign w:val="center"/>
          </w:tcPr>
          <w:p w:rsidR="00B83265" w:rsidRPr="003C1218" w:rsidRDefault="00B83265" w:rsidP="003C1218">
            <w:pPr>
              <w:spacing w:after="0"/>
              <w:rPr>
                <w:rFonts w:ascii="Arial" w:hAnsi="Arial" w:cs="Arial"/>
              </w:rPr>
            </w:pPr>
          </w:p>
        </w:tc>
      </w:tr>
      <w:tr w:rsidR="00B83265" w:rsidRPr="003C1218" w:rsidTr="003C1218">
        <w:trPr>
          <w:trHeight w:val="264"/>
        </w:trPr>
        <w:tc>
          <w:tcPr>
            <w:tcW w:w="2547" w:type="dxa"/>
            <w:noWrap/>
            <w:vAlign w:val="center"/>
          </w:tcPr>
          <w:p w:rsidR="00B83265" w:rsidRPr="003C1218" w:rsidRDefault="00B83265" w:rsidP="003C1218">
            <w:pPr>
              <w:spacing w:after="0"/>
              <w:rPr>
                <w:rFonts w:ascii="Arial" w:hAnsi="Arial" w:cs="Arial"/>
              </w:rPr>
            </w:pPr>
            <w:r w:rsidRPr="003C1218">
              <w:rPr>
                <w:rFonts w:ascii="Arial" w:hAnsi="Arial" w:cs="Arial"/>
              </w:rPr>
              <w:t>1 year</w:t>
            </w:r>
          </w:p>
        </w:tc>
        <w:tc>
          <w:tcPr>
            <w:tcW w:w="1269" w:type="dxa"/>
            <w:noWrap/>
            <w:vAlign w:val="center"/>
          </w:tcPr>
          <w:p w:rsidR="00B83265" w:rsidRPr="003C1218" w:rsidRDefault="00B83265" w:rsidP="003C1218">
            <w:pPr>
              <w:spacing w:after="0"/>
              <w:rPr>
                <w:rFonts w:ascii="Arial" w:hAnsi="Arial" w:cs="Arial"/>
              </w:rPr>
            </w:pPr>
            <w:r w:rsidRPr="003C1218">
              <w:rPr>
                <w:rFonts w:ascii="Arial" w:hAnsi="Arial" w:cs="Arial"/>
              </w:rPr>
              <w:t>50.7%</w:t>
            </w:r>
          </w:p>
        </w:tc>
        <w:tc>
          <w:tcPr>
            <w:tcW w:w="1270" w:type="dxa"/>
            <w:noWrap/>
            <w:vAlign w:val="center"/>
          </w:tcPr>
          <w:p w:rsidR="00B83265" w:rsidRPr="003C1218" w:rsidRDefault="00B83265" w:rsidP="003C1218">
            <w:pPr>
              <w:spacing w:after="0"/>
              <w:rPr>
                <w:rFonts w:ascii="Arial" w:hAnsi="Arial" w:cs="Arial"/>
              </w:rPr>
            </w:pPr>
            <w:r w:rsidRPr="003C1218">
              <w:rPr>
                <w:rFonts w:ascii="Arial" w:hAnsi="Arial" w:cs="Arial"/>
              </w:rPr>
              <w:t>59.8%</w:t>
            </w:r>
          </w:p>
        </w:tc>
        <w:tc>
          <w:tcPr>
            <w:tcW w:w="1270" w:type="dxa"/>
            <w:noWrap/>
            <w:vAlign w:val="center"/>
          </w:tcPr>
          <w:p w:rsidR="00B83265" w:rsidRPr="003C1218" w:rsidRDefault="00B83265" w:rsidP="003C1218">
            <w:pPr>
              <w:spacing w:after="0"/>
              <w:rPr>
                <w:rFonts w:ascii="Arial" w:hAnsi="Arial" w:cs="Arial"/>
              </w:rPr>
            </w:pPr>
          </w:p>
        </w:tc>
        <w:tc>
          <w:tcPr>
            <w:tcW w:w="1270" w:type="dxa"/>
            <w:noWrap/>
            <w:vAlign w:val="center"/>
          </w:tcPr>
          <w:p w:rsidR="00B83265" w:rsidRPr="003C1218" w:rsidRDefault="00B83265" w:rsidP="003C1218">
            <w:pPr>
              <w:spacing w:after="0"/>
              <w:rPr>
                <w:rFonts w:ascii="Arial" w:hAnsi="Arial" w:cs="Arial"/>
              </w:rPr>
            </w:pPr>
          </w:p>
        </w:tc>
        <w:tc>
          <w:tcPr>
            <w:tcW w:w="1270" w:type="dxa"/>
            <w:noWrap/>
            <w:vAlign w:val="center"/>
          </w:tcPr>
          <w:p w:rsidR="00B83265" w:rsidRPr="003C1218" w:rsidRDefault="00B83265" w:rsidP="003C1218">
            <w:pPr>
              <w:spacing w:after="0"/>
              <w:rPr>
                <w:rFonts w:ascii="Arial" w:hAnsi="Arial" w:cs="Arial"/>
              </w:rPr>
            </w:pPr>
          </w:p>
        </w:tc>
      </w:tr>
    </w:tbl>
    <w:p w:rsidR="00B83265" w:rsidRDefault="00B83265" w:rsidP="00B83265">
      <w:pPr>
        <w:spacing w:after="240"/>
        <w:rPr>
          <w:rFonts w:cstheme="minorHAnsi"/>
        </w:rPr>
      </w:pPr>
      <w:r w:rsidRPr="00752AAD">
        <w:rPr>
          <w:rFonts w:cstheme="minorHAnsi"/>
        </w:rPr>
        <w:t>Note that due to small numbers, this LF indicator is not available for participants in the five years</w:t>
      </w:r>
      <w:r w:rsidR="009A4858">
        <w:rPr>
          <w:rFonts w:cstheme="minorHAnsi"/>
        </w:rPr>
        <w:t xml:space="preserve"> cohort</w:t>
      </w:r>
      <w:r w:rsidRPr="00752AAD">
        <w:rPr>
          <w:rFonts w:cstheme="minorHAnsi"/>
        </w:rPr>
        <w:t>.</w:t>
      </w:r>
    </w:p>
    <w:p w:rsidR="00B83265" w:rsidRDefault="00B83265" w:rsidP="00B83265">
      <w:pPr>
        <w:spacing w:after="240"/>
        <w:rPr>
          <w:rFonts w:cstheme="minorHAnsi"/>
        </w:rPr>
      </w:pPr>
      <w:r w:rsidRPr="00BE65DB">
        <w:rPr>
          <w:rFonts w:cstheme="minorHAnsi"/>
        </w:rPr>
        <w:t>% who feel happy with their relationship with staff</w:t>
      </w:r>
      <w:r w:rsidR="009A4858">
        <w:rPr>
          <w:rFonts w:cstheme="minorHAnsi"/>
        </w:rPr>
        <w:t>: one to five year cohorts</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220"/>
        <w:gridCol w:w="1221"/>
        <w:gridCol w:w="1221"/>
        <w:gridCol w:w="1220"/>
        <w:gridCol w:w="1221"/>
        <w:gridCol w:w="1221"/>
      </w:tblGrid>
      <w:tr w:rsidR="00B83265" w:rsidRPr="003C1218" w:rsidTr="003C1218">
        <w:trPr>
          <w:trHeight w:val="264"/>
        </w:trPr>
        <w:tc>
          <w:tcPr>
            <w:tcW w:w="2547" w:type="dxa"/>
            <w:noWrap/>
            <w:vAlign w:val="center"/>
            <w:hideMark/>
          </w:tcPr>
          <w:p w:rsidR="00B83265" w:rsidRPr="003C1218" w:rsidRDefault="00B83265" w:rsidP="003C1218">
            <w:pPr>
              <w:spacing w:after="0"/>
              <w:rPr>
                <w:rFonts w:ascii="Arial" w:eastAsia="Times New Roman" w:hAnsi="Arial" w:cs="Arial"/>
                <w:b/>
                <w:bCs/>
                <w:color w:val="000000"/>
                <w:lang w:eastAsia="zh-CN"/>
              </w:rPr>
            </w:pPr>
            <w:r w:rsidRPr="003C1218">
              <w:rPr>
                <w:rFonts w:ascii="Arial" w:eastAsia="Times New Roman" w:hAnsi="Arial" w:cs="Arial"/>
                <w:b/>
                <w:bCs/>
                <w:color w:val="000000"/>
                <w:lang w:eastAsia="zh-CN"/>
              </w:rPr>
              <w:t>Cohort</w:t>
            </w:r>
          </w:p>
        </w:tc>
        <w:tc>
          <w:tcPr>
            <w:tcW w:w="1220" w:type="dxa"/>
            <w:noWrap/>
            <w:vAlign w:val="center"/>
            <w:hideMark/>
          </w:tcPr>
          <w:p w:rsidR="00B83265" w:rsidRPr="003C1218" w:rsidRDefault="00B83265" w:rsidP="003C1218">
            <w:pPr>
              <w:spacing w:after="0"/>
              <w:rPr>
                <w:rFonts w:ascii="Arial" w:eastAsia="Times New Roman" w:hAnsi="Arial" w:cs="Arial"/>
                <w:b/>
                <w:bCs/>
                <w:color w:val="000000"/>
                <w:lang w:eastAsia="zh-CN"/>
              </w:rPr>
            </w:pPr>
            <w:r w:rsidRPr="003C1218">
              <w:rPr>
                <w:rFonts w:ascii="Arial" w:eastAsia="Times New Roman" w:hAnsi="Arial" w:cs="Arial"/>
                <w:b/>
                <w:bCs/>
                <w:color w:val="000000"/>
                <w:lang w:eastAsia="zh-CN"/>
              </w:rPr>
              <w:t>Baseline</w:t>
            </w:r>
          </w:p>
        </w:tc>
        <w:tc>
          <w:tcPr>
            <w:tcW w:w="1221" w:type="dxa"/>
            <w:noWrap/>
            <w:vAlign w:val="center"/>
            <w:hideMark/>
          </w:tcPr>
          <w:p w:rsidR="00B83265" w:rsidRPr="003C1218" w:rsidRDefault="00B83265" w:rsidP="003C1218">
            <w:pPr>
              <w:spacing w:after="0"/>
              <w:rPr>
                <w:rFonts w:ascii="Arial" w:eastAsia="Times New Roman" w:hAnsi="Arial" w:cs="Arial"/>
                <w:b/>
                <w:bCs/>
                <w:color w:val="000000"/>
                <w:lang w:eastAsia="zh-CN"/>
              </w:rPr>
            </w:pPr>
            <w:r w:rsidRPr="003C1218">
              <w:rPr>
                <w:rFonts w:ascii="Arial" w:eastAsia="Times New Roman" w:hAnsi="Arial" w:cs="Arial"/>
                <w:b/>
                <w:bCs/>
                <w:color w:val="000000"/>
                <w:lang w:eastAsia="zh-CN"/>
              </w:rPr>
              <w:t>Review 1</w:t>
            </w:r>
          </w:p>
        </w:tc>
        <w:tc>
          <w:tcPr>
            <w:tcW w:w="1221" w:type="dxa"/>
            <w:noWrap/>
            <w:vAlign w:val="center"/>
            <w:hideMark/>
          </w:tcPr>
          <w:p w:rsidR="00B83265" w:rsidRPr="003C1218" w:rsidRDefault="00B83265" w:rsidP="003C1218">
            <w:pPr>
              <w:spacing w:after="0"/>
              <w:rPr>
                <w:rFonts w:ascii="Arial" w:eastAsia="Times New Roman" w:hAnsi="Arial" w:cs="Arial"/>
                <w:b/>
                <w:bCs/>
                <w:color w:val="000000"/>
                <w:lang w:eastAsia="zh-CN"/>
              </w:rPr>
            </w:pPr>
            <w:r w:rsidRPr="003C1218">
              <w:rPr>
                <w:rFonts w:ascii="Arial" w:eastAsia="Times New Roman" w:hAnsi="Arial" w:cs="Arial"/>
                <w:b/>
                <w:bCs/>
                <w:color w:val="000000"/>
                <w:lang w:eastAsia="zh-CN"/>
              </w:rPr>
              <w:t>Review 2</w:t>
            </w:r>
          </w:p>
        </w:tc>
        <w:tc>
          <w:tcPr>
            <w:tcW w:w="1220" w:type="dxa"/>
            <w:noWrap/>
            <w:vAlign w:val="center"/>
            <w:hideMark/>
          </w:tcPr>
          <w:p w:rsidR="00B83265" w:rsidRPr="003C1218" w:rsidRDefault="00B83265" w:rsidP="003C1218">
            <w:pPr>
              <w:spacing w:after="0"/>
              <w:rPr>
                <w:rFonts w:ascii="Arial" w:eastAsia="Times New Roman" w:hAnsi="Arial" w:cs="Arial"/>
                <w:b/>
                <w:bCs/>
                <w:color w:val="000000"/>
                <w:lang w:eastAsia="zh-CN"/>
              </w:rPr>
            </w:pPr>
            <w:r w:rsidRPr="003C1218">
              <w:rPr>
                <w:rFonts w:ascii="Arial" w:eastAsia="Times New Roman" w:hAnsi="Arial" w:cs="Arial"/>
                <w:b/>
                <w:bCs/>
                <w:color w:val="000000"/>
                <w:lang w:eastAsia="zh-CN"/>
              </w:rPr>
              <w:t>Review 3</w:t>
            </w:r>
          </w:p>
        </w:tc>
        <w:tc>
          <w:tcPr>
            <w:tcW w:w="1221" w:type="dxa"/>
            <w:noWrap/>
            <w:vAlign w:val="center"/>
            <w:hideMark/>
          </w:tcPr>
          <w:p w:rsidR="00B83265" w:rsidRPr="003C1218" w:rsidRDefault="00B83265" w:rsidP="003C1218">
            <w:pPr>
              <w:spacing w:after="0"/>
              <w:rPr>
                <w:rFonts w:ascii="Arial" w:eastAsia="Times New Roman" w:hAnsi="Arial" w:cs="Arial"/>
                <w:b/>
                <w:bCs/>
                <w:color w:val="000000"/>
                <w:lang w:eastAsia="zh-CN"/>
              </w:rPr>
            </w:pPr>
            <w:r w:rsidRPr="003C1218">
              <w:rPr>
                <w:rFonts w:ascii="Arial" w:eastAsia="Times New Roman" w:hAnsi="Arial" w:cs="Arial"/>
                <w:b/>
                <w:bCs/>
                <w:color w:val="000000"/>
                <w:lang w:eastAsia="zh-CN"/>
              </w:rPr>
              <w:t>Review 4</w:t>
            </w:r>
          </w:p>
        </w:tc>
        <w:tc>
          <w:tcPr>
            <w:tcW w:w="1221" w:type="dxa"/>
            <w:vAlign w:val="center"/>
          </w:tcPr>
          <w:p w:rsidR="00B83265" w:rsidRPr="003C1218" w:rsidRDefault="00B83265" w:rsidP="003C1218">
            <w:pPr>
              <w:spacing w:after="0"/>
              <w:rPr>
                <w:rFonts w:ascii="Arial" w:eastAsia="Times New Roman" w:hAnsi="Arial" w:cs="Arial"/>
                <w:b/>
                <w:bCs/>
                <w:color w:val="000000"/>
                <w:lang w:eastAsia="zh-CN"/>
              </w:rPr>
            </w:pPr>
            <w:r w:rsidRPr="003C1218">
              <w:rPr>
                <w:rFonts w:ascii="Arial" w:eastAsia="Times New Roman" w:hAnsi="Arial" w:cs="Arial"/>
                <w:b/>
                <w:bCs/>
                <w:color w:val="000000"/>
                <w:lang w:eastAsia="zh-CN"/>
              </w:rPr>
              <w:t>Review 5</w:t>
            </w:r>
          </w:p>
        </w:tc>
      </w:tr>
      <w:tr w:rsidR="00B83265" w:rsidRPr="003C1218" w:rsidTr="003C1218">
        <w:trPr>
          <w:trHeight w:val="264"/>
        </w:trPr>
        <w:tc>
          <w:tcPr>
            <w:tcW w:w="2547" w:type="dxa"/>
            <w:noWrap/>
            <w:vAlign w:val="center"/>
          </w:tcPr>
          <w:p w:rsidR="00B83265" w:rsidRPr="003C1218" w:rsidRDefault="00B83265" w:rsidP="003C1218">
            <w:pPr>
              <w:spacing w:after="0"/>
              <w:rPr>
                <w:rFonts w:ascii="Arial" w:hAnsi="Arial" w:cs="Arial"/>
                <w:color w:val="000000"/>
              </w:rPr>
            </w:pPr>
            <w:r w:rsidRPr="003C1218">
              <w:rPr>
                <w:rFonts w:ascii="Arial" w:hAnsi="Arial" w:cs="Arial"/>
              </w:rPr>
              <w:t>5 year</w:t>
            </w:r>
            <w:r w:rsidR="009A4858" w:rsidRPr="003C1218">
              <w:rPr>
                <w:rFonts w:ascii="Arial" w:hAnsi="Arial" w:cs="Arial"/>
              </w:rPr>
              <w:t>s</w:t>
            </w:r>
          </w:p>
        </w:tc>
        <w:tc>
          <w:tcPr>
            <w:tcW w:w="1220" w:type="dxa"/>
            <w:noWrap/>
            <w:vAlign w:val="center"/>
          </w:tcPr>
          <w:p w:rsidR="00B83265" w:rsidRPr="003C1218" w:rsidRDefault="00B83265" w:rsidP="003C1218">
            <w:pPr>
              <w:spacing w:after="0"/>
              <w:rPr>
                <w:rFonts w:ascii="Arial" w:hAnsi="Arial" w:cs="Arial"/>
              </w:rPr>
            </w:pPr>
            <w:r w:rsidRPr="003C1218">
              <w:rPr>
                <w:rFonts w:ascii="Arial" w:hAnsi="Arial" w:cs="Arial"/>
              </w:rPr>
              <w:t>71.0%</w:t>
            </w:r>
          </w:p>
        </w:tc>
        <w:tc>
          <w:tcPr>
            <w:tcW w:w="1221" w:type="dxa"/>
            <w:noWrap/>
            <w:vAlign w:val="center"/>
          </w:tcPr>
          <w:p w:rsidR="00B83265" w:rsidRPr="003C1218" w:rsidRDefault="00B83265" w:rsidP="003C1218">
            <w:pPr>
              <w:spacing w:after="0"/>
              <w:rPr>
                <w:rFonts w:ascii="Arial" w:hAnsi="Arial" w:cs="Arial"/>
              </w:rPr>
            </w:pPr>
            <w:r w:rsidRPr="003C1218">
              <w:rPr>
                <w:rFonts w:ascii="Arial" w:hAnsi="Arial" w:cs="Arial"/>
              </w:rPr>
              <w:t>91.2%</w:t>
            </w:r>
          </w:p>
        </w:tc>
        <w:tc>
          <w:tcPr>
            <w:tcW w:w="1221" w:type="dxa"/>
            <w:noWrap/>
            <w:vAlign w:val="center"/>
          </w:tcPr>
          <w:p w:rsidR="00B83265" w:rsidRPr="003C1218" w:rsidRDefault="00B83265" w:rsidP="003C1218">
            <w:pPr>
              <w:spacing w:after="0"/>
              <w:rPr>
                <w:rFonts w:ascii="Arial" w:hAnsi="Arial" w:cs="Arial"/>
              </w:rPr>
            </w:pPr>
            <w:r w:rsidRPr="003C1218">
              <w:rPr>
                <w:rFonts w:ascii="Arial" w:hAnsi="Arial" w:cs="Arial"/>
              </w:rPr>
              <w:t>91.2%</w:t>
            </w:r>
          </w:p>
        </w:tc>
        <w:tc>
          <w:tcPr>
            <w:tcW w:w="1220" w:type="dxa"/>
            <w:noWrap/>
            <w:vAlign w:val="center"/>
          </w:tcPr>
          <w:p w:rsidR="00B83265" w:rsidRPr="003C1218" w:rsidRDefault="00B83265" w:rsidP="003C1218">
            <w:pPr>
              <w:spacing w:after="0"/>
              <w:rPr>
                <w:rFonts w:ascii="Arial" w:hAnsi="Arial" w:cs="Arial"/>
              </w:rPr>
            </w:pPr>
            <w:r w:rsidRPr="003C1218">
              <w:rPr>
                <w:rFonts w:ascii="Arial" w:hAnsi="Arial" w:cs="Arial"/>
              </w:rPr>
              <w:t>85.7%</w:t>
            </w:r>
          </w:p>
        </w:tc>
        <w:tc>
          <w:tcPr>
            <w:tcW w:w="1221" w:type="dxa"/>
            <w:noWrap/>
            <w:vAlign w:val="center"/>
          </w:tcPr>
          <w:p w:rsidR="00B83265" w:rsidRPr="003C1218" w:rsidRDefault="00B83265" w:rsidP="003C1218">
            <w:pPr>
              <w:spacing w:after="0"/>
              <w:rPr>
                <w:rFonts w:ascii="Arial" w:hAnsi="Arial" w:cs="Arial"/>
              </w:rPr>
            </w:pPr>
            <w:r w:rsidRPr="003C1218">
              <w:rPr>
                <w:rFonts w:ascii="Arial" w:hAnsi="Arial" w:cs="Arial"/>
              </w:rPr>
              <w:t>94.2%</w:t>
            </w:r>
          </w:p>
        </w:tc>
        <w:tc>
          <w:tcPr>
            <w:tcW w:w="1221" w:type="dxa"/>
            <w:vAlign w:val="center"/>
          </w:tcPr>
          <w:p w:rsidR="00B83265" w:rsidRPr="003C1218" w:rsidRDefault="00B83265" w:rsidP="003C1218">
            <w:pPr>
              <w:spacing w:after="0"/>
              <w:rPr>
                <w:rFonts w:ascii="Arial" w:hAnsi="Arial" w:cs="Arial"/>
              </w:rPr>
            </w:pPr>
            <w:r w:rsidRPr="003C1218">
              <w:rPr>
                <w:rFonts w:ascii="Arial" w:hAnsi="Arial" w:cs="Arial"/>
              </w:rPr>
              <w:t>97.1%</w:t>
            </w:r>
          </w:p>
        </w:tc>
      </w:tr>
      <w:tr w:rsidR="00B83265" w:rsidRPr="003C1218" w:rsidTr="003C1218">
        <w:trPr>
          <w:trHeight w:val="264"/>
        </w:trPr>
        <w:tc>
          <w:tcPr>
            <w:tcW w:w="2547" w:type="dxa"/>
            <w:noWrap/>
            <w:vAlign w:val="center"/>
          </w:tcPr>
          <w:p w:rsidR="00B83265" w:rsidRPr="003C1218" w:rsidRDefault="00B83265" w:rsidP="003C1218">
            <w:pPr>
              <w:spacing w:after="0"/>
              <w:rPr>
                <w:rFonts w:ascii="Arial" w:hAnsi="Arial" w:cs="Arial"/>
              </w:rPr>
            </w:pPr>
            <w:r w:rsidRPr="003C1218">
              <w:rPr>
                <w:rFonts w:ascii="Arial" w:hAnsi="Arial" w:cs="Arial"/>
              </w:rPr>
              <w:t>4 year</w:t>
            </w:r>
            <w:r w:rsidR="009A4858" w:rsidRPr="003C1218">
              <w:rPr>
                <w:rFonts w:ascii="Arial" w:hAnsi="Arial" w:cs="Arial"/>
              </w:rPr>
              <w:t>s</w:t>
            </w:r>
          </w:p>
        </w:tc>
        <w:tc>
          <w:tcPr>
            <w:tcW w:w="1220" w:type="dxa"/>
            <w:noWrap/>
            <w:vAlign w:val="center"/>
          </w:tcPr>
          <w:p w:rsidR="00B83265" w:rsidRPr="003C1218" w:rsidRDefault="00B83265" w:rsidP="003C1218">
            <w:pPr>
              <w:spacing w:after="0"/>
              <w:rPr>
                <w:rFonts w:ascii="Arial" w:hAnsi="Arial" w:cs="Arial"/>
              </w:rPr>
            </w:pPr>
            <w:r w:rsidRPr="003C1218">
              <w:rPr>
                <w:rFonts w:ascii="Arial" w:hAnsi="Arial" w:cs="Arial"/>
              </w:rPr>
              <w:t>80.2%</w:t>
            </w:r>
          </w:p>
        </w:tc>
        <w:tc>
          <w:tcPr>
            <w:tcW w:w="1221" w:type="dxa"/>
            <w:noWrap/>
            <w:vAlign w:val="center"/>
          </w:tcPr>
          <w:p w:rsidR="00B83265" w:rsidRPr="003C1218" w:rsidRDefault="00B83265" w:rsidP="003C1218">
            <w:pPr>
              <w:spacing w:after="0"/>
              <w:rPr>
                <w:rFonts w:ascii="Arial" w:hAnsi="Arial" w:cs="Arial"/>
              </w:rPr>
            </w:pPr>
            <w:r w:rsidRPr="003C1218">
              <w:rPr>
                <w:rFonts w:ascii="Arial" w:hAnsi="Arial" w:cs="Arial"/>
              </w:rPr>
              <w:t>91.1%</w:t>
            </w:r>
          </w:p>
        </w:tc>
        <w:tc>
          <w:tcPr>
            <w:tcW w:w="1221" w:type="dxa"/>
            <w:noWrap/>
            <w:vAlign w:val="center"/>
          </w:tcPr>
          <w:p w:rsidR="00B83265" w:rsidRPr="003C1218" w:rsidRDefault="00B83265" w:rsidP="003C1218">
            <w:pPr>
              <w:spacing w:after="0"/>
              <w:rPr>
                <w:rFonts w:ascii="Arial" w:hAnsi="Arial" w:cs="Arial"/>
              </w:rPr>
            </w:pPr>
            <w:r w:rsidRPr="003C1218">
              <w:rPr>
                <w:rFonts w:ascii="Arial" w:hAnsi="Arial" w:cs="Arial"/>
              </w:rPr>
              <w:t>94.4%</w:t>
            </w:r>
          </w:p>
        </w:tc>
        <w:tc>
          <w:tcPr>
            <w:tcW w:w="1220" w:type="dxa"/>
            <w:noWrap/>
            <w:vAlign w:val="center"/>
          </w:tcPr>
          <w:p w:rsidR="00B83265" w:rsidRPr="003C1218" w:rsidRDefault="00B83265" w:rsidP="003C1218">
            <w:pPr>
              <w:spacing w:after="0"/>
              <w:rPr>
                <w:rFonts w:ascii="Arial" w:hAnsi="Arial" w:cs="Arial"/>
              </w:rPr>
            </w:pPr>
            <w:r w:rsidRPr="003C1218">
              <w:rPr>
                <w:rFonts w:ascii="Arial" w:hAnsi="Arial" w:cs="Arial"/>
              </w:rPr>
              <w:t>95.1%</w:t>
            </w:r>
          </w:p>
        </w:tc>
        <w:tc>
          <w:tcPr>
            <w:tcW w:w="1221" w:type="dxa"/>
            <w:noWrap/>
            <w:vAlign w:val="center"/>
          </w:tcPr>
          <w:p w:rsidR="00B83265" w:rsidRPr="003C1218" w:rsidRDefault="00B83265" w:rsidP="003C1218">
            <w:pPr>
              <w:spacing w:after="0"/>
              <w:rPr>
                <w:rFonts w:ascii="Arial" w:hAnsi="Arial" w:cs="Arial"/>
              </w:rPr>
            </w:pPr>
            <w:r w:rsidRPr="003C1218">
              <w:rPr>
                <w:rFonts w:ascii="Arial" w:hAnsi="Arial" w:cs="Arial"/>
              </w:rPr>
              <w:t>94.5%</w:t>
            </w:r>
          </w:p>
        </w:tc>
        <w:tc>
          <w:tcPr>
            <w:tcW w:w="1221" w:type="dxa"/>
            <w:vAlign w:val="center"/>
          </w:tcPr>
          <w:p w:rsidR="00B83265" w:rsidRPr="003C1218" w:rsidRDefault="00B83265" w:rsidP="003C1218">
            <w:pPr>
              <w:spacing w:after="0"/>
              <w:rPr>
                <w:rFonts w:ascii="Arial" w:hAnsi="Arial" w:cs="Arial"/>
              </w:rPr>
            </w:pPr>
          </w:p>
        </w:tc>
      </w:tr>
      <w:tr w:rsidR="00B83265" w:rsidRPr="003C1218" w:rsidTr="003C1218">
        <w:trPr>
          <w:trHeight w:val="264"/>
        </w:trPr>
        <w:tc>
          <w:tcPr>
            <w:tcW w:w="2547" w:type="dxa"/>
            <w:noWrap/>
            <w:vAlign w:val="center"/>
          </w:tcPr>
          <w:p w:rsidR="00B83265" w:rsidRPr="003C1218" w:rsidRDefault="00B83265" w:rsidP="003C1218">
            <w:pPr>
              <w:spacing w:after="0"/>
              <w:rPr>
                <w:rFonts w:ascii="Arial" w:hAnsi="Arial" w:cs="Arial"/>
              </w:rPr>
            </w:pPr>
            <w:r w:rsidRPr="003C1218">
              <w:rPr>
                <w:rFonts w:ascii="Arial" w:hAnsi="Arial" w:cs="Arial"/>
              </w:rPr>
              <w:t>3 years</w:t>
            </w:r>
          </w:p>
        </w:tc>
        <w:tc>
          <w:tcPr>
            <w:tcW w:w="1220" w:type="dxa"/>
            <w:noWrap/>
            <w:vAlign w:val="center"/>
          </w:tcPr>
          <w:p w:rsidR="00B83265" w:rsidRPr="003C1218" w:rsidRDefault="00B83265" w:rsidP="003C1218">
            <w:pPr>
              <w:spacing w:after="0"/>
              <w:rPr>
                <w:rFonts w:ascii="Arial" w:hAnsi="Arial" w:cs="Arial"/>
              </w:rPr>
            </w:pPr>
            <w:r w:rsidRPr="003C1218">
              <w:rPr>
                <w:rFonts w:ascii="Arial" w:hAnsi="Arial" w:cs="Arial"/>
              </w:rPr>
              <w:t>72.4%</w:t>
            </w:r>
          </w:p>
        </w:tc>
        <w:tc>
          <w:tcPr>
            <w:tcW w:w="1221" w:type="dxa"/>
            <w:noWrap/>
            <w:vAlign w:val="center"/>
          </w:tcPr>
          <w:p w:rsidR="00B83265" w:rsidRPr="003C1218" w:rsidRDefault="00B83265" w:rsidP="003C1218">
            <w:pPr>
              <w:spacing w:after="0"/>
              <w:rPr>
                <w:rFonts w:ascii="Arial" w:hAnsi="Arial" w:cs="Arial"/>
              </w:rPr>
            </w:pPr>
            <w:r w:rsidRPr="003C1218">
              <w:rPr>
                <w:rFonts w:ascii="Arial" w:hAnsi="Arial" w:cs="Arial"/>
              </w:rPr>
              <w:t>90.9%</w:t>
            </w:r>
          </w:p>
        </w:tc>
        <w:tc>
          <w:tcPr>
            <w:tcW w:w="1221" w:type="dxa"/>
            <w:noWrap/>
            <w:vAlign w:val="center"/>
          </w:tcPr>
          <w:p w:rsidR="00B83265" w:rsidRPr="003C1218" w:rsidRDefault="00B83265" w:rsidP="003C1218">
            <w:pPr>
              <w:spacing w:after="0"/>
              <w:rPr>
                <w:rFonts w:ascii="Arial" w:hAnsi="Arial" w:cs="Arial"/>
              </w:rPr>
            </w:pPr>
            <w:r w:rsidRPr="003C1218">
              <w:rPr>
                <w:rFonts w:ascii="Arial" w:hAnsi="Arial" w:cs="Arial"/>
              </w:rPr>
              <w:t>92.3%</w:t>
            </w:r>
          </w:p>
        </w:tc>
        <w:tc>
          <w:tcPr>
            <w:tcW w:w="1220" w:type="dxa"/>
            <w:noWrap/>
            <w:vAlign w:val="center"/>
          </w:tcPr>
          <w:p w:rsidR="00B83265" w:rsidRPr="003C1218" w:rsidRDefault="00B83265" w:rsidP="003C1218">
            <w:pPr>
              <w:spacing w:after="0"/>
              <w:rPr>
                <w:rFonts w:ascii="Arial" w:hAnsi="Arial" w:cs="Arial"/>
              </w:rPr>
            </w:pPr>
            <w:r w:rsidRPr="003C1218">
              <w:rPr>
                <w:rFonts w:ascii="Arial" w:hAnsi="Arial" w:cs="Arial"/>
              </w:rPr>
              <w:t>93.4%</w:t>
            </w:r>
          </w:p>
        </w:tc>
        <w:tc>
          <w:tcPr>
            <w:tcW w:w="1221" w:type="dxa"/>
            <w:noWrap/>
            <w:vAlign w:val="center"/>
          </w:tcPr>
          <w:p w:rsidR="00B83265" w:rsidRPr="003C1218" w:rsidRDefault="00B83265" w:rsidP="003C1218">
            <w:pPr>
              <w:spacing w:after="0"/>
              <w:rPr>
                <w:rFonts w:ascii="Arial" w:hAnsi="Arial" w:cs="Arial"/>
              </w:rPr>
            </w:pPr>
          </w:p>
        </w:tc>
        <w:tc>
          <w:tcPr>
            <w:tcW w:w="1221" w:type="dxa"/>
            <w:vAlign w:val="center"/>
          </w:tcPr>
          <w:p w:rsidR="00B83265" w:rsidRPr="003C1218" w:rsidRDefault="00B83265" w:rsidP="003C1218">
            <w:pPr>
              <w:spacing w:after="0"/>
              <w:rPr>
                <w:rFonts w:ascii="Arial" w:hAnsi="Arial" w:cs="Arial"/>
              </w:rPr>
            </w:pPr>
          </w:p>
        </w:tc>
      </w:tr>
      <w:tr w:rsidR="00B83265" w:rsidRPr="003C1218" w:rsidTr="003C1218">
        <w:trPr>
          <w:trHeight w:val="264"/>
        </w:trPr>
        <w:tc>
          <w:tcPr>
            <w:tcW w:w="2547" w:type="dxa"/>
            <w:noWrap/>
            <w:vAlign w:val="center"/>
          </w:tcPr>
          <w:p w:rsidR="00B83265" w:rsidRPr="003C1218" w:rsidRDefault="00B83265" w:rsidP="003C1218">
            <w:pPr>
              <w:spacing w:after="0"/>
              <w:rPr>
                <w:rFonts w:ascii="Arial" w:hAnsi="Arial" w:cs="Arial"/>
              </w:rPr>
            </w:pPr>
            <w:r w:rsidRPr="003C1218">
              <w:rPr>
                <w:rFonts w:ascii="Arial" w:hAnsi="Arial" w:cs="Arial"/>
              </w:rPr>
              <w:t>2 years</w:t>
            </w:r>
          </w:p>
        </w:tc>
        <w:tc>
          <w:tcPr>
            <w:tcW w:w="1220" w:type="dxa"/>
            <w:noWrap/>
            <w:vAlign w:val="center"/>
          </w:tcPr>
          <w:p w:rsidR="00B83265" w:rsidRPr="003C1218" w:rsidRDefault="00B83265" w:rsidP="003C1218">
            <w:pPr>
              <w:spacing w:after="0"/>
              <w:rPr>
                <w:rFonts w:ascii="Arial" w:hAnsi="Arial" w:cs="Arial"/>
              </w:rPr>
            </w:pPr>
            <w:r w:rsidRPr="003C1218">
              <w:rPr>
                <w:rFonts w:ascii="Arial" w:hAnsi="Arial" w:cs="Arial"/>
              </w:rPr>
              <w:t>86.0%</w:t>
            </w:r>
          </w:p>
        </w:tc>
        <w:tc>
          <w:tcPr>
            <w:tcW w:w="1221" w:type="dxa"/>
            <w:noWrap/>
            <w:vAlign w:val="center"/>
          </w:tcPr>
          <w:p w:rsidR="00B83265" w:rsidRPr="003C1218" w:rsidRDefault="00B83265" w:rsidP="003C1218">
            <w:pPr>
              <w:spacing w:after="0"/>
              <w:rPr>
                <w:rFonts w:ascii="Arial" w:hAnsi="Arial" w:cs="Arial"/>
              </w:rPr>
            </w:pPr>
            <w:r w:rsidRPr="003C1218">
              <w:rPr>
                <w:rFonts w:ascii="Arial" w:hAnsi="Arial" w:cs="Arial"/>
              </w:rPr>
              <w:t>92.4%</w:t>
            </w:r>
          </w:p>
        </w:tc>
        <w:tc>
          <w:tcPr>
            <w:tcW w:w="1221" w:type="dxa"/>
            <w:noWrap/>
            <w:vAlign w:val="center"/>
          </w:tcPr>
          <w:p w:rsidR="00B83265" w:rsidRPr="003C1218" w:rsidRDefault="00B83265" w:rsidP="003C1218">
            <w:pPr>
              <w:spacing w:after="0"/>
              <w:rPr>
                <w:rFonts w:ascii="Arial" w:hAnsi="Arial" w:cs="Arial"/>
              </w:rPr>
            </w:pPr>
            <w:r w:rsidRPr="003C1218">
              <w:rPr>
                <w:rFonts w:ascii="Arial" w:hAnsi="Arial" w:cs="Arial"/>
              </w:rPr>
              <w:t>93.7%</w:t>
            </w:r>
          </w:p>
        </w:tc>
        <w:tc>
          <w:tcPr>
            <w:tcW w:w="1220" w:type="dxa"/>
            <w:noWrap/>
            <w:vAlign w:val="center"/>
          </w:tcPr>
          <w:p w:rsidR="00B83265" w:rsidRPr="003C1218" w:rsidRDefault="00B83265" w:rsidP="003C1218">
            <w:pPr>
              <w:spacing w:after="0"/>
              <w:rPr>
                <w:rFonts w:ascii="Arial" w:hAnsi="Arial" w:cs="Arial"/>
              </w:rPr>
            </w:pPr>
          </w:p>
        </w:tc>
        <w:tc>
          <w:tcPr>
            <w:tcW w:w="1221" w:type="dxa"/>
            <w:noWrap/>
            <w:vAlign w:val="center"/>
          </w:tcPr>
          <w:p w:rsidR="00B83265" w:rsidRPr="003C1218" w:rsidRDefault="00B83265" w:rsidP="003C1218">
            <w:pPr>
              <w:spacing w:after="0"/>
              <w:rPr>
                <w:rFonts w:ascii="Arial" w:hAnsi="Arial" w:cs="Arial"/>
              </w:rPr>
            </w:pPr>
          </w:p>
        </w:tc>
        <w:tc>
          <w:tcPr>
            <w:tcW w:w="1221" w:type="dxa"/>
            <w:vAlign w:val="center"/>
          </w:tcPr>
          <w:p w:rsidR="00B83265" w:rsidRPr="003C1218" w:rsidRDefault="00B83265" w:rsidP="003C1218">
            <w:pPr>
              <w:spacing w:after="0"/>
              <w:rPr>
                <w:rFonts w:ascii="Arial" w:hAnsi="Arial" w:cs="Arial"/>
              </w:rPr>
            </w:pPr>
          </w:p>
        </w:tc>
      </w:tr>
      <w:tr w:rsidR="00B83265" w:rsidRPr="003C1218" w:rsidTr="003C1218">
        <w:trPr>
          <w:trHeight w:val="264"/>
        </w:trPr>
        <w:tc>
          <w:tcPr>
            <w:tcW w:w="2547" w:type="dxa"/>
            <w:noWrap/>
            <w:vAlign w:val="center"/>
          </w:tcPr>
          <w:p w:rsidR="00B83265" w:rsidRPr="003C1218" w:rsidRDefault="00B83265" w:rsidP="003C1218">
            <w:pPr>
              <w:spacing w:after="0"/>
              <w:rPr>
                <w:rFonts w:ascii="Arial" w:hAnsi="Arial" w:cs="Arial"/>
              </w:rPr>
            </w:pPr>
            <w:r w:rsidRPr="003C1218">
              <w:rPr>
                <w:rFonts w:ascii="Arial" w:hAnsi="Arial" w:cs="Arial"/>
              </w:rPr>
              <w:t>1 year</w:t>
            </w:r>
          </w:p>
        </w:tc>
        <w:tc>
          <w:tcPr>
            <w:tcW w:w="1220" w:type="dxa"/>
            <w:noWrap/>
            <w:vAlign w:val="center"/>
          </w:tcPr>
          <w:p w:rsidR="00B83265" w:rsidRPr="003C1218" w:rsidRDefault="00B83265" w:rsidP="003C1218">
            <w:pPr>
              <w:spacing w:after="0"/>
              <w:rPr>
                <w:rFonts w:ascii="Arial" w:hAnsi="Arial" w:cs="Arial"/>
              </w:rPr>
            </w:pPr>
            <w:r w:rsidRPr="003C1218">
              <w:rPr>
                <w:rFonts w:ascii="Arial" w:hAnsi="Arial" w:cs="Arial"/>
              </w:rPr>
              <w:t>86.2%</w:t>
            </w:r>
          </w:p>
        </w:tc>
        <w:tc>
          <w:tcPr>
            <w:tcW w:w="1221" w:type="dxa"/>
            <w:noWrap/>
            <w:vAlign w:val="center"/>
          </w:tcPr>
          <w:p w:rsidR="00B83265" w:rsidRPr="003C1218" w:rsidRDefault="00B83265" w:rsidP="003C1218">
            <w:pPr>
              <w:spacing w:after="0"/>
              <w:rPr>
                <w:rFonts w:ascii="Arial" w:hAnsi="Arial" w:cs="Arial"/>
              </w:rPr>
            </w:pPr>
            <w:r w:rsidRPr="003C1218">
              <w:rPr>
                <w:rFonts w:ascii="Arial" w:hAnsi="Arial" w:cs="Arial"/>
              </w:rPr>
              <w:t>91.9%</w:t>
            </w:r>
          </w:p>
        </w:tc>
        <w:tc>
          <w:tcPr>
            <w:tcW w:w="1221" w:type="dxa"/>
            <w:noWrap/>
            <w:vAlign w:val="center"/>
          </w:tcPr>
          <w:p w:rsidR="00B83265" w:rsidRPr="003C1218" w:rsidRDefault="00B83265" w:rsidP="003C1218">
            <w:pPr>
              <w:spacing w:after="0"/>
              <w:rPr>
                <w:rFonts w:ascii="Arial" w:hAnsi="Arial" w:cs="Arial"/>
              </w:rPr>
            </w:pPr>
          </w:p>
        </w:tc>
        <w:tc>
          <w:tcPr>
            <w:tcW w:w="1220" w:type="dxa"/>
            <w:noWrap/>
            <w:vAlign w:val="center"/>
          </w:tcPr>
          <w:p w:rsidR="00B83265" w:rsidRPr="003C1218" w:rsidRDefault="00B83265" w:rsidP="003C1218">
            <w:pPr>
              <w:spacing w:after="0"/>
              <w:rPr>
                <w:rFonts w:ascii="Arial" w:hAnsi="Arial" w:cs="Arial"/>
              </w:rPr>
            </w:pPr>
          </w:p>
        </w:tc>
        <w:tc>
          <w:tcPr>
            <w:tcW w:w="1221" w:type="dxa"/>
            <w:noWrap/>
            <w:vAlign w:val="center"/>
          </w:tcPr>
          <w:p w:rsidR="00B83265" w:rsidRPr="003C1218" w:rsidRDefault="00B83265" w:rsidP="003C1218">
            <w:pPr>
              <w:spacing w:after="0"/>
              <w:rPr>
                <w:rFonts w:ascii="Arial" w:hAnsi="Arial" w:cs="Arial"/>
              </w:rPr>
            </w:pPr>
          </w:p>
        </w:tc>
        <w:tc>
          <w:tcPr>
            <w:tcW w:w="1221" w:type="dxa"/>
            <w:vAlign w:val="center"/>
          </w:tcPr>
          <w:p w:rsidR="00B83265" w:rsidRPr="003C1218" w:rsidRDefault="00B83265" w:rsidP="003C1218">
            <w:pPr>
              <w:spacing w:after="0"/>
              <w:rPr>
                <w:rFonts w:ascii="Arial" w:hAnsi="Arial" w:cs="Arial"/>
              </w:rPr>
            </w:pPr>
          </w:p>
        </w:tc>
      </w:tr>
    </w:tbl>
    <w:p w:rsidR="00233603" w:rsidRDefault="00233603" w:rsidP="00B83265">
      <w:pPr>
        <w:spacing w:after="240"/>
        <w:rPr>
          <w:rFonts w:cstheme="minorHAnsi"/>
        </w:rPr>
      </w:pPr>
    </w:p>
    <w:p w:rsidR="00233603" w:rsidRDefault="0080201D" w:rsidP="00B83265">
      <w:pPr>
        <w:spacing w:after="240"/>
        <w:rPr>
          <w:rFonts w:cstheme="minorHAnsi"/>
        </w:rPr>
      </w:pPr>
      <w:r>
        <w:rPr>
          <w:rFonts w:cstheme="minorHAnsi"/>
        </w:rPr>
        <w:lastRenderedPageBreak/>
        <w:t>Footnote 1</w:t>
      </w:r>
      <w:r w:rsidR="00233603">
        <w:rPr>
          <w:rFonts w:cstheme="minorHAnsi"/>
        </w:rPr>
        <w:t xml:space="preserve">: </w:t>
      </w:r>
      <w:r w:rsidR="00233603" w:rsidRPr="00233603">
        <w:rPr>
          <w:rFonts w:cstheme="minorHAnsi"/>
        </w:rPr>
        <w:t>Note that due to small numbers, this LF indicator is not available for participants in the Scheme for five years.</w:t>
      </w:r>
    </w:p>
    <w:p w:rsidR="00B83265" w:rsidRPr="002817DE" w:rsidRDefault="00B83265" w:rsidP="002817DE">
      <w:pPr>
        <w:pStyle w:val="Heading2"/>
      </w:pPr>
      <w:bookmarkStart w:id="63" w:name="_Toc121151435"/>
      <w:r w:rsidRPr="002817DE">
        <w:t>Slide 53: Participants aged 15 and over – Relationships</w:t>
      </w:r>
      <w:bookmarkEnd w:id="63"/>
    </w:p>
    <w:p w:rsidR="00B83265" w:rsidRPr="00BB5E10" w:rsidRDefault="00B83265" w:rsidP="00B83265">
      <w:pPr>
        <w:rPr>
          <w:b/>
        </w:rPr>
      </w:pPr>
      <w:r w:rsidRPr="00BB5E10">
        <w:rPr>
          <w:b/>
        </w:rPr>
        <w:t xml:space="preserve">% who </w:t>
      </w:r>
      <w:r>
        <w:rPr>
          <w:b/>
        </w:rPr>
        <w:t>would like to see their family more often</w:t>
      </w:r>
    </w:p>
    <w:p w:rsidR="00B83265" w:rsidRPr="00BE65DB" w:rsidRDefault="00B83265" w:rsidP="00B83265">
      <w:pPr>
        <w:spacing w:after="240"/>
        <w:rPr>
          <w:rFonts w:cstheme="minorHAnsi"/>
        </w:rPr>
      </w:pPr>
      <w:r w:rsidRPr="00BE65DB">
        <w:rPr>
          <w:rFonts w:cstheme="minorHAnsi"/>
        </w:rPr>
        <w:t>Participants expressed an increasing desire to see family more often. For example, for those in cohort 5, the percentage wanting to see their family more often increased by 6.6 percentage points from 29.9% at baseline to 36.4% at fifth review.</w:t>
      </w:r>
    </w:p>
    <w:p w:rsidR="00B83265" w:rsidRPr="00BE65DB" w:rsidRDefault="00B83265" w:rsidP="00B83265">
      <w:pPr>
        <w:spacing w:after="240"/>
        <w:rPr>
          <w:rFonts w:cstheme="minorHAnsi"/>
        </w:rPr>
      </w:pPr>
      <w:r w:rsidRPr="00BE65DB">
        <w:rPr>
          <w:rFonts w:cstheme="minorHAnsi"/>
        </w:rPr>
        <w:t>A higher percentage of older participants (25+ age group) indicated that they would like to see their family more often, and this group showed a larger increase over time. For those in the Scheme five years, there was a 7.8 percentage point increase between baseline (34.9%) and fifth review (42.8%).</w:t>
      </w:r>
    </w:p>
    <w:p w:rsidR="00B83265" w:rsidRDefault="00B83265" w:rsidP="00B83265">
      <w:pPr>
        <w:spacing w:after="240"/>
        <w:rPr>
          <w:rFonts w:cstheme="minorHAnsi"/>
        </w:rPr>
      </w:pPr>
      <w:r w:rsidRPr="00BE65DB">
        <w:rPr>
          <w:rFonts w:cstheme="minorHAnsi"/>
        </w:rPr>
        <w:t>The younger age groups (S-14/15-24 and 15-24) had smaller increases over time, 1.1 and 2.6 percentage points, respectively.</w:t>
      </w:r>
    </w:p>
    <w:p w:rsidR="00412BE9" w:rsidRDefault="00B83265" w:rsidP="00412BE9">
      <w:pPr>
        <w:spacing w:after="240"/>
        <w:rPr>
          <w:rFonts w:cstheme="minorHAnsi"/>
        </w:rPr>
      </w:pPr>
      <w:r>
        <w:rPr>
          <w:rFonts w:cstheme="minorHAnsi"/>
        </w:rPr>
        <w:t xml:space="preserve">Five charts shows </w:t>
      </w:r>
      <w:r w:rsidRPr="00AD4C8D">
        <w:rPr>
          <w:rFonts w:cstheme="minorHAnsi"/>
        </w:rPr>
        <w:t xml:space="preserve">the percentage </w:t>
      </w:r>
      <w:r w:rsidRPr="00BE65DB">
        <w:rPr>
          <w:rFonts w:cstheme="minorHAnsi"/>
        </w:rPr>
        <w:t>who would like to see their family more often</w:t>
      </w:r>
      <w:r>
        <w:rPr>
          <w:rFonts w:cstheme="minorHAnsi"/>
        </w:rPr>
        <w:t xml:space="preserve"> </w:t>
      </w:r>
      <w:r w:rsidRPr="00AD4C8D">
        <w:rPr>
          <w:rFonts w:cstheme="minorHAnsi"/>
        </w:rPr>
        <w:t>at baseline and at subsequent reviews</w:t>
      </w:r>
      <w:r w:rsidR="00412BE9" w:rsidRPr="00715092">
        <w:rPr>
          <w:rFonts w:cstheme="minorHAnsi"/>
        </w:rPr>
        <w:t xml:space="preserve">, separately for participants in the </w:t>
      </w:r>
      <w:r w:rsidR="00412BE9">
        <w:rPr>
          <w:rFonts w:cstheme="minorHAnsi"/>
        </w:rPr>
        <w:t xml:space="preserve">five years, </w:t>
      </w:r>
      <w:r w:rsidR="00412BE9" w:rsidRPr="00715092">
        <w:rPr>
          <w:rFonts w:cstheme="minorHAnsi"/>
        </w:rPr>
        <w:t>four years, three years, two years or one year</w:t>
      </w:r>
      <w:r w:rsidR="00412BE9">
        <w:rPr>
          <w:rFonts w:cstheme="minorHAnsi"/>
        </w:rPr>
        <w:t xml:space="preserve"> cohorts</w:t>
      </w:r>
      <w:r w:rsidR="00412BE9" w:rsidRPr="00715092">
        <w:rPr>
          <w:rFonts w:cstheme="minorHAnsi"/>
        </w:rPr>
        <w:t>.</w:t>
      </w:r>
      <w:r w:rsidR="00412BE9">
        <w:rPr>
          <w:rFonts w:cstheme="minorHAnsi"/>
        </w:rPr>
        <w:t xml:space="preserve"> Separate lines on each chart show results for all participants, and for participants in the S-14/15-24, 15-24, 15-24/25+ and 25+ age groups.</w:t>
      </w:r>
    </w:p>
    <w:p w:rsidR="00412BE9" w:rsidRDefault="00412BE9" w:rsidP="00412BE9">
      <w:pPr>
        <w:spacing w:after="240"/>
        <w:rPr>
          <w:rFonts w:cstheme="minorHAnsi"/>
        </w:rPr>
      </w:pPr>
      <w:r>
        <w:rPr>
          <w:rFonts w:cstheme="minorHAnsi"/>
        </w:rPr>
        <w:t>For PSto14, analysed by time since first in P15to24, otherwise by time in Scheme.</w:t>
      </w:r>
    </w:p>
    <w:p w:rsidR="00412BE9" w:rsidRDefault="00412BE9" w:rsidP="00412BE9">
      <w:pPr>
        <w:spacing w:after="240"/>
        <w:rPr>
          <w:rFonts w:cstheme="minorHAnsi"/>
        </w:rPr>
      </w:pPr>
      <w:r>
        <w:rPr>
          <w:rFonts w:cstheme="minorHAnsi"/>
        </w:rPr>
        <w:t xml:space="preserve">This </w:t>
      </w:r>
      <w:r w:rsidR="00550D6D">
        <w:rPr>
          <w:rFonts w:cstheme="minorHAnsi"/>
        </w:rPr>
        <w:t xml:space="preserve">context dependent </w:t>
      </w:r>
      <w:r>
        <w:rPr>
          <w:rFonts w:cstheme="minorHAnsi"/>
        </w:rPr>
        <w:t>indicator i</w:t>
      </w:r>
      <w:r w:rsidR="00550D6D">
        <w:rPr>
          <w:rFonts w:cstheme="minorHAnsi"/>
        </w:rPr>
        <w:t>ncreas</w:t>
      </w:r>
      <w:r>
        <w:rPr>
          <w:rFonts w:cstheme="minorHAnsi"/>
        </w:rPr>
        <w:t>ed.</w:t>
      </w:r>
    </w:p>
    <w:p w:rsidR="00412BE9" w:rsidRDefault="00412BE9" w:rsidP="00412BE9">
      <w:pPr>
        <w:spacing w:after="240"/>
        <w:rPr>
          <w:rFonts w:cstheme="minorHAnsi"/>
        </w:rPr>
      </w:pPr>
      <w:r>
        <w:rPr>
          <w:rFonts w:cstheme="minorHAnsi"/>
        </w:rPr>
        <w:t>Results for all participants are labelled on the charts:</w:t>
      </w:r>
    </w:p>
    <w:tbl>
      <w:tblPr>
        <w:tblW w:w="9204" w:type="dxa"/>
        <w:tblLook w:val="04A0" w:firstRow="1" w:lastRow="0" w:firstColumn="1" w:lastColumn="0" w:noHBand="0" w:noVBand="1"/>
      </w:tblPr>
      <w:tblGrid>
        <w:gridCol w:w="1500"/>
        <w:gridCol w:w="1325"/>
        <w:gridCol w:w="1276"/>
        <w:gridCol w:w="1276"/>
        <w:gridCol w:w="1276"/>
        <w:gridCol w:w="1275"/>
        <w:gridCol w:w="1276"/>
      </w:tblGrid>
      <w:tr w:rsidR="00550D6D" w:rsidRPr="00AD165E" w:rsidTr="00632614">
        <w:trPr>
          <w:trHeight w:val="285"/>
        </w:trPr>
        <w:tc>
          <w:tcPr>
            <w:tcW w:w="1500" w:type="dxa"/>
            <w:tcBorders>
              <w:top w:val="single" w:sz="8" w:space="0" w:color="auto"/>
              <w:left w:val="single" w:sz="8" w:space="0" w:color="auto"/>
              <w:bottom w:val="single" w:sz="8" w:space="0" w:color="auto"/>
              <w:right w:val="nil"/>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Cohort</w:t>
            </w:r>
          </w:p>
        </w:tc>
        <w:tc>
          <w:tcPr>
            <w:tcW w:w="13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B</w:t>
            </w:r>
            <w:r>
              <w:rPr>
                <w:rFonts w:ascii="Arial" w:eastAsia="Times New Roman" w:hAnsi="Arial" w:cs="Arial"/>
                <w:b/>
                <w:bCs/>
                <w:color w:val="000000"/>
                <w:lang w:eastAsia="en-AU"/>
              </w:rPr>
              <w:t>aseline</w:t>
            </w:r>
          </w:p>
        </w:tc>
        <w:tc>
          <w:tcPr>
            <w:tcW w:w="1276" w:type="dxa"/>
            <w:tcBorders>
              <w:top w:val="single" w:sz="8" w:space="0" w:color="auto"/>
              <w:left w:val="nil"/>
              <w:bottom w:val="single" w:sz="8" w:space="0" w:color="auto"/>
              <w:right w:val="nil"/>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1</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2</w:t>
            </w:r>
          </w:p>
        </w:tc>
        <w:tc>
          <w:tcPr>
            <w:tcW w:w="1276" w:type="dxa"/>
            <w:tcBorders>
              <w:top w:val="single" w:sz="8" w:space="0" w:color="auto"/>
              <w:left w:val="nil"/>
              <w:bottom w:val="single" w:sz="8" w:space="0" w:color="auto"/>
              <w:right w:val="nil"/>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3</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4</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5</w:t>
            </w:r>
          </w:p>
        </w:tc>
      </w:tr>
      <w:tr w:rsidR="00550D6D"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550D6D" w:rsidRPr="00AD165E" w:rsidRDefault="00550D6D" w:rsidP="00550D6D">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5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550D6D" w:rsidRPr="00550D6D" w:rsidRDefault="00550D6D" w:rsidP="00550D6D">
            <w:pPr>
              <w:spacing w:after="0"/>
              <w:rPr>
                <w:rFonts w:ascii="Arial" w:hAnsi="Arial" w:cs="Arial"/>
              </w:rPr>
            </w:pPr>
            <w:r w:rsidRPr="00550D6D">
              <w:rPr>
                <w:rFonts w:ascii="Arial" w:hAnsi="Arial" w:cs="Arial"/>
              </w:rPr>
              <w:t>30%</w:t>
            </w:r>
          </w:p>
        </w:tc>
        <w:tc>
          <w:tcPr>
            <w:tcW w:w="1276" w:type="dxa"/>
            <w:tcBorders>
              <w:top w:val="nil"/>
              <w:left w:val="nil"/>
              <w:bottom w:val="single" w:sz="4" w:space="0" w:color="auto"/>
              <w:right w:val="nil"/>
            </w:tcBorders>
            <w:shd w:val="clear" w:color="auto" w:fill="auto"/>
            <w:noWrap/>
            <w:vAlign w:val="center"/>
            <w:hideMark/>
          </w:tcPr>
          <w:p w:rsidR="00550D6D" w:rsidRPr="00550D6D" w:rsidRDefault="00550D6D" w:rsidP="00550D6D">
            <w:pPr>
              <w:spacing w:after="0"/>
              <w:rPr>
                <w:rFonts w:ascii="Arial" w:hAnsi="Arial" w:cs="Arial"/>
              </w:rPr>
            </w:pPr>
            <w:r w:rsidRPr="00550D6D">
              <w:rPr>
                <w:rFonts w:ascii="Arial" w:hAnsi="Arial" w:cs="Arial"/>
              </w:rPr>
              <w:t>30%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550D6D" w:rsidRPr="00550D6D" w:rsidRDefault="00550D6D" w:rsidP="00550D6D">
            <w:pPr>
              <w:spacing w:after="0"/>
              <w:rPr>
                <w:rFonts w:ascii="Arial" w:hAnsi="Arial" w:cs="Arial"/>
              </w:rPr>
            </w:pPr>
            <w:r w:rsidRPr="00550D6D">
              <w:rPr>
                <w:rFonts w:ascii="Arial" w:hAnsi="Arial" w:cs="Arial"/>
              </w:rPr>
              <w:t>33%</w:t>
            </w:r>
          </w:p>
        </w:tc>
        <w:tc>
          <w:tcPr>
            <w:tcW w:w="1276" w:type="dxa"/>
            <w:tcBorders>
              <w:top w:val="nil"/>
              <w:left w:val="nil"/>
              <w:bottom w:val="single" w:sz="4" w:space="0" w:color="auto"/>
              <w:right w:val="nil"/>
            </w:tcBorders>
            <w:shd w:val="clear" w:color="auto" w:fill="auto"/>
            <w:noWrap/>
            <w:vAlign w:val="center"/>
            <w:hideMark/>
          </w:tcPr>
          <w:p w:rsidR="00550D6D" w:rsidRPr="00550D6D" w:rsidRDefault="00550D6D" w:rsidP="00550D6D">
            <w:pPr>
              <w:spacing w:after="0"/>
              <w:rPr>
                <w:rFonts w:ascii="Arial" w:hAnsi="Arial" w:cs="Arial"/>
              </w:rPr>
            </w:pPr>
            <w:r w:rsidRPr="00550D6D">
              <w:rPr>
                <w:rFonts w:ascii="Arial" w:hAnsi="Arial" w:cs="Arial"/>
              </w:rPr>
              <w:t>33%</w:t>
            </w: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550D6D" w:rsidRPr="00550D6D" w:rsidRDefault="00550D6D" w:rsidP="00550D6D">
            <w:pPr>
              <w:spacing w:after="0"/>
              <w:rPr>
                <w:rFonts w:ascii="Arial" w:hAnsi="Arial" w:cs="Arial"/>
              </w:rPr>
            </w:pPr>
            <w:r w:rsidRPr="00550D6D">
              <w:rPr>
                <w:rFonts w:ascii="Arial" w:hAnsi="Arial" w:cs="Arial"/>
              </w:rPr>
              <w:t>37%</w:t>
            </w:r>
          </w:p>
        </w:tc>
        <w:tc>
          <w:tcPr>
            <w:tcW w:w="1276" w:type="dxa"/>
            <w:tcBorders>
              <w:top w:val="nil"/>
              <w:left w:val="nil"/>
              <w:bottom w:val="single" w:sz="4" w:space="0" w:color="auto"/>
              <w:right w:val="single" w:sz="8" w:space="0" w:color="auto"/>
            </w:tcBorders>
            <w:shd w:val="clear" w:color="auto" w:fill="auto"/>
            <w:noWrap/>
            <w:vAlign w:val="center"/>
            <w:hideMark/>
          </w:tcPr>
          <w:p w:rsidR="00550D6D" w:rsidRPr="00550D6D" w:rsidRDefault="00550D6D" w:rsidP="00550D6D">
            <w:pPr>
              <w:spacing w:after="0"/>
              <w:rPr>
                <w:rFonts w:ascii="Arial" w:hAnsi="Arial" w:cs="Arial"/>
              </w:rPr>
            </w:pPr>
            <w:r w:rsidRPr="00550D6D">
              <w:rPr>
                <w:rFonts w:ascii="Arial" w:hAnsi="Arial" w:cs="Arial"/>
              </w:rPr>
              <w:t>36%</w:t>
            </w:r>
          </w:p>
        </w:tc>
      </w:tr>
      <w:tr w:rsidR="00550D6D"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550D6D" w:rsidRPr="00AD165E" w:rsidRDefault="00550D6D" w:rsidP="00550D6D">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4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550D6D" w:rsidRPr="00550D6D" w:rsidRDefault="00550D6D" w:rsidP="00550D6D">
            <w:pPr>
              <w:spacing w:after="0"/>
              <w:rPr>
                <w:rFonts w:ascii="Arial" w:hAnsi="Arial" w:cs="Arial"/>
              </w:rPr>
            </w:pPr>
            <w:r w:rsidRPr="00550D6D">
              <w:rPr>
                <w:rFonts w:ascii="Arial" w:hAnsi="Arial" w:cs="Arial"/>
              </w:rPr>
              <w:t>34%</w:t>
            </w:r>
          </w:p>
        </w:tc>
        <w:tc>
          <w:tcPr>
            <w:tcW w:w="1276" w:type="dxa"/>
            <w:tcBorders>
              <w:top w:val="nil"/>
              <w:left w:val="nil"/>
              <w:bottom w:val="single" w:sz="4" w:space="0" w:color="auto"/>
              <w:right w:val="nil"/>
            </w:tcBorders>
            <w:shd w:val="clear" w:color="auto" w:fill="auto"/>
            <w:noWrap/>
            <w:vAlign w:val="center"/>
            <w:hideMark/>
          </w:tcPr>
          <w:p w:rsidR="00550D6D" w:rsidRPr="00550D6D" w:rsidRDefault="00550D6D" w:rsidP="00550D6D">
            <w:pPr>
              <w:spacing w:after="0"/>
              <w:rPr>
                <w:rFonts w:ascii="Arial" w:hAnsi="Arial" w:cs="Arial"/>
              </w:rPr>
            </w:pPr>
            <w:r w:rsidRPr="00550D6D">
              <w:rPr>
                <w:rFonts w:ascii="Arial" w:hAnsi="Arial" w:cs="Arial"/>
              </w:rPr>
              <w:t>35%</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550D6D" w:rsidRPr="00550D6D" w:rsidRDefault="00550D6D" w:rsidP="00550D6D">
            <w:pPr>
              <w:spacing w:after="0"/>
              <w:rPr>
                <w:rFonts w:ascii="Arial" w:hAnsi="Arial" w:cs="Arial"/>
              </w:rPr>
            </w:pPr>
            <w:r w:rsidRPr="00550D6D">
              <w:rPr>
                <w:rFonts w:ascii="Arial" w:hAnsi="Arial" w:cs="Arial"/>
              </w:rPr>
              <w:t>36%</w:t>
            </w:r>
          </w:p>
        </w:tc>
        <w:tc>
          <w:tcPr>
            <w:tcW w:w="1276" w:type="dxa"/>
            <w:tcBorders>
              <w:top w:val="nil"/>
              <w:left w:val="nil"/>
              <w:bottom w:val="single" w:sz="4" w:space="0" w:color="auto"/>
              <w:right w:val="nil"/>
            </w:tcBorders>
            <w:shd w:val="clear" w:color="auto" w:fill="auto"/>
            <w:noWrap/>
            <w:vAlign w:val="center"/>
            <w:hideMark/>
          </w:tcPr>
          <w:p w:rsidR="00550D6D" w:rsidRPr="00550D6D" w:rsidRDefault="00550D6D" w:rsidP="00550D6D">
            <w:pPr>
              <w:spacing w:after="0"/>
              <w:rPr>
                <w:rFonts w:ascii="Arial" w:hAnsi="Arial" w:cs="Arial"/>
              </w:rPr>
            </w:pPr>
            <w:r w:rsidRPr="00550D6D">
              <w:rPr>
                <w:rFonts w:ascii="Arial" w:hAnsi="Arial" w:cs="Arial"/>
              </w:rPr>
              <w:t>39%</w:t>
            </w: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550D6D" w:rsidRPr="00550D6D" w:rsidRDefault="00550D6D" w:rsidP="00550D6D">
            <w:pPr>
              <w:spacing w:after="0"/>
              <w:rPr>
                <w:rFonts w:ascii="Arial" w:hAnsi="Arial" w:cs="Arial"/>
              </w:rPr>
            </w:pPr>
            <w:r w:rsidRPr="00550D6D">
              <w:rPr>
                <w:rFonts w:ascii="Arial" w:hAnsi="Arial" w:cs="Arial"/>
              </w:rPr>
              <w:t>38%</w:t>
            </w:r>
          </w:p>
        </w:tc>
        <w:tc>
          <w:tcPr>
            <w:tcW w:w="1276" w:type="dxa"/>
            <w:tcBorders>
              <w:top w:val="nil"/>
              <w:left w:val="nil"/>
              <w:bottom w:val="single" w:sz="4" w:space="0" w:color="auto"/>
              <w:right w:val="single" w:sz="8" w:space="0" w:color="auto"/>
            </w:tcBorders>
            <w:shd w:val="clear" w:color="auto" w:fill="auto"/>
            <w:noWrap/>
            <w:hideMark/>
          </w:tcPr>
          <w:p w:rsidR="00550D6D" w:rsidRPr="00550D6D" w:rsidRDefault="00550D6D" w:rsidP="00550D6D">
            <w:pPr>
              <w:spacing w:after="0" w:line="240" w:lineRule="auto"/>
              <w:rPr>
                <w:rFonts w:ascii="Arial" w:eastAsia="Times New Roman" w:hAnsi="Arial" w:cs="Arial"/>
                <w:color w:val="000000"/>
                <w:lang w:eastAsia="en-AU"/>
              </w:rPr>
            </w:pPr>
          </w:p>
        </w:tc>
      </w:tr>
      <w:tr w:rsidR="00550D6D"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550D6D" w:rsidRPr="00AD165E" w:rsidRDefault="00550D6D" w:rsidP="00550D6D">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3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550D6D" w:rsidRPr="00550D6D" w:rsidRDefault="00550D6D" w:rsidP="00550D6D">
            <w:pPr>
              <w:spacing w:after="0"/>
              <w:rPr>
                <w:rFonts w:ascii="Arial" w:hAnsi="Arial" w:cs="Arial"/>
              </w:rPr>
            </w:pPr>
            <w:r w:rsidRPr="00550D6D">
              <w:rPr>
                <w:rFonts w:ascii="Arial" w:hAnsi="Arial" w:cs="Arial"/>
              </w:rPr>
              <w:t>36%</w:t>
            </w:r>
          </w:p>
        </w:tc>
        <w:tc>
          <w:tcPr>
            <w:tcW w:w="1276" w:type="dxa"/>
            <w:tcBorders>
              <w:top w:val="nil"/>
              <w:left w:val="nil"/>
              <w:bottom w:val="single" w:sz="4" w:space="0" w:color="auto"/>
              <w:right w:val="nil"/>
            </w:tcBorders>
            <w:shd w:val="clear" w:color="auto" w:fill="auto"/>
            <w:noWrap/>
            <w:vAlign w:val="center"/>
            <w:hideMark/>
          </w:tcPr>
          <w:p w:rsidR="00550D6D" w:rsidRPr="00550D6D" w:rsidRDefault="00550D6D" w:rsidP="00550D6D">
            <w:pPr>
              <w:spacing w:after="0"/>
              <w:rPr>
                <w:rFonts w:ascii="Arial" w:hAnsi="Arial" w:cs="Arial"/>
              </w:rPr>
            </w:pPr>
            <w:r w:rsidRPr="00550D6D">
              <w:rPr>
                <w:rFonts w:ascii="Arial" w:hAnsi="Arial" w:cs="Arial"/>
              </w:rPr>
              <w:t>36%</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550D6D" w:rsidRPr="00550D6D" w:rsidRDefault="00550D6D" w:rsidP="00550D6D">
            <w:pPr>
              <w:spacing w:after="0"/>
              <w:rPr>
                <w:rFonts w:ascii="Arial" w:hAnsi="Arial" w:cs="Arial"/>
              </w:rPr>
            </w:pPr>
            <w:r w:rsidRPr="00550D6D">
              <w:rPr>
                <w:rFonts w:ascii="Arial" w:hAnsi="Arial" w:cs="Arial"/>
              </w:rPr>
              <w:t>39%</w:t>
            </w:r>
          </w:p>
        </w:tc>
        <w:tc>
          <w:tcPr>
            <w:tcW w:w="1276" w:type="dxa"/>
            <w:tcBorders>
              <w:top w:val="nil"/>
              <w:left w:val="nil"/>
              <w:bottom w:val="single" w:sz="4" w:space="0" w:color="auto"/>
              <w:right w:val="nil"/>
            </w:tcBorders>
            <w:shd w:val="clear" w:color="auto" w:fill="auto"/>
            <w:noWrap/>
            <w:vAlign w:val="center"/>
            <w:hideMark/>
          </w:tcPr>
          <w:p w:rsidR="00550D6D" w:rsidRPr="00550D6D" w:rsidRDefault="00550D6D" w:rsidP="00550D6D">
            <w:pPr>
              <w:spacing w:after="0"/>
              <w:rPr>
                <w:rFonts w:ascii="Arial" w:hAnsi="Arial" w:cs="Arial"/>
              </w:rPr>
            </w:pPr>
            <w:r w:rsidRPr="00550D6D">
              <w:rPr>
                <w:rFonts w:ascii="Arial" w:hAnsi="Arial" w:cs="Arial"/>
              </w:rPr>
              <w:t>39%</w:t>
            </w:r>
          </w:p>
        </w:tc>
        <w:tc>
          <w:tcPr>
            <w:tcW w:w="1275" w:type="dxa"/>
            <w:tcBorders>
              <w:top w:val="nil"/>
              <w:left w:val="single" w:sz="8" w:space="0" w:color="auto"/>
              <w:bottom w:val="single" w:sz="4" w:space="0" w:color="auto"/>
              <w:right w:val="single" w:sz="8" w:space="0" w:color="auto"/>
            </w:tcBorders>
            <w:shd w:val="clear" w:color="auto" w:fill="auto"/>
            <w:noWrap/>
            <w:hideMark/>
          </w:tcPr>
          <w:p w:rsidR="00550D6D" w:rsidRPr="00550D6D" w:rsidRDefault="00550D6D" w:rsidP="00550D6D">
            <w:pPr>
              <w:spacing w:after="0" w:line="240" w:lineRule="auto"/>
              <w:rPr>
                <w:rFonts w:ascii="Arial" w:eastAsia="Times New Roman" w:hAnsi="Arial" w:cs="Arial"/>
                <w:color w:val="000000"/>
                <w:lang w:eastAsia="en-AU"/>
              </w:rPr>
            </w:pPr>
          </w:p>
        </w:tc>
        <w:tc>
          <w:tcPr>
            <w:tcW w:w="1276" w:type="dxa"/>
            <w:tcBorders>
              <w:top w:val="nil"/>
              <w:left w:val="nil"/>
              <w:bottom w:val="single" w:sz="4" w:space="0" w:color="auto"/>
              <w:right w:val="single" w:sz="8" w:space="0" w:color="auto"/>
            </w:tcBorders>
            <w:shd w:val="clear" w:color="auto" w:fill="auto"/>
            <w:noWrap/>
            <w:vAlign w:val="bottom"/>
            <w:hideMark/>
          </w:tcPr>
          <w:p w:rsidR="00550D6D" w:rsidRPr="00550D6D" w:rsidRDefault="00550D6D" w:rsidP="00550D6D">
            <w:pPr>
              <w:spacing w:after="0" w:line="240" w:lineRule="auto"/>
              <w:rPr>
                <w:rFonts w:ascii="Arial" w:eastAsia="Times New Roman" w:hAnsi="Arial" w:cs="Arial"/>
                <w:color w:val="000000"/>
                <w:lang w:eastAsia="en-AU"/>
              </w:rPr>
            </w:pPr>
          </w:p>
        </w:tc>
      </w:tr>
      <w:tr w:rsidR="00550D6D"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550D6D" w:rsidRPr="00AD165E" w:rsidRDefault="00550D6D" w:rsidP="00550D6D">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2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550D6D" w:rsidRPr="00550D6D" w:rsidRDefault="00550D6D" w:rsidP="00550D6D">
            <w:pPr>
              <w:spacing w:after="0"/>
              <w:rPr>
                <w:rFonts w:ascii="Arial" w:hAnsi="Arial" w:cs="Arial"/>
              </w:rPr>
            </w:pPr>
            <w:r w:rsidRPr="00550D6D">
              <w:rPr>
                <w:rFonts w:ascii="Arial" w:hAnsi="Arial" w:cs="Arial"/>
              </w:rPr>
              <w:t>38%</w:t>
            </w:r>
          </w:p>
        </w:tc>
        <w:tc>
          <w:tcPr>
            <w:tcW w:w="1276" w:type="dxa"/>
            <w:tcBorders>
              <w:top w:val="nil"/>
              <w:left w:val="nil"/>
              <w:bottom w:val="single" w:sz="4" w:space="0" w:color="auto"/>
              <w:right w:val="nil"/>
            </w:tcBorders>
            <w:shd w:val="clear" w:color="auto" w:fill="auto"/>
            <w:noWrap/>
            <w:vAlign w:val="center"/>
            <w:hideMark/>
          </w:tcPr>
          <w:p w:rsidR="00550D6D" w:rsidRPr="00550D6D" w:rsidRDefault="00550D6D" w:rsidP="00550D6D">
            <w:pPr>
              <w:spacing w:after="0"/>
              <w:rPr>
                <w:rFonts w:ascii="Arial" w:hAnsi="Arial" w:cs="Arial"/>
              </w:rPr>
            </w:pPr>
            <w:r w:rsidRPr="00550D6D">
              <w:rPr>
                <w:rFonts w:ascii="Arial" w:hAnsi="Arial" w:cs="Arial"/>
              </w:rPr>
              <w:t>38%</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550D6D" w:rsidRPr="00550D6D" w:rsidRDefault="00550D6D" w:rsidP="00550D6D">
            <w:pPr>
              <w:spacing w:after="0"/>
              <w:rPr>
                <w:rFonts w:ascii="Arial" w:hAnsi="Arial" w:cs="Arial"/>
              </w:rPr>
            </w:pPr>
            <w:r w:rsidRPr="00550D6D">
              <w:rPr>
                <w:rFonts w:ascii="Arial" w:hAnsi="Arial" w:cs="Arial"/>
              </w:rPr>
              <w:t>40%</w:t>
            </w:r>
          </w:p>
        </w:tc>
        <w:tc>
          <w:tcPr>
            <w:tcW w:w="1276" w:type="dxa"/>
            <w:tcBorders>
              <w:top w:val="nil"/>
              <w:left w:val="nil"/>
              <w:bottom w:val="single" w:sz="4" w:space="0" w:color="auto"/>
              <w:right w:val="nil"/>
            </w:tcBorders>
            <w:shd w:val="clear" w:color="auto" w:fill="auto"/>
            <w:noWrap/>
            <w:hideMark/>
          </w:tcPr>
          <w:p w:rsidR="00550D6D" w:rsidRPr="00550D6D" w:rsidRDefault="00550D6D" w:rsidP="00550D6D">
            <w:pPr>
              <w:spacing w:after="0" w:line="240" w:lineRule="auto"/>
              <w:rPr>
                <w:rFonts w:ascii="Arial" w:eastAsia="Times New Roman" w:hAnsi="Arial" w:cs="Arial"/>
                <w:color w:val="000000"/>
                <w:lang w:eastAsia="en-AU"/>
              </w:rPr>
            </w:pP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550D6D" w:rsidRPr="00550D6D" w:rsidRDefault="00550D6D" w:rsidP="00550D6D">
            <w:pPr>
              <w:spacing w:after="0" w:line="240" w:lineRule="auto"/>
              <w:rPr>
                <w:rFonts w:ascii="Arial" w:eastAsia="Times New Roman" w:hAnsi="Arial" w:cs="Arial"/>
                <w:color w:val="000000"/>
                <w:lang w:eastAsia="en-AU"/>
              </w:rPr>
            </w:pPr>
          </w:p>
        </w:tc>
        <w:tc>
          <w:tcPr>
            <w:tcW w:w="1276" w:type="dxa"/>
            <w:tcBorders>
              <w:top w:val="nil"/>
              <w:left w:val="nil"/>
              <w:bottom w:val="single" w:sz="4" w:space="0" w:color="auto"/>
              <w:right w:val="single" w:sz="8" w:space="0" w:color="auto"/>
            </w:tcBorders>
            <w:shd w:val="clear" w:color="auto" w:fill="auto"/>
            <w:noWrap/>
            <w:vAlign w:val="center"/>
            <w:hideMark/>
          </w:tcPr>
          <w:p w:rsidR="00550D6D" w:rsidRPr="00550D6D" w:rsidRDefault="00550D6D" w:rsidP="00550D6D">
            <w:pPr>
              <w:spacing w:after="0" w:line="240" w:lineRule="auto"/>
              <w:rPr>
                <w:rFonts w:ascii="Arial" w:eastAsia="Times New Roman" w:hAnsi="Arial" w:cs="Arial"/>
                <w:color w:val="000000"/>
                <w:lang w:eastAsia="en-AU"/>
              </w:rPr>
            </w:pPr>
          </w:p>
        </w:tc>
      </w:tr>
      <w:tr w:rsidR="00550D6D" w:rsidRPr="00AD165E" w:rsidTr="00632614">
        <w:trPr>
          <w:trHeight w:val="285"/>
        </w:trPr>
        <w:tc>
          <w:tcPr>
            <w:tcW w:w="1500" w:type="dxa"/>
            <w:tcBorders>
              <w:top w:val="nil"/>
              <w:left w:val="single" w:sz="8" w:space="0" w:color="auto"/>
              <w:bottom w:val="single" w:sz="8" w:space="0" w:color="auto"/>
              <w:right w:val="nil"/>
            </w:tcBorders>
            <w:shd w:val="clear" w:color="auto" w:fill="auto"/>
            <w:noWrap/>
            <w:vAlign w:val="bottom"/>
            <w:hideMark/>
          </w:tcPr>
          <w:p w:rsidR="00550D6D" w:rsidRPr="00AD165E" w:rsidRDefault="00550D6D" w:rsidP="00550D6D">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1 year</w:t>
            </w:r>
          </w:p>
        </w:tc>
        <w:tc>
          <w:tcPr>
            <w:tcW w:w="1325" w:type="dxa"/>
            <w:tcBorders>
              <w:top w:val="nil"/>
              <w:left w:val="single" w:sz="8" w:space="0" w:color="auto"/>
              <w:bottom w:val="single" w:sz="8" w:space="0" w:color="auto"/>
              <w:right w:val="single" w:sz="8" w:space="0" w:color="auto"/>
            </w:tcBorders>
            <w:shd w:val="clear" w:color="auto" w:fill="auto"/>
            <w:noWrap/>
            <w:vAlign w:val="center"/>
            <w:hideMark/>
          </w:tcPr>
          <w:p w:rsidR="00550D6D" w:rsidRPr="00550D6D" w:rsidRDefault="00550D6D" w:rsidP="00550D6D">
            <w:pPr>
              <w:spacing w:after="0"/>
              <w:rPr>
                <w:rFonts w:ascii="Arial" w:hAnsi="Arial" w:cs="Arial"/>
              </w:rPr>
            </w:pPr>
            <w:r w:rsidRPr="00550D6D">
              <w:rPr>
                <w:rFonts w:ascii="Arial" w:hAnsi="Arial" w:cs="Arial"/>
              </w:rPr>
              <w:t>40%</w:t>
            </w:r>
          </w:p>
        </w:tc>
        <w:tc>
          <w:tcPr>
            <w:tcW w:w="1276" w:type="dxa"/>
            <w:tcBorders>
              <w:top w:val="nil"/>
              <w:left w:val="nil"/>
              <w:bottom w:val="single" w:sz="8" w:space="0" w:color="auto"/>
              <w:right w:val="nil"/>
            </w:tcBorders>
            <w:shd w:val="clear" w:color="auto" w:fill="auto"/>
            <w:noWrap/>
            <w:vAlign w:val="center"/>
            <w:hideMark/>
          </w:tcPr>
          <w:p w:rsidR="00550D6D" w:rsidRPr="00550D6D" w:rsidRDefault="00550D6D" w:rsidP="00550D6D">
            <w:pPr>
              <w:spacing w:after="0"/>
              <w:rPr>
                <w:rFonts w:ascii="Arial" w:hAnsi="Arial" w:cs="Arial"/>
              </w:rPr>
            </w:pPr>
            <w:r w:rsidRPr="00550D6D">
              <w:rPr>
                <w:rFonts w:ascii="Arial" w:hAnsi="Arial" w:cs="Arial"/>
              </w:rPr>
              <w:t>41%</w:t>
            </w:r>
          </w:p>
        </w:tc>
        <w:tc>
          <w:tcPr>
            <w:tcW w:w="1276" w:type="dxa"/>
            <w:tcBorders>
              <w:top w:val="nil"/>
              <w:left w:val="single" w:sz="8" w:space="0" w:color="auto"/>
              <w:bottom w:val="single" w:sz="8" w:space="0" w:color="auto"/>
              <w:right w:val="single" w:sz="8" w:space="0" w:color="auto"/>
            </w:tcBorders>
            <w:shd w:val="clear" w:color="auto" w:fill="auto"/>
            <w:noWrap/>
            <w:hideMark/>
          </w:tcPr>
          <w:p w:rsidR="00550D6D" w:rsidRPr="00550D6D" w:rsidRDefault="00550D6D" w:rsidP="00550D6D">
            <w:pPr>
              <w:spacing w:after="0" w:line="240" w:lineRule="auto"/>
              <w:rPr>
                <w:rFonts w:ascii="Arial" w:eastAsia="Times New Roman" w:hAnsi="Arial" w:cs="Arial"/>
                <w:color w:val="000000"/>
                <w:lang w:eastAsia="en-AU"/>
              </w:rPr>
            </w:pPr>
          </w:p>
        </w:tc>
        <w:tc>
          <w:tcPr>
            <w:tcW w:w="1276" w:type="dxa"/>
            <w:tcBorders>
              <w:top w:val="nil"/>
              <w:left w:val="nil"/>
              <w:bottom w:val="single" w:sz="8" w:space="0" w:color="auto"/>
              <w:right w:val="nil"/>
            </w:tcBorders>
            <w:shd w:val="clear" w:color="auto" w:fill="auto"/>
            <w:noWrap/>
            <w:vAlign w:val="center"/>
            <w:hideMark/>
          </w:tcPr>
          <w:p w:rsidR="00550D6D" w:rsidRPr="00550D6D" w:rsidRDefault="00550D6D" w:rsidP="00550D6D">
            <w:pPr>
              <w:spacing w:after="0" w:line="240" w:lineRule="auto"/>
              <w:rPr>
                <w:rFonts w:ascii="Arial" w:eastAsia="Times New Roman" w:hAnsi="Arial" w:cs="Arial"/>
                <w:color w:val="000000"/>
                <w:lang w:eastAsia="en-AU"/>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rsidR="00550D6D" w:rsidRPr="00550D6D" w:rsidRDefault="00550D6D" w:rsidP="00550D6D">
            <w:pPr>
              <w:spacing w:after="0" w:line="240" w:lineRule="auto"/>
              <w:rPr>
                <w:rFonts w:ascii="Arial" w:eastAsia="Times New Roman" w:hAnsi="Arial" w:cs="Arial"/>
                <w:color w:val="000000"/>
                <w:lang w:eastAsia="en-AU"/>
              </w:rPr>
            </w:pPr>
          </w:p>
        </w:tc>
        <w:tc>
          <w:tcPr>
            <w:tcW w:w="1276" w:type="dxa"/>
            <w:tcBorders>
              <w:top w:val="nil"/>
              <w:left w:val="nil"/>
              <w:bottom w:val="single" w:sz="8" w:space="0" w:color="auto"/>
              <w:right w:val="single" w:sz="8" w:space="0" w:color="auto"/>
            </w:tcBorders>
            <w:shd w:val="clear" w:color="auto" w:fill="auto"/>
            <w:noWrap/>
            <w:hideMark/>
          </w:tcPr>
          <w:p w:rsidR="00550D6D" w:rsidRPr="00550D6D" w:rsidRDefault="00550D6D" w:rsidP="00550D6D">
            <w:pPr>
              <w:spacing w:after="0" w:line="240" w:lineRule="auto"/>
              <w:rPr>
                <w:rFonts w:ascii="Arial" w:eastAsia="Times New Roman" w:hAnsi="Arial" w:cs="Arial"/>
                <w:color w:val="000000"/>
                <w:lang w:eastAsia="en-AU"/>
              </w:rPr>
            </w:pPr>
          </w:p>
        </w:tc>
      </w:tr>
    </w:tbl>
    <w:p w:rsidR="00550D6D" w:rsidRDefault="00550D6D" w:rsidP="00412BE9">
      <w:pPr>
        <w:spacing w:after="240"/>
        <w:rPr>
          <w:rFonts w:cstheme="minorHAnsi"/>
        </w:rPr>
      </w:pPr>
    </w:p>
    <w:p w:rsidR="00B83265" w:rsidRPr="002817DE" w:rsidRDefault="00B83265" w:rsidP="002817DE">
      <w:pPr>
        <w:pStyle w:val="Heading2"/>
      </w:pPr>
      <w:bookmarkStart w:id="64" w:name="_Toc121151436"/>
      <w:r w:rsidRPr="002817DE">
        <w:t>Slide 54: Participants aged 15 and over – Relationships</w:t>
      </w:r>
      <w:bookmarkEnd w:id="64"/>
    </w:p>
    <w:p w:rsidR="00B83265" w:rsidRPr="00BB5E10" w:rsidRDefault="00B83265" w:rsidP="00B83265">
      <w:pPr>
        <w:rPr>
          <w:b/>
        </w:rPr>
      </w:pPr>
      <w:r w:rsidRPr="00BB5E10">
        <w:rPr>
          <w:b/>
        </w:rPr>
        <w:t xml:space="preserve">% who </w:t>
      </w:r>
      <w:r>
        <w:rPr>
          <w:b/>
        </w:rPr>
        <w:t>would like to see their friends more often</w:t>
      </w:r>
    </w:p>
    <w:p w:rsidR="00B83265" w:rsidRPr="005E5431" w:rsidRDefault="00B83265" w:rsidP="00B83265">
      <w:pPr>
        <w:spacing w:after="240"/>
        <w:rPr>
          <w:rFonts w:cstheme="minorHAnsi"/>
        </w:rPr>
      </w:pPr>
      <w:r w:rsidRPr="005E5431">
        <w:rPr>
          <w:rFonts w:cstheme="minorHAnsi"/>
        </w:rPr>
        <w:t>Over time, participants aged 15 and over are increasingly wanting to see their friends more often. For example, for participants in cohort 5 there was a 9.3 percentage point increase in the percentage wanting to see their friends more often (between baseline and fifth review). However, there was a 1.9 percentage point decrease in the latest year.</w:t>
      </w:r>
    </w:p>
    <w:p w:rsidR="00B83265" w:rsidRDefault="00B83265" w:rsidP="00B83265">
      <w:pPr>
        <w:spacing w:after="240"/>
        <w:rPr>
          <w:rFonts w:cstheme="minorHAnsi"/>
        </w:rPr>
      </w:pPr>
      <w:r w:rsidRPr="005E5431">
        <w:rPr>
          <w:rFonts w:cstheme="minorHAnsi"/>
        </w:rPr>
        <w:t>The trend appears to be consistent across the age groups, although there is a higher percentage of participants in the younger age groups (i.e. S-14/15-24 and 15-24) who would like to see their friends more often compared to the 25+ group. For example, at fourth review (Cohort 4), 72.9% of participants in the S-14/15-24 age group reported wanting to see their friends more often, compared to 60.9% of participants in the 25+ age group.</w:t>
      </w:r>
    </w:p>
    <w:p w:rsidR="00412BE9" w:rsidRDefault="00B83265" w:rsidP="00412BE9">
      <w:pPr>
        <w:spacing w:after="240"/>
        <w:rPr>
          <w:rFonts w:cstheme="minorHAnsi"/>
        </w:rPr>
      </w:pPr>
      <w:r>
        <w:rPr>
          <w:rFonts w:cstheme="minorHAnsi"/>
        </w:rPr>
        <w:lastRenderedPageBreak/>
        <w:t xml:space="preserve">Five charts shows </w:t>
      </w:r>
      <w:r w:rsidRPr="00AD4C8D">
        <w:rPr>
          <w:rFonts w:cstheme="minorHAnsi"/>
        </w:rPr>
        <w:t xml:space="preserve">the percentage </w:t>
      </w:r>
      <w:r w:rsidRPr="00BE65DB">
        <w:rPr>
          <w:rFonts w:cstheme="minorHAnsi"/>
        </w:rPr>
        <w:t xml:space="preserve">who would like to see their </w:t>
      </w:r>
      <w:r>
        <w:rPr>
          <w:rFonts w:cstheme="minorHAnsi"/>
        </w:rPr>
        <w:t>friends</w:t>
      </w:r>
      <w:r w:rsidRPr="00BE65DB">
        <w:rPr>
          <w:rFonts w:cstheme="minorHAnsi"/>
        </w:rPr>
        <w:t xml:space="preserve"> more often</w:t>
      </w:r>
      <w:r>
        <w:rPr>
          <w:rFonts w:cstheme="minorHAnsi"/>
        </w:rPr>
        <w:t xml:space="preserve"> </w:t>
      </w:r>
      <w:r w:rsidRPr="00AD4C8D">
        <w:rPr>
          <w:rFonts w:cstheme="minorHAnsi"/>
        </w:rPr>
        <w:t>at baseline and at subsequent reviews</w:t>
      </w:r>
      <w:r w:rsidR="00412BE9" w:rsidRPr="00715092">
        <w:rPr>
          <w:rFonts w:cstheme="minorHAnsi"/>
        </w:rPr>
        <w:t xml:space="preserve">, separately for participants in the </w:t>
      </w:r>
      <w:r w:rsidR="00412BE9">
        <w:rPr>
          <w:rFonts w:cstheme="minorHAnsi"/>
        </w:rPr>
        <w:t xml:space="preserve">five years, </w:t>
      </w:r>
      <w:r w:rsidR="00412BE9" w:rsidRPr="00715092">
        <w:rPr>
          <w:rFonts w:cstheme="minorHAnsi"/>
        </w:rPr>
        <w:t>four years, three years, two years or one year</w:t>
      </w:r>
      <w:r w:rsidR="00412BE9">
        <w:rPr>
          <w:rFonts w:cstheme="minorHAnsi"/>
        </w:rPr>
        <w:t xml:space="preserve"> cohorts</w:t>
      </w:r>
      <w:r w:rsidR="00412BE9" w:rsidRPr="00715092">
        <w:rPr>
          <w:rFonts w:cstheme="minorHAnsi"/>
        </w:rPr>
        <w:t>.</w:t>
      </w:r>
      <w:r w:rsidR="00412BE9">
        <w:rPr>
          <w:rFonts w:cstheme="minorHAnsi"/>
        </w:rPr>
        <w:t xml:space="preserve"> Separate lines on each chart show results for all participants, and for participants in the S-14/15-24, 15-24, 15-24/25+ and 25+ age groups.</w:t>
      </w:r>
    </w:p>
    <w:p w:rsidR="00412BE9" w:rsidRDefault="00412BE9" w:rsidP="00412BE9">
      <w:pPr>
        <w:spacing w:after="240"/>
        <w:rPr>
          <w:rFonts w:cstheme="minorHAnsi"/>
        </w:rPr>
      </w:pPr>
      <w:r>
        <w:rPr>
          <w:rFonts w:cstheme="minorHAnsi"/>
        </w:rPr>
        <w:t>For PSto14, analysed by time since first in P15to24, otherwise by time in Scheme.</w:t>
      </w:r>
    </w:p>
    <w:p w:rsidR="00412BE9" w:rsidRDefault="00D54E9A" w:rsidP="00412BE9">
      <w:pPr>
        <w:spacing w:after="240"/>
        <w:rPr>
          <w:rFonts w:cstheme="minorHAnsi"/>
        </w:rPr>
      </w:pPr>
      <w:r>
        <w:rPr>
          <w:rFonts w:cstheme="minorHAnsi"/>
        </w:rPr>
        <w:t>This context dependent indicator increased.</w:t>
      </w:r>
    </w:p>
    <w:p w:rsidR="00412BE9" w:rsidRDefault="00412BE9" w:rsidP="00412BE9">
      <w:pPr>
        <w:spacing w:after="240"/>
        <w:rPr>
          <w:rFonts w:cstheme="minorHAnsi"/>
        </w:rPr>
      </w:pPr>
      <w:r>
        <w:rPr>
          <w:rFonts w:cstheme="minorHAnsi"/>
        </w:rPr>
        <w:t>Results for all participants are labelled on the charts:</w:t>
      </w:r>
    </w:p>
    <w:tbl>
      <w:tblPr>
        <w:tblW w:w="9204" w:type="dxa"/>
        <w:tblLook w:val="04A0" w:firstRow="1" w:lastRow="0" w:firstColumn="1" w:lastColumn="0" w:noHBand="0" w:noVBand="1"/>
      </w:tblPr>
      <w:tblGrid>
        <w:gridCol w:w="1500"/>
        <w:gridCol w:w="1325"/>
        <w:gridCol w:w="1276"/>
        <w:gridCol w:w="1276"/>
        <w:gridCol w:w="1276"/>
        <w:gridCol w:w="1275"/>
        <w:gridCol w:w="1276"/>
      </w:tblGrid>
      <w:tr w:rsidR="00550D6D" w:rsidRPr="00AD165E" w:rsidTr="00632614">
        <w:trPr>
          <w:trHeight w:val="285"/>
        </w:trPr>
        <w:tc>
          <w:tcPr>
            <w:tcW w:w="1500" w:type="dxa"/>
            <w:tcBorders>
              <w:top w:val="single" w:sz="8" w:space="0" w:color="auto"/>
              <w:left w:val="single" w:sz="8" w:space="0" w:color="auto"/>
              <w:bottom w:val="single" w:sz="8" w:space="0" w:color="auto"/>
              <w:right w:val="nil"/>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Cohort</w:t>
            </w:r>
          </w:p>
        </w:tc>
        <w:tc>
          <w:tcPr>
            <w:tcW w:w="13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B</w:t>
            </w:r>
            <w:r>
              <w:rPr>
                <w:rFonts w:ascii="Arial" w:eastAsia="Times New Roman" w:hAnsi="Arial" w:cs="Arial"/>
                <w:b/>
                <w:bCs/>
                <w:color w:val="000000"/>
                <w:lang w:eastAsia="en-AU"/>
              </w:rPr>
              <w:t>aseline</w:t>
            </w:r>
          </w:p>
        </w:tc>
        <w:tc>
          <w:tcPr>
            <w:tcW w:w="1276" w:type="dxa"/>
            <w:tcBorders>
              <w:top w:val="single" w:sz="8" w:space="0" w:color="auto"/>
              <w:left w:val="nil"/>
              <w:bottom w:val="single" w:sz="8" w:space="0" w:color="auto"/>
              <w:right w:val="nil"/>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1</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2</w:t>
            </w:r>
          </w:p>
        </w:tc>
        <w:tc>
          <w:tcPr>
            <w:tcW w:w="1276" w:type="dxa"/>
            <w:tcBorders>
              <w:top w:val="single" w:sz="8" w:space="0" w:color="auto"/>
              <w:left w:val="nil"/>
              <w:bottom w:val="single" w:sz="8" w:space="0" w:color="auto"/>
              <w:right w:val="nil"/>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3</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4</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5</w:t>
            </w:r>
          </w:p>
        </w:tc>
      </w:tr>
      <w:tr w:rsidR="00162823"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162823" w:rsidRPr="00AD165E" w:rsidRDefault="00162823" w:rsidP="00162823">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5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162823" w:rsidRPr="00162823" w:rsidRDefault="00162823" w:rsidP="00162823">
            <w:pPr>
              <w:spacing w:after="0"/>
              <w:rPr>
                <w:rFonts w:ascii="Arial" w:hAnsi="Arial" w:cs="Arial"/>
              </w:rPr>
            </w:pPr>
            <w:r w:rsidRPr="00162823">
              <w:rPr>
                <w:rFonts w:ascii="Arial" w:hAnsi="Arial" w:cs="Arial"/>
              </w:rPr>
              <w:t>49%</w:t>
            </w:r>
          </w:p>
        </w:tc>
        <w:tc>
          <w:tcPr>
            <w:tcW w:w="1276" w:type="dxa"/>
            <w:tcBorders>
              <w:top w:val="nil"/>
              <w:left w:val="nil"/>
              <w:bottom w:val="single" w:sz="4" w:space="0" w:color="auto"/>
              <w:right w:val="nil"/>
            </w:tcBorders>
            <w:shd w:val="clear" w:color="auto" w:fill="auto"/>
            <w:noWrap/>
            <w:vAlign w:val="center"/>
            <w:hideMark/>
          </w:tcPr>
          <w:p w:rsidR="00162823" w:rsidRPr="00162823" w:rsidRDefault="00162823" w:rsidP="00162823">
            <w:pPr>
              <w:spacing w:after="0"/>
              <w:rPr>
                <w:rFonts w:ascii="Arial" w:hAnsi="Arial" w:cs="Arial"/>
              </w:rPr>
            </w:pPr>
            <w:r w:rsidRPr="00162823">
              <w:rPr>
                <w:rFonts w:ascii="Arial" w:hAnsi="Arial" w:cs="Arial"/>
              </w:rPr>
              <w:t>53%</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162823" w:rsidRPr="00162823" w:rsidRDefault="00162823" w:rsidP="00162823">
            <w:pPr>
              <w:spacing w:after="0"/>
              <w:rPr>
                <w:rFonts w:ascii="Arial" w:hAnsi="Arial" w:cs="Arial"/>
              </w:rPr>
            </w:pPr>
            <w:r w:rsidRPr="00162823">
              <w:rPr>
                <w:rFonts w:ascii="Arial" w:hAnsi="Arial" w:cs="Arial"/>
              </w:rPr>
              <w:t>57%</w:t>
            </w:r>
          </w:p>
        </w:tc>
        <w:tc>
          <w:tcPr>
            <w:tcW w:w="1276" w:type="dxa"/>
            <w:tcBorders>
              <w:top w:val="nil"/>
              <w:left w:val="nil"/>
              <w:bottom w:val="single" w:sz="4" w:space="0" w:color="auto"/>
              <w:right w:val="nil"/>
            </w:tcBorders>
            <w:shd w:val="clear" w:color="auto" w:fill="auto"/>
            <w:noWrap/>
            <w:vAlign w:val="center"/>
            <w:hideMark/>
          </w:tcPr>
          <w:p w:rsidR="00162823" w:rsidRPr="00162823" w:rsidRDefault="00162823" w:rsidP="00162823">
            <w:pPr>
              <w:spacing w:after="0"/>
              <w:rPr>
                <w:rFonts w:ascii="Arial" w:hAnsi="Arial" w:cs="Arial"/>
              </w:rPr>
            </w:pPr>
            <w:r w:rsidRPr="00162823">
              <w:rPr>
                <w:rFonts w:ascii="Arial" w:hAnsi="Arial" w:cs="Arial"/>
              </w:rPr>
              <w:t>57%</w:t>
            </w: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162823" w:rsidRPr="00162823" w:rsidRDefault="00162823" w:rsidP="00162823">
            <w:pPr>
              <w:spacing w:after="0"/>
              <w:rPr>
                <w:rFonts w:ascii="Arial" w:hAnsi="Arial" w:cs="Arial"/>
              </w:rPr>
            </w:pPr>
            <w:r w:rsidRPr="00162823">
              <w:rPr>
                <w:rFonts w:ascii="Arial" w:hAnsi="Arial" w:cs="Arial"/>
              </w:rPr>
              <w:t>61%</w:t>
            </w:r>
          </w:p>
        </w:tc>
        <w:tc>
          <w:tcPr>
            <w:tcW w:w="1276" w:type="dxa"/>
            <w:tcBorders>
              <w:top w:val="nil"/>
              <w:left w:val="nil"/>
              <w:bottom w:val="single" w:sz="4" w:space="0" w:color="auto"/>
              <w:right w:val="single" w:sz="8" w:space="0" w:color="auto"/>
            </w:tcBorders>
            <w:shd w:val="clear" w:color="auto" w:fill="auto"/>
            <w:noWrap/>
            <w:vAlign w:val="center"/>
            <w:hideMark/>
          </w:tcPr>
          <w:p w:rsidR="00162823" w:rsidRPr="00162823" w:rsidRDefault="00162823" w:rsidP="00162823">
            <w:pPr>
              <w:spacing w:after="0"/>
              <w:rPr>
                <w:rFonts w:ascii="Arial" w:hAnsi="Arial" w:cs="Arial"/>
              </w:rPr>
            </w:pPr>
            <w:r w:rsidRPr="00162823">
              <w:rPr>
                <w:rFonts w:ascii="Arial" w:hAnsi="Arial" w:cs="Arial"/>
              </w:rPr>
              <w:t>59%</w:t>
            </w:r>
          </w:p>
        </w:tc>
      </w:tr>
      <w:tr w:rsidR="00162823"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162823" w:rsidRPr="00AD165E" w:rsidRDefault="00162823" w:rsidP="00162823">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4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162823" w:rsidRPr="00162823" w:rsidRDefault="00162823" w:rsidP="00162823">
            <w:pPr>
              <w:spacing w:after="0"/>
              <w:rPr>
                <w:rFonts w:ascii="Arial" w:hAnsi="Arial" w:cs="Arial"/>
              </w:rPr>
            </w:pPr>
            <w:r w:rsidRPr="00162823">
              <w:rPr>
                <w:rFonts w:ascii="Arial" w:hAnsi="Arial" w:cs="Arial"/>
              </w:rPr>
              <w:t>56%</w:t>
            </w:r>
          </w:p>
        </w:tc>
        <w:tc>
          <w:tcPr>
            <w:tcW w:w="1276" w:type="dxa"/>
            <w:tcBorders>
              <w:top w:val="nil"/>
              <w:left w:val="nil"/>
              <w:bottom w:val="single" w:sz="4" w:space="0" w:color="auto"/>
              <w:right w:val="nil"/>
            </w:tcBorders>
            <w:shd w:val="clear" w:color="auto" w:fill="auto"/>
            <w:noWrap/>
            <w:vAlign w:val="center"/>
            <w:hideMark/>
          </w:tcPr>
          <w:p w:rsidR="00162823" w:rsidRPr="00162823" w:rsidRDefault="00162823" w:rsidP="00162823">
            <w:pPr>
              <w:spacing w:after="0"/>
              <w:rPr>
                <w:rFonts w:ascii="Arial" w:hAnsi="Arial" w:cs="Arial"/>
              </w:rPr>
            </w:pPr>
            <w:r w:rsidRPr="00162823">
              <w:rPr>
                <w:rFonts w:ascii="Arial" w:hAnsi="Arial" w:cs="Arial"/>
              </w:rPr>
              <w:t>59%</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162823" w:rsidRPr="00162823" w:rsidRDefault="00162823" w:rsidP="00162823">
            <w:pPr>
              <w:spacing w:after="0"/>
              <w:rPr>
                <w:rFonts w:ascii="Arial" w:hAnsi="Arial" w:cs="Arial"/>
              </w:rPr>
            </w:pPr>
            <w:r w:rsidRPr="00162823">
              <w:rPr>
                <w:rFonts w:ascii="Arial" w:hAnsi="Arial" w:cs="Arial"/>
              </w:rPr>
              <w:t>61%</w:t>
            </w:r>
          </w:p>
        </w:tc>
        <w:tc>
          <w:tcPr>
            <w:tcW w:w="1276" w:type="dxa"/>
            <w:tcBorders>
              <w:top w:val="nil"/>
              <w:left w:val="nil"/>
              <w:bottom w:val="single" w:sz="4" w:space="0" w:color="auto"/>
              <w:right w:val="nil"/>
            </w:tcBorders>
            <w:shd w:val="clear" w:color="auto" w:fill="auto"/>
            <w:noWrap/>
            <w:vAlign w:val="center"/>
            <w:hideMark/>
          </w:tcPr>
          <w:p w:rsidR="00162823" w:rsidRPr="00162823" w:rsidRDefault="00162823" w:rsidP="00162823">
            <w:pPr>
              <w:spacing w:after="0"/>
              <w:rPr>
                <w:rFonts w:ascii="Arial" w:hAnsi="Arial" w:cs="Arial"/>
              </w:rPr>
            </w:pPr>
            <w:r w:rsidRPr="00162823">
              <w:rPr>
                <w:rFonts w:ascii="Arial" w:hAnsi="Arial" w:cs="Arial"/>
              </w:rPr>
              <w:t>64%</w:t>
            </w: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162823" w:rsidRPr="00162823" w:rsidRDefault="00162823" w:rsidP="00162823">
            <w:pPr>
              <w:spacing w:after="0"/>
              <w:rPr>
                <w:rFonts w:ascii="Arial" w:hAnsi="Arial" w:cs="Arial"/>
              </w:rPr>
            </w:pPr>
            <w:r w:rsidRPr="00162823">
              <w:rPr>
                <w:rFonts w:ascii="Arial" w:hAnsi="Arial" w:cs="Arial"/>
              </w:rPr>
              <w:t>63%</w:t>
            </w:r>
          </w:p>
        </w:tc>
        <w:tc>
          <w:tcPr>
            <w:tcW w:w="1276" w:type="dxa"/>
            <w:tcBorders>
              <w:top w:val="nil"/>
              <w:left w:val="nil"/>
              <w:bottom w:val="single" w:sz="4" w:space="0" w:color="auto"/>
              <w:right w:val="single" w:sz="8" w:space="0" w:color="auto"/>
            </w:tcBorders>
            <w:shd w:val="clear" w:color="auto" w:fill="auto"/>
            <w:noWrap/>
            <w:hideMark/>
          </w:tcPr>
          <w:p w:rsidR="00162823" w:rsidRPr="00162823" w:rsidRDefault="00162823" w:rsidP="00162823">
            <w:pPr>
              <w:spacing w:after="0" w:line="240" w:lineRule="auto"/>
              <w:rPr>
                <w:rFonts w:ascii="Arial" w:eastAsia="Times New Roman" w:hAnsi="Arial" w:cs="Arial"/>
                <w:color w:val="000000"/>
                <w:lang w:eastAsia="en-AU"/>
              </w:rPr>
            </w:pPr>
          </w:p>
        </w:tc>
      </w:tr>
      <w:tr w:rsidR="00162823"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162823" w:rsidRPr="00AD165E" w:rsidRDefault="00162823" w:rsidP="00162823">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3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162823" w:rsidRPr="00162823" w:rsidRDefault="00162823" w:rsidP="00162823">
            <w:pPr>
              <w:spacing w:after="0"/>
              <w:rPr>
                <w:rFonts w:ascii="Arial" w:hAnsi="Arial" w:cs="Arial"/>
              </w:rPr>
            </w:pPr>
            <w:r w:rsidRPr="00162823">
              <w:rPr>
                <w:rFonts w:ascii="Arial" w:hAnsi="Arial" w:cs="Arial"/>
              </w:rPr>
              <w:t>60%</w:t>
            </w:r>
          </w:p>
        </w:tc>
        <w:tc>
          <w:tcPr>
            <w:tcW w:w="1276" w:type="dxa"/>
            <w:tcBorders>
              <w:top w:val="nil"/>
              <w:left w:val="nil"/>
              <w:bottom w:val="single" w:sz="4" w:space="0" w:color="auto"/>
              <w:right w:val="nil"/>
            </w:tcBorders>
            <w:shd w:val="clear" w:color="auto" w:fill="auto"/>
            <w:noWrap/>
            <w:vAlign w:val="center"/>
            <w:hideMark/>
          </w:tcPr>
          <w:p w:rsidR="00162823" w:rsidRPr="00162823" w:rsidRDefault="00162823" w:rsidP="00162823">
            <w:pPr>
              <w:spacing w:after="0"/>
              <w:rPr>
                <w:rFonts w:ascii="Arial" w:hAnsi="Arial" w:cs="Arial"/>
              </w:rPr>
            </w:pPr>
            <w:r w:rsidRPr="00162823">
              <w:rPr>
                <w:rFonts w:ascii="Arial" w:hAnsi="Arial" w:cs="Arial"/>
              </w:rPr>
              <w:t>62%</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162823" w:rsidRPr="00162823" w:rsidRDefault="00162823" w:rsidP="00162823">
            <w:pPr>
              <w:spacing w:after="0"/>
              <w:rPr>
                <w:rFonts w:ascii="Arial" w:hAnsi="Arial" w:cs="Arial"/>
              </w:rPr>
            </w:pPr>
            <w:r w:rsidRPr="00162823">
              <w:rPr>
                <w:rFonts w:ascii="Arial" w:hAnsi="Arial" w:cs="Arial"/>
              </w:rPr>
              <w:t>64%</w:t>
            </w:r>
          </w:p>
        </w:tc>
        <w:tc>
          <w:tcPr>
            <w:tcW w:w="1276" w:type="dxa"/>
            <w:tcBorders>
              <w:top w:val="nil"/>
              <w:left w:val="nil"/>
              <w:bottom w:val="single" w:sz="4" w:space="0" w:color="auto"/>
              <w:right w:val="nil"/>
            </w:tcBorders>
            <w:shd w:val="clear" w:color="auto" w:fill="auto"/>
            <w:noWrap/>
            <w:vAlign w:val="center"/>
            <w:hideMark/>
          </w:tcPr>
          <w:p w:rsidR="00162823" w:rsidRPr="00162823" w:rsidRDefault="00162823" w:rsidP="00162823">
            <w:pPr>
              <w:spacing w:after="0"/>
              <w:rPr>
                <w:rFonts w:ascii="Arial" w:hAnsi="Arial" w:cs="Arial"/>
              </w:rPr>
            </w:pPr>
            <w:r w:rsidRPr="00162823">
              <w:rPr>
                <w:rFonts w:ascii="Arial" w:hAnsi="Arial" w:cs="Arial"/>
              </w:rPr>
              <w:t>65%</w:t>
            </w:r>
          </w:p>
        </w:tc>
        <w:tc>
          <w:tcPr>
            <w:tcW w:w="1275" w:type="dxa"/>
            <w:tcBorders>
              <w:top w:val="nil"/>
              <w:left w:val="single" w:sz="8" w:space="0" w:color="auto"/>
              <w:bottom w:val="single" w:sz="4" w:space="0" w:color="auto"/>
              <w:right w:val="single" w:sz="8" w:space="0" w:color="auto"/>
            </w:tcBorders>
            <w:shd w:val="clear" w:color="auto" w:fill="auto"/>
            <w:noWrap/>
            <w:hideMark/>
          </w:tcPr>
          <w:p w:rsidR="00162823" w:rsidRPr="00162823" w:rsidRDefault="00162823" w:rsidP="00162823">
            <w:pPr>
              <w:spacing w:after="0" w:line="240" w:lineRule="auto"/>
              <w:rPr>
                <w:rFonts w:ascii="Arial" w:eastAsia="Times New Roman" w:hAnsi="Arial" w:cs="Arial"/>
                <w:color w:val="000000"/>
                <w:lang w:eastAsia="en-AU"/>
              </w:rPr>
            </w:pPr>
          </w:p>
        </w:tc>
        <w:tc>
          <w:tcPr>
            <w:tcW w:w="1276" w:type="dxa"/>
            <w:tcBorders>
              <w:top w:val="nil"/>
              <w:left w:val="nil"/>
              <w:bottom w:val="single" w:sz="4" w:space="0" w:color="auto"/>
              <w:right w:val="single" w:sz="8" w:space="0" w:color="auto"/>
            </w:tcBorders>
            <w:shd w:val="clear" w:color="auto" w:fill="auto"/>
            <w:noWrap/>
            <w:vAlign w:val="bottom"/>
            <w:hideMark/>
          </w:tcPr>
          <w:p w:rsidR="00162823" w:rsidRPr="00162823" w:rsidRDefault="00162823" w:rsidP="00162823">
            <w:pPr>
              <w:spacing w:after="0" w:line="240" w:lineRule="auto"/>
              <w:rPr>
                <w:rFonts w:ascii="Arial" w:eastAsia="Times New Roman" w:hAnsi="Arial" w:cs="Arial"/>
                <w:color w:val="000000"/>
                <w:lang w:eastAsia="en-AU"/>
              </w:rPr>
            </w:pPr>
          </w:p>
        </w:tc>
      </w:tr>
      <w:tr w:rsidR="00162823"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162823" w:rsidRPr="00AD165E" w:rsidRDefault="00162823" w:rsidP="00162823">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2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162823" w:rsidRPr="00162823" w:rsidRDefault="00162823" w:rsidP="00162823">
            <w:pPr>
              <w:spacing w:after="0"/>
              <w:rPr>
                <w:rFonts w:ascii="Arial" w:hAnsi="Arial" w:cs="Arial"/>
              </w:rPr>
            </w:pPr>
            <w:r w:rsidRPr="00162823">
              <w:rPr>
                <w:rFonts w:ascii="Arial" w:hAnsi="Arial" w:cs="Arial"/>
              </w:rPr>
              <w:t>63%</w:t>
            </w:r>
          </w:p>
        </w:tc>
        <w:tc>
          <w:tcPr>
            <w:tcW w:w="1276" w:type="dxa"/>
            <w:tcBorders>
              <w:top w:val="nil"/>
              <w:left w:val="nil"/>
              <w:bottom w:val="single" w:sz="4" w:space="0" w:color="auto"/>
              <w:right w:val="nil"/>
            </w:tcBorders>
            <w:shd w:val="clear" w:color="auto" w:fill="auto"/>
            <w:noWrap/>
            <w:vAlign w:val="center"/>
            <w:hideMark/>
          </w:tcPr>
          <w:p w:rsidR="00162823" w:rsidRPr="00162823" w:rsidRDefault="00162823" w:rsidP="00162823">
            <w:pPr>
              <w:spacing w:after="0"/>
              <w:rPr>
                <w:rFonts w:ascii="Arial" w:hAnsi="Arial" w:cs="Arial"/>
              </w:rPr>
            </w:pPr>
            <w:r w:rsidRPr="00162823">
              <w:rPr>
                <w:rFonts w:ascii="Arial" w:hAnsi="Arial" w:cs="Arial"/>
              </w:rPr>
              <w:t>65%</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162823" w:rsidRPr="00162823" w:rsidRDefault="00162823" w:rsidP="00162823">
            <w:pPr>
              <w:spacing w:after="0"/>
              <w:rPr>
                <w:rFonts w:ascii="Arial" w:hAnsi="Arial" w:cs="Arial"/>
              </w:rPr>
            </w:pPr>
            <w:r w:rsidRPr="00162823">
              <w:rPr>
                <w:rFonts w:ascii="Arial" w:hAnsi="Arial" w:cs="Arial"/>
              </w:rPr>
              <w:t>66%</w:t>
            </w:r>
          </w:p>
        </w:tc>
        <w:tc>
          <w:tcPr>
            <w:tcW w:w="1276" w:type="dxa"/>
            <w:tcBorders>
              <w:top w:val="nil"/>
              <w:left w:val="nil"/>
              <w:bottom w:val="single" w:sz="4" w:space="0" w:color="auto"/>
              <w:right w:val="nil"/>
            </w:tcBorders>
            <w:shd w:val="clear" w:color="auto" w:fill="auto"/>
            <w:noWrap/>
            <w:hideMark/>
          </w:tcPr>
          <w:p w:rsidR="00162823" w:rsidRPr="00162823" w:rsidRDefault="00162823" w:rsidP="00162823">
            <w:pPr>
              <w:spacing w:after="0" w:line="240" w:lineRule="auto"/>
              <w:rPr>
                <w:rFonts w:ascii="Arial" w:eastAsia="Times New Roman" w:hAnsi="Arial" w:cs="Arial"/>
                <w:color w:val="000000"/>
                <w:lang w:eastAsia="en-AU"/>
              </w:rPr>
            </w:pP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162823" w:rsidRPr="00162823" w:rsidRDefault="00162823" w:rsidP="00162823">
            <w:pPr>
              <w:spacing w:after="0" w:line="240" w:lineRule="auto"/>
              <w:rPr>
                <w:rFonts w:ascii="Arial" w:eastAsia="Times New Roman" w:hAnsi="Arial" w:cs="Arial"/>
                <w:color w:val="000000"/>
                <w:lang w:eastAsia="en-AU"/>
              </w:rPr>
            </w:pPr>
          </w:p>
        </w:tc>
        <w:tc>
          <w:tcPr>
            <w:tcW w:w="1276" w:type="dxa"/>
            <w:tcBorders>
              <w:top w:val="nil"/>
              <w:left w:val="nil"/>
              <w:bottom w:val="single" w:sz="4" w:space="0" w:color="auto"/>
              <w:right w:val="single" w:sz="8" w:space="0" w:color="auto"/>
            </w:tcBorders>
            <w:shd w:val="clear" w:color="auto" w:fill="auto"/>
            <w:noWrap/>
            <w:vAlign w:val="center"/>
            <w:hideMark/>
          </w:tcPr>
          <w:p w:rsidR="00162823" w:rsidRPr="00162823" w:rsidRDefault="00162823" w:rsidP="00162823">
            <w:pPr>
              <w:spacing w:after="0" w:line="240" w:lineRule="auto"/>
              <w:rPr>
                <w:rFonts w:ascii="Arial" w:eastAsia="Times New Roman" w:hAnsi="Arial" w:cs="Arial"/>
                <w:color w:val="000000"/>
                <w:lang w:eastAsia="en-AU"/>
              </w:rPr>
            </w:pPr>
          </w:p>
        </w:tc>
      </w:tr>
      <w:tr w:rsidR="00162823" w:rsidRPr="00AD165E" w:rsidTr="00632614">
        <w:trPr>
          <w:trHeight w:val="285"/>
        </w:trPr>
        <w:tc>
          <w:tcPr>
            <w:tcW w:w="1500" w:type="dxa"/>
            <w:tcBorders>
              <w:top w:val="nil"/>
              <w:left w:val="single" w:sz="8" w:space="0" w:color="auto"/>
              <w:bottom w:val="single" w:sz="8" w:space="0" w:color="auto"/>
              <w:right w:val="nil"/>
            </w:tcBorders>
            <w:shd w:val="clear" w:color="auto" w:fill="auto"/>
            <w:noWrap/>
            <w:vAlign w:val="bottom"/>
            <w:hideMark/>
          </w:tcPr>
          <w:p w:rsidR="00162823" w:rsidRPr="00AD165E" w:rsidRDefault="00162823" w:rsidP="00162823">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1 year</w:t>
            </w:r>
          </w:p>
        </w:tc>
        <w:tc>
          <w:tcPr>
            <w:tcW w:w="1325" w:type="dxa"/>
            <w:tcBorders>
              <w:top w:val="nil"/>
              <w:left w:val="single" w:sz="8" w:space="0" w:color="auto"/>
              <w:bottom w:val="single" w:sz="8" w:space="0" w:color="auto"/>
              <w:right w:val="single" w:sz="8" w:space="0" w:color="auto"/>
            </w:tcBorders>
            <w:shd w:val="clear" w:color="auto" w:fill="auto"/>
            <w:noWrap/>
            <w:vAlign w:val="center"/>
            <w:hideMark/>
          </w:tcPr>
          <w:p w:rsidR="00162823" w:rsidRPr="00162823" w:rsidRDefault="00162823" w:rsidP="00162823">
            <w:pPr>
              <w:spacing w:after="0"/>
              <w:rPr>
                <w:rFonts w:ascii="Arial" w:hAnsi="Arial" w:cs="Arial"/>
              </w:rPr>
            </w:pPr>
            <w:r w:rsidRPr="00162823">
              <w:rPr>
                <w:rFonts w:ascii="Arial" w:hAnsi="Arial" w:cs="Arial"/>
              </w:rPr>
              <w:t>65%</w:t>
            </w:r>
          </w:p>
        </w:tc>
        <w:tc>
          <w:tcPr>
            <w:tcW w:w="1276" w:type="dxa"/>
            <w:tcBorders>
              <w:top w:val="nil"/>
              <w:left w:val="nil"/>
              <w:bottom w:val="single" w:sz="8" w:space="0" w:color="auto"/>
              <w:right w:val="nil"/>
            </w:tcBorders>
            <w:shd w:val="clear" w:color="auto" w:fill="auto"/>
            <w:noWrap/>
            <w:vAlign w:val="center"/>
            <w:hideMark/>
          </w:tcPr>
          <w:p w:rsidR="00162823" w:rsidRPr="00162823" w:rsidRDefault="00162823" w:rsidP="00162823">
            <w:pPr>
              <w:spacing w:after="0"/>
              <w:rPr>
                <w:rFonts w:ascii="Arial" w:hAnsi="Arial" w:cs="Arial"/>
              </w:rPr>
            </w:pPr>
            <w:r w:rsidRPr="00162823">
              <w:rPr>
                <w:rFonts w:ascii="Arial" w:hAnsi="Arial" w:cs="Arial"/>
              </w:rPr>
              <w:t>67%</w:t>
            </w:r>
          </w:p>
        </w:tc>
        <w:tc>
          <w:tcPr>
            <w:tcW w:w="1276" w:type="dxa"/>
            <w:tcBorders>
              <w:top w:val="nil"/>
              <w:left w:val="single" w:sz="8" w:space="0" w:color="auto"/>
              <w:bottom w:val="single" w:sz="8" w:space="0" w:color="auto"/>
              <w:right w:val="single" w:sz="8" w:space="0" w:color="auto"/>
            </w:tcBorders>
            <w:shd w:val="clear" w:color="auto" w:fill="auto"/>
            <w:noWrap/>
            <w:hideMark/>
          </w:tcPr>
          <w:p w:rsidR="00162823" w:rsidRPr="00162823" w:rsidRDefault="00162823" w:rsidP="00162823">
            <w:pPr>
              <w:spacing w:after="0" w:line="240" w:lineRule="auto"/>
              <w:rPr>
                <w:rFonts w:ascii="Arial" w:eastAsia="Times New Roman" w:hAnsi="Arial" w:cs="Arial"/>
                <w:color w:val="000000"/>
                <w:lang w:eastAsia="en-AU"/>
              </w:rPr>
            </w:pPr>
          </w:p>
        </w:tc>
        <w:tc>
          <w:tcPr>
            <w:tcW w:w="1276" w:type="dxa"/>
            <w:tcBorders>
              <w:top w:val="nil"/>
              <w:left w:val="nil"/>
              <w:bottom w:val="single" w:sz="8" w:space="0" w:color="auto"/>
              <w:right w:val="nil"/>
            </w:tcBorders>
            <w:shd w:val="clear" w:color="auto" w:fill="auto"/>
            <w:noWrap/>
            <w:vAlign w:val="center"/>
            <w:hideMark/>
          </w:tcPr>
          <w:p w:rsidR="00162823" w:rsidRPr="00162823" w:rsidRDefault="00162823" w:rsidP="00162823">
            <w:pPr>
              <w:spacing w:after="0" w:line="240" w:lineRule="auto"/>
              <w:rPr>
                <w:rFonts w:ascii="Arial" w:eastAsia="Times New Roman" w:hAnsi="Arial" w:cs="Arial"/>
                <w:color w:val="000000"/>
                <w:lang w:eastAsia="en-AU"/>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rsidR="00162823" w:rsidRPr="00162823" w:rsidRDefault="00162823" w:rsidP="00162823">
            <w:pPr>
              <w:spacing w:after="0" w:line="240" w:lineRule="auto"/>
              <w:rPr>
                <w:rFonts w:ascii="Arial" w:eastAsia="Times New Roman" w:hAnsi="Arial" w:cs="Arial"/>
                <w:color w:val="000000"/>
                <w:lang w:eastAsia="en-AU"/>
              </w:rPr>
            </w:pPr>
          </w:p>
        </w:tc>
        <w:tc>
          <w:tcPr>
            <w:tcW w:w="1276" w:type="dxa"/>
            <w:tcBorders>
              <w:top w:val="nil"/>
              <w:left w:val="nil"/>
              <w:bottom w:val="single" w:sz="8" w:space="0" w:color="auto"/>
              <w:right w:val="single" w:sz="8" w:space="0" w:color="auto"/>
            </w:tcBorders>
            <w:shd w:val="clear" w:color="auto" w:fill="auto"/>
            <w:noWrap/>
            <w:hideMark/>
          </w:tcPr>
          <w:p w:rsidR="00162823" w:rsidRPr="00162823" w:rsidRDefault="00162823" w:rsidP="00162823">
            <w:pPr>
              <w:spacing w:after="0" w:line="240" w:lineRule="auto"/>
              <w:rPr>
                <w:rFonts w:ascii="Arial" w:eastAsia="Times New Roman" w:hAnsi="Arial" w:cs="Arial"/>
                <w:color w:val="000000"/>
                <w:lang w:eastAsia="en-AU"/>
              </w:rPr>
            </w:pPr>
          </w:p>
        </w:tc>
      </w:tr>
    </w:tbl>
    <w:p w:rsidR="00550D6D" w:rsidRDefault="00550D6D" w:rsidP="00412BE9">
      <w:pPr>
        <w:spacing w:after="240"/>
        <w:rPr>
          <w:rFonts w:cstheme="minorHAnsi"/>
        </w:rPr>
      </w:pPr>
    </w:p>
    <w:p w:rsidR="00B83265" w:rsidRPr="002817DE" w:rsidRDefault="00B83265" w:rsidP="002817DE">
      <w:pPr>
        <w:pStyle w:val="Heading2"/>
      </w:pPr>
      <w:bookmarkStart w:id="65" w:name="_Toc121151437"/>
      <w:r w:rsidRPr="002817DE">
        <w:t>Slide 55: Participants aged 15 and over – Home: Home-related decisions</w:t>
      </w:r>
      <w:bookmarkEnd w:id="65"/>
    </w:p>
    <w:p w:rsidR="00B83265" w:rsidRPr="00075B45" w:rsidRDefault="00B83265" w:rsidP="00B83265">
      <w:pPr>
        <w:spacing w:after="240"/>
        <w:rPr>
          <w:rFonts w:cstheme="minorHAnsi"/>
        </w:rPr>
      </w:pPr>
      <w:r w:rsidRPr="00075B45">
        <w:rPr>
          <w:rFonts w:cstheme="minorHAnsi"/>
        </w:rPr>
        <w:t>Participants aged 15 to 24 are showing longitudinal improvements in their home related decisions and choices. While there is still a very low percentage of participants reporting that they make decisions in planning for a home of their own1 (17.9% at fourth review), this is a 10.3 percentage point increase from baseline (7.7%). For the C3 cohort, there has been a 14.3 percentage point increase from baseline, to 26.7% at third review.</w:t>
      </w:r>
    </w:p>
    <w:p w:rsidR="00B83265" w:rsidRPr="00075B45" w:rsidRDefault="00B83265" w:rsidP="00B83265">
      <w:pPr>
        <w:spacing w:after="240"/>
        <w:rPr>
          <w:rFonts w:cstheme="minorHAnsi"/>
        </w:rPr>
      </w:pPr>
      <w:r w:rsidRPr="00075B45">
        <w:rPr>
          <w:rFonts w:cstheme="minorHAnsi"/>
        </w:rPr>
        <w:t>Similarly, participants aged 15 and over are increasingly reporting choice in where and with whom they live. Over five years:</w:t>
      </w:r>
    </w:p>
    <w:p w:rsidR="00B83265" w:rsidRDefault="00B83265" w:rsidP="00B83265">
      <w:pPr>
        <w:pStyle w:val="ListParagraph"/>
        <w:numPr>
          <w:ilvl w:val="0"/>
          <w:numId w:val="28"/>
        </w:numPr>
        <w:spacing w:after="240"/>
        <w:rPr>
          <w:rFonts w:cstheme="minorHAnsi"/>
        </w:rPr>
      </w:pPr>
      <w:r w:rsidRPr="00075B45">
        <w:rPr>
          <w:rFonts w:cstheme="minorHAnsi"/>
        </w:rPr>
        <w:t>73.7% of participants say they chose where they lived at fifth review, compared to 63.2% at baseline (a 10.5 percentage point increase), including a large increase at latest review.</w:t>
      </w:r>
    </w:p>
    <w:p w:rsidR="00B83265" w:rsidRDefault="00B83265" w:rsidP="00B83265">
      <w:pPr>
        <w:pStyle w:val="ListParagraph"/>
        <w:numPr>
          <w:ilvl w:val="0"/>
          <w:numId w:val="28"/>
        </w:numPr>
        <w:spacing w:after="240"/>
        <w:rPr>
          <w:rFonts w:cstheme="minorHAnsi"/>
        </w:rPr>
      </w:pPr>
      <w:r w:rsidRPr="00075B45">
        <w:rPr>
          <w:rFonts w:cstheme="minorHAnsi"/>
        </w:rPr>
        <w:t>85.5% of participants say they chose whom they lived with (fifth review), compared to 71.1% at baseline (a 14.5 percentage point increase), including a large increase at latest review.</w:t>
      </w:r>
    </w:p>
    <w:p w:rsidR="00B83265" w:rsidRPr="00075B45" w:rsidRDefault="00B83265" w:rsidP="00B83265">
      <w:pPr>
        <w:pStyle w:val="ListParagraph"/>
        <w:numPr>
          <w:ilvl w:val="0"/>
          <w:numId w:val="28"/>
        </w:numPr>
        <w:spacing w:after="240"/>
        <w:rPr>
          <w:rFonts w:cstheme="minorHAnsi"/>
        </w:rPr>
      </w:pPr>
      <w:r w:rsidRPr="00075B45">
        <w:rPr>
          <w:rFonts w:cstheme="minorHAnsi"/>
        </w:rPr>
        <w:t>Increases across other cohorts were between 4.0 and 9.4 percentage points.</w:t>
      </w:r>
    </w:p>
    <w:p w:rsidR="00B83265" w:rsidRPr="00AD4C8D" w:rsidRDefault="00B83265" w:rsidP="00B83265">
      <w:pPr>
        <w:spacing w:after="240"/>
        <w:rPr>
          <w:rFonts w:cstheme="minorHAnsi"/>
        </w:rPr>
      </w:pPr>
      <w:r>
        <w:rPr>
          <w:rFonts w:cstheme="minorHAnsi"/>
        </w:rPr>
        <w:t xml:space="preserve">Three charts show </w:t>
      </w:r>
      <w:r w:rsidRPr="00AD4C8D">
        <w:rPr>
          <w:rFonts w:cstheme="minorHAnsi"/>
        </w:rPr>
        <w:t xml:space="preserve">the percentage </w:t>
      </w:r>
      <w:r w:rsidRPr="00BE65DB">
        <w:rPr>
          <w:rFonts w:cstheme="minorHAnsi"/>
        </w:rPr>
        <w:t xml:space="preserve">who </w:t>
      </w:r>
      <w:r>
        <w:rPr>
          <w:rFonts w:cstheme="minorHAnsi"/>
        </w:rPr>
        <w:t>make decisions in planning for a home of their own with or without the help of others, who say they chose where they lived, and who say they chose whom they lived with</w:t>
      </w:r>
      <w:r w:rsidRPr="00AD4C8D">
        <w:rPr>
          <w:rFonts w:cstheme="minorHAnsi"/>
        </w:rPr>
        <w:t xml:space="preserve"> at baseline and at subsequent reviews, separately for participants </w:t>
      </w:r>
      <w:r>
        <w:rPr>
          <w:rFonts w:cstheme="minorHAnsi"/>
        </w:rPr>
        <w:t xml:space="preserve">in the one </w:t>
      </w:r>
      <w:r w:rsidR="00D54E9A">
        <w:rPr>
          <w:rFonts w:cstheme="minorHAnsi"/>
        </w:rPr>
        <w:t>to</w:t>
      </w:r>
      <w:r>
        <w:rPr>
          <w:rFonts w:cstheme="minorHAnsi"/>
        </w:rPr>
        <w:t xml:space="preserve"> five years</w:t>
      </w:r>
      <w:r w:rsidR="00D54E9A">
        <w:rPr>
          <w:rFonts w:cstheme="minorHAnsi"/>
        </w:rPr>
        <w:t xml:space="preserve"> cohorts</w:t>
      </w:r>
      <w:r>
        <w:rPr>
          <w:rFonts w:cstheme="minorHAnsi"/>
        </w:rPr>
        <w:t>.</w:t>
      </w:r>
    </w:p>
    <w:p w:rsidR="00B83265" w:rsidRDefault="00B83265" w:rsidP="00B83265">
      <w:pPr>
        <w:spacing w:after="240"/>
        <w:rPr>
          <w:rFonts w:cstheme="minorHAnsi"/>
        </w:rPr>
      </w:pPr>
      <w:r w:rsidRPr="00BE65DB">
        <w:rPr>
          <w:rFonts w:cstheme="minorHAnsi"/>
        </w:rPr>
        <w:t xml:space="preserve">% who </w:t>
      </w:r>
      <w:r>
        <w:rPr>
          <w:rFonts w:cstheme="minorHAnsi"/>
        </w:rPr>
        <w:t>make decisions in planning for a home of their own with or without the help of others</w:t>
      </w:r>
      <w:r w:rsidR="00D54E9A">
        <w:rPr>
          <w:rFonts w:cstheme="minorHAnsi"/>
        </w:rPr>
        <w:t>: improvement; analysed by time since first in P15to24</w:t>
      </w:r>
    </w:p>
    <w:tbl>
      <w:tblPr>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298"/>
        <w:gridCol w:w="1298"/>
        <w:gridCol w:w="1298"/>
        <w:gridCol w:w="1298"/>
        <w:gridCol w:w="1299"/>
      </w:tblGrid>
      <w:tr w:rsidR="00B83265" w:rsidRPr="00D2182B" w:rsidTr="00D2182B">
        <w:trPr>
          <w:trHeight w:val="264"/>
        </w:trPr>
        <w:tc>
          <w:tcPr>
            <w:tcW w:w="2405" w:type="dxa"/>
            <w:noWrap/>
            <w:vAlign w:val="center"/>
            <w:hideMark/>
          </w:tcPr>
          <w:p w:rsidR="00B83265" w:rsidRPr="00D2182B" w:rsidRDefault="00B83265" w:rsidP="00D2182B">
            <w:pPr>
              <w:spacing w:after="0"/>
              <w:rPr>
                <w:rFonts w:ascii="Arial" w:eastAsia="Times New Roman" w:hAnsi="Arial" w:cs="Arial"/>
                <w:b/>
                <w:bCs/>
                <w:color w:val="000000"/>
                <w:lang w:eastAsia="zh-CN"/>
              </w:rPr>
            </w:pPr>
            <w:r w:rsidRPr="00D2182B">
              <w:rPr>
                <w:rFonts w:ascii="Arial" w:eastAsia="Times New Roman" w:hAnsi="Arial" w:cs="Arial"/>
                <w:b/>
                <w:bCs/>
                <w:color w:val="000000"/>
                <w:lang w:eastAsia="zh-CN"/>
              </w:rPr>
              <w:t>Cohort</w:t>
            </w:r>
          </w:p>
        </w:tc>
        <w:tc>
          <w:tcPr>
            <w:tcW w:w="1298" w:type="dxa"/>
            <w:noWrap/>
            <w:vAlign w:val="center"/>
            <w:hideMark/>
          </w:tcPr>
          <w:p w:rsidR="00B83265" w:rsidRPr="00D2182B" w:rsidRDefault="00B83265" w:rsidP="00D2182B">
            <w:pPr>
              <w:spacing w:after="0"/>
              <w:rPr>
                <w:rFonts w:ascii="Arial" w:eastAsia="Times New Roman" w:hAnsi="Arial" w:cs="Arial"/>
                <w:b/>
                <w:bCs/>
                <w:color w:val="000000"/>
                <w:lang w:eastAsia="zh-CN"/>
              </w:rPr>
            </w:pPr>
            <w:r w:rsidRPr="00D2182B">
              <w:rPr>
                <w:rFonts w:ascii="Arial" w:eastAsia="Times New Roman" w:hAnsi="Arial" w:cs="Arial"/>
                <w:b/>
                <w:bCs/>
                <w:color w:val="000000"/>
                <w:lang w:eastAsia="zh-CN"/>
              </w:rPr>
              <w:t>Baseline</w:t>
            </w:r>
          </w:p>
        </w:tc>
        <w:tc>
          <w:tcPr>
            <w:tcW w:w="1298" w:type="dxa"/>
            <w:noWrap/>
            <w:vAlign w:val="center"/>
            <w:hideMark/>
          </w:tcPr>
          <w:p w:rsidR="00B83265" w:rsidRPr="00D2182B" w:rsidRDefault="00B83265" w:rsidP="00D2182B">
            <w:pPr>
              <w:spacing w:after="0"/>
              <w:rPr>
                <w:rFonts w:ascii="Arial" w:eastAsia="Times New Roman" w:hAnsi="Arial" w:cs="Arial"/>
                <w:b/>
                <w:bCs/>
                <w:color w:val="000000"/>
                <w:lang w:eastAsia="zh-CN"/>
              </w:rPr>
            </w:pPr>
            <w:r w:rsidRPr="00D2182B">
              <w:rPr>
                <w:rFonts w:ascii="Arial" w:eastAsia="Times New Roman" w:hAnsi="Arial" w:cs="Arial"/>
                <w:b/>
                <w:bCs/>
                <w:color w:val="000000"/>
                <w:lang w:eastAsia="zh-CN"/>
              </w:rPr>
              <w:t>Review 1</w:t>
            </w:r>
          </w:p>
        </w:tc>
        <w:tc>
          <w:tcPr>
            <w:tcW w:w="1298" w:type="dxa"/>
            <w:noWrap/>
            <w:vAlign w:val="center"/>
            <w:hideMark/>
          </w:tcPr>
          <w:p w:rsidR="00B83265" w:rsidRPr="00D2182B" w:rsidRDefault="00B83265" w:rsidP="00D2182B">
            <w:pPr>
              <w:spacing w:after="0"/>
              <w:rPr>
                <w:rFonts w:ascii="Arial" w:eastAsia="Times New Roman" w:hAnsi="Arial" w:cs="Arial"/>
                <w:b/>
                <w:bCs/>
                <w:color w:val="000000"/>
                <w:lang w:eastAsia="zh-CN"/>
              </w:rPr>
            </w:pPr>
            <w:r w:rsidRPr="00D2182B">
              <w:rPr>
                <w:rFonts w:ascii="Arial" w:eastAsia="Times New Roman" w:hAnsi="Arial" w:cs="Arial"/>
                <w:b/>
                <w:bCs/>
                <w:color w:val="000000"/>
                <w:lang w:eastAsia="zh-CN"/>
              </w:rPr>
              <w:t>Review 2</w:t>
            </w:r>
          </w:p>
        </w:tc>
        <w:tc>
          <w:tcPr>
            <w:tcW w:w="1298" w:type="dxa"/>
            <w:noWrap/>
            <w:vAlign w:val="center"/>
            <w:hideMark/>
          </w:tcPr>
          <w:p w:rsidR="00B83265" w:rsidRPr="00D2182B" w:rsidRDefault="00B83265" w:rsidP="00D2182B">
            <w:pPr>
              <w:spacing w:after="0"/>
              <w:rPr>
                <w:rFonts w:ascii="Arial" w:eastAsia="Times New Roman" w:hAnsi="Arial" w:cs="Arial"/>
                <w:b/>
                <w:bCs/>
                <w:color w:val="000000"/>
                <w:lang w:eastAsia="zh-CN"/>
              </w:rPr>
            </w:pPr>
            <w:r w:rsidRPr="00D2182B">
              <w:rPr>
                <w:rFonts w:ascii="Arial" w:eastAsia="Times New Roman" w:hAnsi="Arial" w:cs="Arial"/>
                <w:b/>
                <w:bCs/>
                <w:color w:val="000000"/>
                <w:lang w:eastAsia="zh-CN"/>
              </w:rPr>
              <w:t>Review 3</w:t>
            </w:r>
          </w:p>
        </w:tc>
        <w:tc>
          <w:tcPr>
            <w:tcW w:w="1299" w:type="dxa"/>
            <w:noWrap/>
            <w:vAlign w:val="center"/>
            <w:hideMark/>
          </w:tcPr>
          <w:p w:rsidR="00B83265" w:rsidRPr="00D2182B" w:rsidRDefault="00B83265" w:rsidP="00D2182B">
            <w:pPr>
              <w:spacing w:after="0"/>
              <w:rPr>
                <w:rFonts w:ascii="Arial" w:eastAsia="Times New Roman" w:hAnsi="Arial" w:cs="Arial"/>
                <w:b/>
                <w:bCs/>
                <w:color w:val="000000"/>
                <w:lang w:eastAsia="zh-CN"/>
              </w:rPr>
            </w:pPr>
            <w:r w:rsidRPr="00D2182B">
              <w:rPr>
                <w:rFonts w:ascii="Arial" w:eastAsia="Times New Roman" w:hAnsi="Arial" w:cs="Arial"/>
                <w:b/>
                <w:bCs/>
                <w:color w:val="000000"/>
                <w:lang w:eastAsia="zh-CN"/>
              </w:rPr>
              <w:t>Review 4</w:t>
            </w:r>
          </w:p>
        </w:tc>
      </w:tr>
      <w:tr w:rsidR="00B83265" w:rsidRPr="00D2182B" w:rsidTr="00D2182B">
        <w:trPr>
          <w:trHeight w:val="264"/>
        </w:trPr>
        <w:tc>
          <w:tcPr>
            <w:tcW w:w="2405" w:type="dxa"/>
            <w:noWrap/>
            <w:vAlign w:val="center"/>
          </w:tcPr>
          <w:p w:rsidR="00B83265" w:rsidRPr="00D2182B" w:rsidRDefault="00B83265" w:rsidP="00D2182B">
            <w:pPr>
              <w:spacing w:after="0"/>
              <w:rPr>
                <w:rFonts w:ascii="Arial" w:hAnsi="Arial" w:cs="Arial"/>
              </w:rPr>
            </w:pPr>
            <w:r w:rsidRPr="00D2182B">
              <w:rPr>
                <w:rFonts w:ascii="Arial" w:hAnsi="Arial" w:cs="Arial"/>
              </w:rPr>
              <w:t>4 year</w:t>
            </w:r>
          </w:p>
        </w:tc>
        <w:tc>
          <w:tcPr>
            <w:tcW w:w="1298" w:type="dxa"/>
            <w:noWrap/>
            <w:vAlign w:val="center"/>
          </w:tcPr>
          <w:p w:rsidR="00B83265" w:rsidRPr="00D2182B" w:rsidRDefault="00B83265" w:rsidP="00D2182B">
            <w:pPr>
              <w:spacing w:after="0"/>
              <w:rPr>
                <w:rFonts w:ascii="Arial" w:hAnsi="Arial" w:cs="Arial"/>
              </w:rPr>
            </w:pPr>
            <w:r w:rsidRPr="00D2182B">
              <w:rPr>
                <w:rFonts w:ascii="Arial" w:hAnsi="Arial" w:cs="Arial"/>
              </w:rPr>
              <w:t>7.7%</w:t>
            </w:r>
          </w:p>
        </w:tc>
        <w:tc>
          <w:tcPr>
            <w:tcW w:w="1298" w:type="dxa"/>
            <w:noWrap/>
            <w:vAlign w:val="center"/>
          </w:tcPr>
          <w:p w:rsidR="00B83265" w:rsidRPr="00D2182B" w:rsidRDefault="00B83265" w:rsidP="00D2182B">
            <w:pPr>
              <w:spacing w:after="0"/>
              <w:rPr>
                <w:rFonts w:ascii="Arial" w:hAnsi="Arial" w:cs="Arial"/>
              </w:rPr>
            </w:pPr>
            <w:r w:rsidRPr="00D2182B">
              <w:rPr>
                <w:rFonts w:ascii="Arial" w:hAnsi="Arial" w:cs="Arial"/>
              </w:rPr>
              <w:t>20.5%</w:t>
            </w:r>
          </w:p>
        </w:tc>
        <w:tc>
          <w:tcPr>
            <w:tcW w:w="1298" w:type="dxa"/>
            <w:noWrap/>
            <w:vAlign w:val="center"/>
          </w:tcPr>
          <w:p w:rsidR="00B83265" w:rsidRPr="00D2182B" w:rsidRDefault="00B83265" w:rsidP="00D2182B">
            <w:pPr>
              <w:spacing w:after="0"/>
              <w:rPr>
                <w:rFonts w:ascii="Arial" w:hAnsi="Arial" w:cs="Arial"/>
              </w:rPr>
            </w:pPr>
            <w:r w:rsidRPr="00D2182B">
              <w:rPr>
                <w:rFonts w:ascii="Arial" w:hAnsi="Arial" w:cs="Arial"/>
              </w:rPr>
              <w:t>15.4%</w:t>
            </w:r>
          </w:p>
        </w:tc>
        <w:tc>
          <w:tcPr>
            <w:tcW w:w="1298" w:type="dxa"/>
            <w:noWrap/>
            <w:vAlign w:val="center"/>
          </w:tcPr>
          <w:p w:rsidR="00B83265" w:rsidRPr="00D2182B" w:rsidRDefault="00B83265" w:rsidP="00D2182B">
            <w:pPr>
              <w:spacing w:after="0"/>
              <w:rPr>
                <w:rFonts w:ascii="Arial" w:hAnsi="Arial" w:cs="Arial"/>
              </w:rPr>
            </w:pPr>
            <w:r w:rsidRPr="00D2182B">
              <w:rPr>
                <w:rFonts w:ascii="Arial" w:hAnsi="Arial" w:cs="Arial"/>
              </w:rPr>
              <w:t>17.9%</w:t>
            </w:r>
          </w:p>
        </w:tc>
        <w:tc>
          <w:tcPr>
            <w:tcW w:w="1299" w:type="dxa"/>
            <w:noWrap/>
            <w:vAlign w:val="center"/>
          </w:tcPr>
          <w:p w:rsidR="00B83265" w:rsidRPr="00D2182B" w:rsidRDefault="00B83265" w:rsidP="00D2182B">
            <w:pPr>
              <w:spacing w:after="0"/>
              <w:rPr>
                <w:rFonts w:ascii="Arial" w:hAnsi="Arial" w:cs="Arial"/>
              </w:rPr>
            </w:pPr>
            <w:r w:rsidRPr="00D2182B">
              <w:rPr>
                <w:rFonts w:ascii="Arial" w:hAnsi="Arial" w:cs="Arial"/>
              </w:rPr>
              <w:t>17.9%</w:t>
            </w:r>
          </w:p>
        </w:tc>
      </w:tr>
      <w:tr w:rsidR="00B83265" w:rsidRPr="00D2182B" w:rsidTr="00D2182B">
        <w:trPr>
          <w:trHeight w:val="264"/>
        </w:trPr>
        <w:tc>
          <w:tcPr>
            <w:tcW w:w="2405" w:type="dxa"/>
            <w:noWrap/>
            <w:vAlign w:val="center"/>
          </w:tcPr>
          <w:p w:rsidR="00B83265" w:rsidRPr="00D2182B" w:rsidRDefault="00B83265" w:rsidP="00D2182B">
            <w:pPr>
              <w:spacing w:after="0"/>
              <w:rPr>
                <w:rFonts w:ascii="Arial" w:hAnsi="Arial" w:cs="Arial"/>
              </w:rPr>
            </w:pPr>
            <w:r w:rsidRPr="00D2182B">
              <w:rPr>
                <w:rFonts w:ascii="Arial" w:hAnsi="Arial" w:cs="Arial"/>
              </w:rPr>
              <w:t>3 years</w:t>
            </w:r>
          </w:p>
        </w:tc>
        <w:tc>
          <w:tcPr>
            <w:tcW w:w="1298" w:type="dxa"/>
            <w:noWrap/>
            <w:vAlign w:val="center"/>
          </w:tcPr>
          <w:p w:rsidR="00B83265" w:rsidRPr="00D2182B" w:rsidRDefault="00B83265" w:rsidP="00D2182B">
            <w:pPr>
              <w:spacing w:after="0"/>
              <w:rPr>
                <w:rFonts w:ascii="Arial" w:hAnsi="Arial" w:cs="Arial"/>
              </w:rPr>
            </w:pPr>
            <w:r w:rsidRPr="00D2182B">
              <w:rPr>
                <w:rFonts w:ascii="Arial" w:hAnsi="Arial" w:cs="Arial"/>
              </w:rPr>
              <w:t>12.4%</w:t>
            </w:r>
          </w:p>
        </w:tc>
        <w:tc>
          <w:tcPr>
            <w:tcW w:w="1298" w:type="dxa"/>
            <w:noWrap/>
            <w:vAlign w:val="center"/>
          </w:tcPr>
          <w:p w:rsidR="00B83265" w:rsidRPr="00D2182B" w:rsidRDefault="00B83265" w:rsidP="00D2182B">
            <w:pPr>
              <w:spacing w:after="0"/>
              <w:rPr>
                <w:rFonts w:ascii="Arial" w:hAnsi="Arial" w:cs="Arial"/>
              </w:rPr>
            </w:pPr>
            <w:r w:rsidRPr="00D2182B">
              <w:rPr>
                <w:rFonts w:ascii="Arial" w:hAnsi="Arial" w:cs="Arial"/>
              </w:rPr>
              <w:t>20.0%</w:t>
            </w:r>
          </w:p>
        </w:tc>
        <w:tc>
          <w:tcPr>
            <w:tcW w:w="1298" w:type="dxa"/>
            <w:noWrap/>
            <w:vAlign w:val="center"/>
          </w:tcPr>
          <w:p w:rsidR="00B83265" w:rsidRPr="00D2182B" w:rsidRDefault="00B83265" w:rsidP="00D2182B">
            <w:pPr>
              <w:spacing w:after="0"/>
              <w:rPr>
                <w:rFonts w:ascii="Arial" w:hAnsi="Arial" w:cs="Arial"/>
              </w:rPr>
            </w:pPr>
            <w:r w:rsidRPr="00D2182B">
              <w:rPr>
                <w:rFonts w:ascii="Arial" w:hAnsi="Arial" w:cs="Arial"/>
              </w:rPr>
              <w:t>24.8%</w:t>
            </w:r>
          </w:p>
        </w:tc>
        <w:tc>
          <w:tcPr>
            <w:tcW w:w="1298" w:type="dxa"/>
            <w:noWrap/>
            <w:vAlign w:val="center"/>
          </w:tcPr>
          <w:p w:rsidR="00B83265" w:rsidRPr="00D2182B" w:rsidRDefault="00B83265" w:rsidP="00D2182B">
            <w:pPr>
              <w:spacing w:after="0"/>
              <w:rPr>
                <w:rFonts w:ascii="Arial" w:hAnsi="Arial" w:cs="Arial"/>
              </w:rPr>
            </w:pPr>
            <w:r w:rsidRPr="00D2182B">
              <w:rPr>
                <w:rFonts w:ascii="Arial" w:hAnsi="Arial" w:cs="Arial"/>
              </w:rPr>
              <w:t>26.7%</w:t>
            </w:r>
          </w:p>
        </w:tc>
        <w:tc>
          <w:tcPr>
            <w:tcW w:w="1299" w:type="dxa"/>
            <w:noWrap/>
            <w:vAlign w:val="center"/>
          </w:tcPr>
          <w:p w:rsidR="00B83265" w:rsidRPr="00D2182B" w:rsidRDefault="00B83265" w:rsidP="00D2182B">
            <w:pPr>
              <w:spacing w:after="0"/>
              <w:rPr>
                <w:rFonts w:ascii="Arial" w:hAnsi="Arial" w:cs="Arial"/>
              </w:rPr>
            </w:pPr>
          </w:p>
        </w:tc>
      </w:tr>
      <w:tr w:rsidR="00B83265" w:rsidRPr="00D2182B" w:rsidTr="00D2182B">
        <w:trPr>
          <w:trHeight w:val="264"/>
        </w:trPr>
        <w:tc>
          <w:tcPr>
            <w:tcW w:w="2405" w:type="dxa"/>
            <w:noWrap/>
            <w:vAlign w:val="center"/>
          </w:tcPr>
          <w:p w:rsidR="00B83265" w:rsidRPr="00D2182B" w:rsidRDefault="00B83265" w:rsidP="00D2182B">
            <w:pPr>
              <w:spacing w:after="0"/>
              <w:rPr>
                <w:rFonts w:ascii="Arial" w:hAnsi="Arial" w:cs="Arial"/>
              </w:rPr>
            </w:pPr>
            <w:r w:rsidRPr="00D2182B">
              <w:rPr>
                <w:rFonts w:ascii="Arial" w:hAnsi="Arial" w:cs="Arial"/>
              </w:rPr>
              <w:t>2 years</w:t>
            </w:r>
          </w:p>
        </w:tc>
        <w:tc>
          <w:tcPr>
            <w:tcW w:w="1298" w:type="dxa"/>
            <w:noWrap/>
            <w:vAlign w:val="center"/>
          </w:tcPr>
          <w:p w:rsidR="00B83265" w:rsidRPr="00D2182B" w:rsidRDefault="00B83265" w:rsidP="00D2182B">
            <w:pPr>
              <w:spacing w:after="0"/>
              <w:rPr>
                <w:rFonts w:ascii="Arial" w:hAnsi="Arial" w:cs="Arial"/>
              </w:rPr>
            </w:pPr>
            <w:r w:rsidRPr="00D2182B">
              <w:rPr>
                <w:rFonts w:ascii="Arial" w:hAnsi="Arial" w:cs="Arial"/>
              </w:rPr>
              <w:t>11.9%</w:t>
            </w:r>
          </w:p>
        </w:tc>
        <w:tc>
          <w:tcPr>
            <w:tcW w:w="1298" w:type="dxa"/>
            <w:noWrap/>
            <w:vAlign w:val="center"/>
          </w:tcPr>
          <w:p w:rsidR="00B83265" w:rsidRPr="00D2182B" w:rsidRDefault="00B83265" w:rsidP="00D2182B">
            <w:pPr>
              <w:spacing w:after="0"/>
              <w:rPr>
                <w:rFonts w:ascii="Arial" w:hAnsi="Arial" w:cs="Arial"/>
              </w:rPr>
            </w:pPr>
            <w:r w:rsidRPr="00D2182B">
              <w:rPr>
                <w:rFonts w:ascii="Arial" w:hAnsi="Arial" w:cs="Arial"/>
              </w:rPr>
              <w:t>15.1%</w:t>
            </w:r>
          </w:p>
        </w:tc>
        <w:tc>
          <w:tcPr>
            <w:tcW w:w="1298" w:type="dxa"/>
            <w:noWrap/>
            <w:vAlign w:val="center"/>
          </w:tcPr>
          <w:p w:rsidR="00B83265" w:rsidRPr="00D2182B" w:rsidRDefault="00B83265" w:rsidP="00D2182B">
            <w:pPr>
              <w:spacing w:after="0"/>
              <w:rPr>
                <w:rFonts w:ascii="Arial" w:hAnsi="Arial" w:cs="Arial"/>
              </w:rPr>
            </w:pPr>
            <w:r w:rsidRPr="00D2182B">
              <w:rPr>
                <w:rFonts w:ascii="Arial" w:hAnsi="Arial" w:cs="Arial"/>
              </w:rPr>
              <w:t>21.5%</w:t>
            </w:r>
          </w:p>
        </w:tc>
        <w:tc>
          <w:tcPr>
            <w:tcW w:w="1298" w:type="dxa"/>
            <w:noWrap/>
            <w:vAlign w:val="center"/>
          </w:tcPr>
          <w:p w:rsidR="00B83265" w:rsidRPr="00D2182B" w:rsidRDefault="00B83265" w:rsidP="00D2182B">
            <w:pPr>
              <w:spacing w:after="0"/>
              <w:rPr>
                <w:rFonts w:ascii="Arial" w:hAnsi="Arial" w:cs="Arial"/>
              </w:rPr>
            </w:pPr>
          </w:p>
        </w:tc>
        <w:tc>
          <w:tcPr>
            <w:tcW w:w="1299" w:type="dxa"/>
            <w:noWrap/>
            <w:vAlign w:val="center"/>
          </w:tcPr>
          <w:p w:rsidR="00B83265" w:rsidRPr="00D2182B" w:rsidRDefault="00B83265" w:rsidP="00D2182B">
            <w:pPr>
              <w:spacing w:after="0"/>
              <w:rPr>
                <w:rFonts w:ascii="Arial" w:hAnsi="Arial" w:cs="Arial"/>
              </w:rPr>
            </w:pPr>
          </w:p>
        </w:tc>
      </w:tr>
      <w:tr w:rsidR="00B83265" w:rsidRPr="00D2182B" w:rsidTr="00D2182B">
        <w:trPr>
          <w:trHeight w:val="264"/>
        </w:trPr>
        <w:tc>
          <w:tcPr>
            <w:tcW w:w="2405" w:type="dxa"/>
            <w:noWrap/>
            <w:vAlign w:val="center"/>
          </w:tcPr>
          <w:p w:rsidR="00B83265" w:rsidRPr="00D2182B" w:rsidRDefault="00B83265" w:rsidP="00D2182B">
            <w:pPr>
              <w:spacing w:after="0"/>
              <w:rPr>
                <w:rFonts w:ascii="Arial" w:hAnsi="Arial" w:cs="Arial"/>
              </w:rPr>
            </w:pPr>
            <w:r w:rsidRPr="00D2182B">
              <w:rPr>
                <w:rFonts w:ascii="Arial" w:hAnsi="Arial" w:cs="Arial"/>
              </w:rPr>
              <w:t>1 year</w:t>
            </w:r>
          </w:p>
        </w:tc>
        <w:tc>
          <w:tcPr>
            <w:tcW w:w="1298" w:type="dxa"/>
            <w:noWrap/>
            <w:vAlign w:val="center"/>
          </w:tcPr>
          <w:p w:rsidR="00B83265" w:rsidRPr="00D2182B" w:rsidRDefault="00B83265" w:rsidP="00D2182B">
            <w:pPr>
              <w:spacing w:after="0"/>
              <w:rPr>
                <w:rFonts w:ascii="Arial" w:hAnsi="Arial" w:cs="Arial"/>
              </w:rPr>
            </w:pPr>
            <w:r w:rsidRPr="00D2182B">
              <w:rPr>
                <w:rFonts w:ascii="Arial" w:hAnsi="Arial" w:cs="Arial"/>
              </w:rPr>
              <w:t>12.7%</w:t>
            </w:r>
          </w:p>
        </w:tc>
        <w:tc>
          <w:tcPr>
            <w:tcW w:w="1298" w:type="dxa"/>
            <w:noWrap/>
            <w:vAlign w:val="center"/>
          </w:tcPr>
          <w:p w:rsidR="00B83265" w:rsidRPr="00D2182B" w:rsidRDefault="00B83265" w:rsidP="00D2182B">
            <w:pPr>
              <w:spacing w:after="0"/>
              <w:rPr>
                <w:rFonts w:ascii="Arial" w:hAnsi="Arial" w:cs="Arial"/>
              </w:rPr>
            </w:pPr>
            <w:r w:rsidRPr="00D2182B">
              <w:rPr>
                <w:rFonts w:ascii="Arial" w:hAnsi="Arial" w:cs="Arial"/>
              </w:rPr>
              <w:t>18.9%</w:t>
            </w:r>
          </w:p>
        </w:tc>
        <w:tc>
          <w:tcPr>
            <w:tcW w:w="1298" w:type="dxa"/>
            <w:noWrap/>
            <w:vAlign w:val="center"/>
          </w:tcPr>
          <w:p w:rsidR="00B83265" w:rsidRPr="00D2182B" w:rsidRDefault="00B83265" w:rsidP="00D2182B">
            <w:pPr>
              <w:spacing w:after="0"/>
              <w:rPr>
                <w:rFonts w:ascii="Arial" w:hAnsi="Arial" w:cs="Arial"/>
              </w:rPr>
            </w:pPr>
          </w:p>
        </w:tc>
        <w:tc>
          <w:tcPr>
            <w:tcW w:w="1298" w:type="dxa"/>
            <w:noWrap/>
            <w:vAlign w:val="center"/>
          </w:tcPr>
          <w:p w:rsidR="00B83265" w:rsidRPr="00D2182B" w:rsidRDefault="00B83265" w:rsidP="00D2182B">
            <w:pPr>
              <w:spacing w:after="0"/>
              <w:rPr>
                <w:rFonts w:ascii="Arial" w:hAnsi="Arial" w:cs="Arial"/>
              </w:rPr>
            </w:pPr>
          </w:p>
        </w:tc>
        <w:tc>
          <w:tcPr>
            <w:tcW w:w="1299" w:type="dxa"/>
            <w:noWrap/>
            <w:vAlign w:val="center"/>
          </w:tcPr>
          <w:p w:rsidR="00B83265" w:rsidRPr="00D2182B" w:rsidRDefault="00B83265" w:rsidP="00D2182B">
            <w:pPr>
              <w:spacing w:after="0"/>
              <w:rPr>
                <w:rFonts w:ascii="Arial" w:hAnsi="Arial" w:cs="Arial"/>
              </w:rPr>
            </w:pPr>
          </w:p>
        </w:tc>
      </w:tr>
    </w:tbl>
    <w:p w:rsidR="00B83265" w:rsidRDefault="00B83265" w:rsidP="00B83265">
      <w:pPr>
        <w:spacing w:after="240"/>
        <w:rPr>
          <w:rFonts w:cstheme="minorHAnsi"/>
        </w:rPr>
      </w:pPr>
      <w:r w:rsidRPr="00752AAD">
        <w:rPr>
          <w:rFonts w:cstheme="minorHAnsi"/>
        </w:rPr>
        <w:lastRenderedPageBreak/>
        <w:t>Note that due to small numbers, this LF indicator is not available for participants in the Scheme for five years.</w:t>
      </w:r>
    </w:p>
    <w:p w:rsidR="00B83265" w:rsidRDefault="00B83265" w:rsidP="00B83265">
      <w:pPr>
        <w:spacing w:after="240"/>
        <w:rPr>
          <w:rFonts w:cstheme="minorHAnsi"/>
        </w:rPr>
      </w:pPr>
      <w:r w:rsidRPr="00BE65DB">
        <w:rPr>
          <w:rFonts w:cstheme="minorHAnsi"/>
        </w:rPr>
        <w:t xml:space="preserve">% who </w:t>
      </w:r>
      <w:r>
        <w:rPr>
          <w:rFonts w:cstheme="minorHAnsi"/>
        </w:rPr>
        <w:t>say they chose where they lived</w:t>
      </w:r>
      <w:r w:rsidR="00D54E9A">
        <w:rPr>
          <w:rFonts w:cstheme="minorHAnsi"/>
        </w:rPr>
        <w:t>: improvement; for PSto14, analysed by time since first in P15to24, otherwise by time in Scheme</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220"/>
        <w:gridCol w:w="1221"/>
        <w:gridCol w:w="1221"/>
        <w:gridCol w:w="1220"/>
        <w:gridCol w:w="1221"/>
        <w:gridCol w:w="1221"/>
      </w:tblGrid>
      <w:tr w:rsidR="00B83265" w:rsidRPr="00D2182B" w:rsidTr="00D2182B">
        <w:trPr>
          <w:trHeight w:val="264"/>
        </w:trPr>
        <w:tc>
          <w:tcPr>
            <w:tcW w:w="2547" w:type="dxa"/>
            <w:noWrap/>
            <w:vAlign w:val="center"/>
            <w:hideMark/>
          </w:tcPr>
          <w:p w:rsidR="00B83265" w:rsidRPr="00D2182B" w:rsidRDefault="00B83265" w:rsidP="00D2182B">
            <w:pPr>
              <w:spacing w:after="0"/>
              <w:rPr>
                <w:rFonts w:ascii="Arial" w:eastAsia="Times New Roman" w:hAnsi="Arial" w:cs="Arial"/>
                <w:b/>
                <w:bCs/>
                <w:color w:val="000000"/>
                <w:lang w:eastAsia="zh-CN"/>
              </w:rPr>
            </w:pPr>
            <w:r w:rsidRPr="00D2182B">
              <w:rPr>
                <w:rFonts w:ascii="Arial" w:eastAsia="Times New Roman" w:hAnsi="Arial" w:cs="Arial"/>
                <w:b/>
                <w:bCs/>
                <w:color w:val="000000"/>
                <w:lang w:eastAsia="zh-CN"/>
              </w:rPr>
              <w:t>Cohort</w:t>
            </w:r>
          </w:p>
        </w:tc>
        <w:tc>
          <w:tcPr>
            <w:tcW w:w="1220" w:type="dxa"/>
            <w:noWrap/>
            <w:vAlign w:val="center"/>
            <w:hideMark/>
          </w:tcPr>
          <w:p w:rsidR="00B83265" w:rsidRPr="00D2182B" w:rsidRDefault="00B83265" w:rsidP="00D2182B">
            <w:pPr>
              <w:spacing w:after="0"/>
              <w:rPr>
                <w:rFonts w:ascii="Arial" w:eastAsia="Times New Roman" w:hAnsi="Arial" w:cs="Arial"/>
                <w:b/>
                <w:bCs/>
                <w:color w:val="000000"/>
                <w:lang w:eastAsia="zh-CN"/>
              </w:rPr>
            </w:pPr>
            <w:r w:rsidRPr="00D2182B">
              <w:rPr>
                <w:rFonts w:ascii="Arial" w:eastAsia="Times New Roman" w:hAnsi="Arial" w:cs="Arial"/>
                <w:b/>
                <w:bCs/>
                <w:color w:val="000000"/>
                <w:lang w:eastAsia="zh-CN"/>
              </w:rPr>
              <w:t>Baseline</w:t>
            </w:r>
          </w:p>
        </w:tc>
        <w:tc>
          <w:tcPr>
            <w:tcW w:w="1221" w:type="dxa"/>
            <w:noWrap/>
            <w:vAlign w:val="center"/>
            <w:hideMark/>
          </w:tcPr>
          <w:p w:rsidR="00B83265" w:rsidRPr="00D2182B" w:rsidRDefault="00B83265" w:rsidP="00D2182B">
            <w:pPr>
              <w:spacing w:after="0"/>
              <w:rPr>
                <w:rFonts w:ascii="Arial" w:eastAsia="Times New Roman" w:hAnsi="Arial" w:cs="Arial"/>
                <w:b/>
                <w:bCs/>
                <w:color w:val="000000"/>
                <w:lang w:eastAsia="zh-CN"/>
              </w:rPr>
            </w:pPr>
            <w:r w:rsidRPr="00D2182B">
              <w:rPr>
                <w:rFonts w:ascii="Arial" w:eastAsia="Times New Roman" w:hAnsi="Arial" w:cs="Arial"/>
                <w:b/>
                <w:bCs/>
                <w:color w:val="000000"/>
                <w:lang w:eastAsia="zh-CN"/>
              </w:rPr>
              <w:t>Review 1</w:t>
            </w:r>
          </w:p>
        </w:tc>
        <w:tc>
          <w:tcPr>
            <w:tcW w:w="1221" w:type="dxa"/>
            <w:noWrap/>
            <w:vAlign w:val="center"/>
            <w:hideMark/>
          </w:tcPr>
          <w:p w:rsidR="00B83265" w:rsidRPr="00D2182B" w:rsidRDefault="00B83265" w:rsidP="00D2182B">
            <w:pPr>
              <w:spacing w:after="0"/>
              <w:rPr>
                <w:rFonts w:ascii="Arial" w:eastAsia="Times New Roman" w:hAnsi="Arial" w:cs="Arial"/>
                <w:b/>
                <w:bCs/>
                <w:color w:val="000000"/>
                <w:lang w:eastAsia="zh-CN"/>
              </w:rPr>
            </w:pPr>
            <w:r w:rsidRPr="00D2182B">
              <w:rPr>
                <w:rFonts w:ascii="Arial" w:eastAsia="Times New Roman" w:hAnsi="Arial" w:cs="Arial"/>
                <w:b/>
                <w:bCs/>
                <w:color w:val="000000"/>
                <w:lang w:eastAsia="zh-CN"/>
              </w:rPr>
              <w:t>Review 2</w:t>
            </w:r>
          </w:p>
        </w:tc>
        <w:tc>
          <w:tcPr>
            <w:tcW w:w="1220" w:type="dxa"/>
            <w:noWrap/>
            <w:vAlign w:val="center"/>
            <w:hideMark/>
          </w:tcPr>
          <w:p w:rsidR="00B83265" w:rsidRPr="00D2182B" w:rsidRDefault="00B83265" w:rsidP="00D2182B">
            <w:pPr>
              <w:spacing w:after="0"/>
              <w:rPr>
                <w:rFonts w:ascii="Arial" w:eastAsia="Times New Roman" w:hAnsi="Arial" w:cs="Arial"/>
                <w:b/>
                <w:bCs/>
                <w:color w:val="000000"/>
                <w:lang w:eastAsia="zh-CN"/>
              </w:rPr>
            </w:pPr>
            <w:r w:rsidRPr="00D2182B">
              <w:rPr>
                <w:rFonts w:ascii="Arial" w:eastAsia="Times New Roman" w:hAnsi="Arial" w:cs="Arial"/>
                <w:b/>
                <w:bCs/>
                <w:color w:val="000000"/>
                <w:lang w:eastAsia="zh-CN"/>
              </w:rPr>
              <w:t>Review 3</w:t>
            </w:r>
          </w:p>
        </w:tc>
        <w:tc>
          <w:tcPr>
            <w:tcW w:w="1221" w:type="dxa"/>
            <w:noWrap/>
            <w:vAlign w:val="center"/>
            <w:hideMark/>
          </w:tcPr>
          <w:p w:rsidR="00B83265" w:rsidRPr="00D2182B" w:rsidRDefault="00B83265" w:rsidP="00D2182B">
            <w:pPr>
              <w:spacing w:after="0"/>
              <w:rPr>
                <w:rFonts w:ascii="Arial" w:eastAsia="Times New Roman" w:hAnsi="Arial" w:cs="Arial"/>
                <w:b/>
                <w:bCs/>
                <w:color w:val="000000"/>
                <w:lang w:eastAsia="zh-CN"/>
              </w:rPr>
            </w:pPr>
            <w:r w:rsidRPr="00D2182B">
              <w:rPr>
                <w:rFonts w:ascii="Arial" w:eastAsia="Times New Roman" w:hAnsi="Arial" w:cs="Arial"/>
                <w:b/>
                <w:bCs/>
                <w:color w:val="000000"/>
                <w:lang w:eastAsia="zh-CN"/>
              </w:rPr>
              <w:t>Review 4</w:t>
            </w:r>
          </w:p>
        </w:tc>
        <w:tc>
          <w:tcPr>
            <w:tcW w:w="1221" w:type="dxa"/>
            <w:vAlign w:val="center"/>
          </w:tcPr>
          <w:p w:rsidR="00B83265" w:rsidRPr="00D2182B" w:rsidRDefault="00B83265" w:rsidP="00D2182B">
            <w:pPr>
              <w:spacing w:after="0"/>
              <w:rPr>
                <w:rFonts w:ascii="Arial" w:eastAsia="Times New Roman" w:hAnsi="Arial" w:cs="Arial"/>
                <w:b/>
                <w:bCs/>
                <w:color w:val="000000"/>
                <w:lang w:eastAsia="zh-CN"/>
              </w:rPr>
            </w:pPr>
            <w:r w:rsidRPr="00D2182B">
              <w:rPr>
                <w:rFonts w:ascii="Arial" w:eastAsia="Times New Roman" w:hAnsi="Arial" w:cs="Arial"/>
                <w:b/>
                <w:bCs/>
                <w:color w:val="000000"/>
                <w:lang w:eastAsia="zh-CN"/>
              </w:rPr>
              <w:t>Review 5</w:t>
            </w:r>
          </w:p>
        </w:tc>
      </w:tr>
      <w:tr w:rsidR="00B83265" w:rsidRPr="00D2182B" w:rsidTr="00D2182B">
        <w:trPr>
          <w:trHeight w:val="264"/>
        </w:trPr>
        <w:tc>
          <w:tcPr>
            <w:tcW w:w="2547" w:type="dxa"/>
            <w:noWrap/>
            <w:vAlign w:val="center"/>
          </w:tcPr>
          <w:p w:rsidR="00B83265" w:rsidRPr="00D2182B" w:rsidRDefault="00B83265" w:rsidP="00D2182B">
            <w:pPr>
              <w:spacing w:after="0"/>
              <w:rPr>
                <w:rFonts w:ascii="Arial" w:hAnsi="Arial" w:cs="Arial"/>
                <w:color w:val="000000"/>
              </w:rPr>
            </w:pPr>
            <w:r w:rsidRPr="00D2182B">
              <w:rPr>
                <w:rFonts w:ascii="Arial" w:hAnsi="Arial" w:cs="Arial"/>
              </w:rPr>
              <w:t>5 year</w:t>
            </w:r>
          </w:p>
        </w:tc>
        <w:tc>
          <w:tcPr>
            <w:tcW w:w="1220" w:type="dxa"/>
            <w:noWrap/>
            <w:vAlign w:val="center"/>
          </w:tcPr>
          <w:p w:rsidR="00B83265" w:rsidRPr="00D2182B" w:rsidRDefault="00B83265" w:rsidP="00D2182B">
            <w:pPr>
              <w:spacing w:after="0"/>
              <w:rPr>
                <w:rFonts w:ascii="Arial" w:hAnsi="Arial" w:cs="Arial"/>
              </w:rPr>
            </w:pPr>
            <w:r w:rsidRPr="00D2182B">
              <w:rPr>
                <w:rFonts w:ascii="Arial" w:hAnsi="Arial" w:cs="Arial"/>
              </w:rPr>
              <w:t>63.2%</w:t>
            </w:r>
          </w:p>
        </w:tc>
        <w:tc>
          <w:tcPr>
            <w:tcW w:w="1221" w:type="dxa"/>
            <w:noWrap/>
            <w:vAlign w:val="center"/>
          </w:tcPr>
          <w:p w:rsidR="00B83265" w:rsidRPr="00D2182B" w:rsidRDefault="00B83265" w:rsidP="00D2182B">
            <w:pPr>
              <w:spacing w:after="0"/>
              <w:rPr>
                <w:rFonts w:ascii="Arial" w:hAnsi="Arial" w:cs="Arial"/>
              </w:rPr>
            </w:pPr>
            <w:r w:rsidRPr="00D2182B">
              <w:rPr>
                <w:rFonts w:ascii="Arial" w:hAnsi="Arial" w:cs="Arial"/>
              </w:rPr>
              <w:t>60.0%</w:t>
            </w:r>
          </w:p>
        </w:tc>
        <w:tc>
          <w:tcPr>
            <w:tcW w:w="1221" w:type="dxa"/>
            <w:noWrap/>
            <w:vAlign w:val="center"/>
          </w:tcPr>
          <w:p w:rsidR="00B83265" w:rsidRPr="00D2182B" w:rsidRDefault="00B83265" w:rsidP="00D2182B">
            <w:pPr>
              <w:spacing w:after="0"/>
              <w:rPr>
                <w:rFonts w:ascii="Arial" w:hAnsi="Arial" w:cs="Arial"/>
              </w:rPr>
            </w:pPr>
            <w:r w:rsidRPr="00D2182B">
              <w:rPr>
                <w:rFonts w:ascii="Arial" w:hAnsi="Arial" w:cs="Arial"/>
              </w:rPr>
              <w:t>66.7%</w:t>
            </w:r>
          </w:p>
        </w:tc>
        <w:tc>
          <w:tcPr>
            <w:tcW w:w="1220" w:type="dxa"/>
            <w:noWrap/>
            <w:vAlign w:val="center"/>
          </w:tcPr>
          <w:p w:rsidR="00B83265" w:rsidRPr="00D2182B" w:rsidRDefault="00B83265" w:rsidP="00D2182B">
            <w:pPr>
              <w:spacing w:after="0"/>
              <w:rPr>
                <w:rFonts w:ascii="Arial" w:hAnsi="Arial" w:cs="Arial"/>
              </w:rPr>
            </w:pPr>
            <w:r w:rsidRPr="00D2182B">
              <w:rPr>
                <w:rFonts w:ascii="Arial" w:hAnsi="Arial" w:cs="Arial"/>
              </w:rPr>
              <w:t>67.1%</w:t>
            </w:r>
          </w:p>
        </w:tc>
        <w:tc>
          <w:tcPr>
            <w:tcW w:w="1221" w:type="dxa"/>
            <w:noWrap/>
            <w:vAlign w:val="center"/>
          </w:tcPr>
          <w:p w:rsidR="00B83265" w:rsidRPr="00D2182B" w:rsidRDefault="00B83265" w:rsidP="00D2182B">
            <w:pPr>
              <w:spacing w:after="0"/>
              <w:rPr>
                <w:rFonts w:ascii="Arial" w:hAnsi="Arial" w:cs="Arial"/>
              </w:rPr>
            </w:pPr>
            <w:r w:rsidRPr="00D2182B">
              <w:rPr>
                <w:rFonts w:ascii="Arial" w:hAnsi="Arial" w:cs="Arial"/>
              </w:rPr>
              <w:t>60.5%</w:t>
            </w:r>
          </w:p>
        </w:tc>
        <w:tc>
          <w:tcPr>
            <w:tcW w:w="1221" w:type="dxa"/>
            <w:vAlign w:val="center"/>
          </w:tcPr>
          <w:p w:rsidR="00B83265" w:rsidRPr="00D2182B" w:rsidRDefault="00B83265" w:rsidP="00D2182B">
            <w:pPr>
              <w:spacing w:after="0"/>
              <w:rPr>
                <w:rFonts w:ascii="Arial" w:hAnsi="Arial" w:cs="Arial"/>
              </w:rPr>
            </w:pPr>
            <w:r w:rsidRPr="00D2182B">
              <w:rPr>
                <w:rFonts w:ascii="Arial" w:hAnsi="Arial" w:cs="Arial"/>
              </w:rPr>
              <w:t>73.7%</w:t>
            </w:r>
          </w:p>
        </w:tc>
      </w:tr>
      <w:tr w:rsidR="00B83265" w:rsidRPr="00D2182B" w:rsidTr="00D2182B">
        <w:trPr>
          <w:trHeight w:val="264"/>
        </w:trPr>
        <w:tc>
          <w:tcPr>
            <w:tcW w:w="2547" w:type="dxa"/>
            <w:noWrap/>
            <w:vAlign w:val="center"/>
          </w:tcPr>
          <w:p w:rsidR="00B83265" w:rsidRPr="00D2182B" w:rsidRDefault="00B83265" w:rsidP="00D2182B">
            <w:pPr>
              <w:spacing w:after="0"/>
              <w:rPr>
                <w:rFonts w:ascii="Arial" w:hAnsi="Arial" w:cs="Arial"/>
              </w:rPr>
            </w:pPr>
            <w:r w:rsidRPr="00D2182B">
              <w:rPr>
                <w:rFonts w:ascii="Arial" w:hAnsi="Arial" w:cs="Arial"/>
              </w:rPr>
              <w:t>4 year</w:t>
            </w:r>
          </w:p>
        </w:tc>
        <w:tc>
          <w:tcPr>
            <w:tcW w:w="1220" w:type="dxa"/>
            <w:noWrap/>
            <w:vAlign w:val="center"/>
          </w:tcPr>
          <w:p w:rsidR="00B83265" w:rsidRPr="00D2182B" w:rsidRDefault="00B83265" w:rsidP="00D2182B">
            <w:pPr>
              <w:spacing w:after="0"/>
              <w:rPr>
                <w:rFonts w:ascii="Arial" w:hAnsi="Arial" w:cs="Arial"/>
              </w:rPr>
            </w:pPr>
            <w:r w:rsidRPr="00D2182B">
              <w:rPr>
                <w:rFonts w:ascii="Arial" w:hAnsi="Arial" w:cs="Arial"/>
              </w:rPr>
              <w:t>59.5%</w:t>
            </w:r>
          </w:p>
        </w:tc>
        <w:tc>
          <w:tcPr>
            <w:tcW w:w="1221" w:type="dxa"/>
            <w:noWrap/>
            <w:vAlign w:val="center"/>
          </w:tcPr>
          <w:p w:rsidR="00B83265" w:rsidRPr="00D2182B" w:rsidRDefault="00B83265" w:rsidP="00D2182B">
            <w:pPr>
              <w:spacing w:after="0"/>
              <w:rPr>
                <w:rFonts w:ascii="Arial" w:hAnsi="Arial" w:cs="Arial"/>
              </w:rPr>
            </w:pPr>
            <w:r w:rsidRPr="00D2182B">
              <w:rPr>
                <w:rFonts w:ascii="Arial" w:hAnsi="Arial" w:cs="Arial"/>
              </w:rPr>
              <w:t>61.6%</w:t>
            </w:r>
          </w:p>
        </w:tc>
        <w:tc>
          <w:tcPr>
            <w:tcW w:w="1221" w:type="dxa"/>
            <w:noWrap/>
            <w:vAlign w:val="center"/>
          </w:tcPr>
          <w:p w:rsidR="00B83265" w:rsidRPr="00D2182B" w:rsidRDefault="00B83265" w:rsidP="00D2182B">
            <w:pPr>
              <w:spacing w:after="0"/>
              <w:rPr>
                <w:rFonts w:ascii="Arial" w:hAnsi="Arial" w:cs="Arial"/>
              </w:rPr>
            </w:pPr>
            <w:r w:rsidRPr="00D2182B">
              <w:rPr>
                <w:rFonts w:ascii="Arial" w:hAnsi="Arial" w:cs="Arial"/>
              </w:rPr>
              <w:t>62.9%</w:t>
            </w:r>
          </w:p>
        </w:tc>
        <w:tc>
          <w:tcPr>
            <w:tcW w:w="1220" w:type="dxa"/>
            <w:noWrap/>
            <w:vAlign w:val="center"/>
          </w:tcPr>
          <w:p w:rsidR="00B83265" w:rsidRPr="00D2182B" w:rsidRDefault="00B83265" w:rsidP="00D2182B">
            <w:pPr>
              <w:spacing w:after="0"/>
              <w:rPr>
                <w:rFonts w:ascii="Arial" w:hAnsi="Arial" w:cs="Arial"/>
              </w:rPr>
            </w:pPr>
            <w:r w:rsidRPr="00D2182B">
              <w:rPr>
                <w:rFonts w:ascii="Arial" w:hAnsi="Arial" w:cs="Arial"/>
              </w:rPr>
              <w:t>65.8%</w:t>
            </w:r>
          </w:p>
        </w:tc>
        <w:tc>
          <w:tcPr>
            <w:tcW w:w="1221" w:type="dxa"/>
            <w:noWrap/>
            <w:vAlign w:val="center"/>
          </w:tcPr>
          <w:p w:rsidR="00B83265" w:rsidRPr="00D2182B" w:rsidRDefault="00B83265" w:rsidP="00D2182B">
            <w:pPr>
              <w:spacing w:after="0"/>
              <w:rPr>
                <w:rFonts w:ascii="Arial" w:hAnsi="Arial" w:cs="Arial"/>
              </w:rPr>
            </w:pPr>
            <w:r w:rsidRPr="00D2182B">
              <w:rPr>
                <w:rFonts w:ascii="Arial" w:hAnsi="Arial" w:cs="Arial"/>
              </w:rPr>
              <w:t>64.0%</w:t>
            </w:r>
          </w:p>
        </w:tc>
        <w:tc>
          <w:tcPr>
            <w:tcW w:w="1221" w:type="dxa"/>
            <w:vAlign w:val="center"/>
          </w:tcPr>
          <w:p w:rsidR="00B83265" w:rsidRPr="00D2182B" w:rsidRDefault="00B83265" w:rsidP="00D2182B">
            <w:pPr>
              <w:spacing w:after="0"/>
              <w:rPr>
                <w:rFonts w:ascii="Arial" w:hAnsi="Arial" w:cs="Arial"/>
              </w:rPr>
            </w:pPr>
          </w:p>
        </w:tc>
      </w:tr>
      <w:tr w:rsidR="00B83265" w:rsidRPr="00D2182B" w:rsidTr="00D2182B">
        <w:trPr>
          <w:trHeight w:val="264"/>
        </w:trPr>
        <w:tc>
          <w:tcPr>
            <w:tcW w:w="2547" w:type="dxa"/>
            <w:noWrap/>
            <w:vAlign w:val="center"/>
          </w:tcPr>
          <w:p w:rsidR="00B83265" w:rsidRPr="00D2182B" w:rsidRDefault="00B83265" w:rsidP="00D2182B">
            <w:pPr>
              <w:spacing w:after="0"/>
              <w:rPr>
                <w:rFonts w:ascii="Arial" w:hAnsi="Arial" w:cs="Arial"/>
              </w:rPr>
            </w:pPr>
            <w:r w:rsidRPr="00D2182B">
              <w:rPr>
                <w:rFonts w:ascii="Arial" w:hAnsi="Arial" w:cs="Arial"/>
              </w:rPr>
              <w:t>3 years</w:t>
            </w:r>
          </w:p>
        </w:tc>
        <w:tc>
          <w:tcPr>
            <w:tcW w:w="1220" w:type="dxa"/>
            <w:noWrap/>
            <w:vAlign w:val="center"/>
          </w:tcPr>
          <w:p w:rsidR="00B83265" w:rsidRPr="00D2182B" w:rsidRDefault="00B83265" w:rsidP="00D2182B">
            <w:pPr>
              <w:spacing w:after="0"/>
              <w:rPr>
                <w:rFonts w:ascii="Arial" w:hAnsi="Arial" w:cs="Arial"/>
              </w:rPr>
            </w:pPr>
            <w:r w:rsidRPr="00D2182B">
              <w:rPr>
                <w:rFonts w:ascii="Arial" w:hAnsi="Arial" w:cs="Arial"/>
              </w:rPr>
              <w:t>59.4%</w:t>
            </w:r>
          </w:p>
        </w:tc>
        <w:tc>
          <w:tcPr>
            <w:tcW w:w="1221" w:type="dxa"/>
            <w:noWrap/>
            <w:vAlign w:val="center"/>
          </w:tcPr>
          <w:p w:rsidR="00B83265" w:rsidRPr="00D2182B" w:rsidRDefault="00B83265" w:rsidP="00D2182B">
            <w:pPr>
              <w:spacing w:after="0"/>
              <w:rPr>
                <w:rFonts w:ascii="Arial" w:hAnsi="Arial" w:cs="Arial"/>
              </w:rPr>
            </w:pPr>
            <w:r w:rsidRPr="00D2182B">
              <w:rPr>
                <w:rFonts w:ascii="Arial" w:hAnsi="Arial" w:cs="Arial"/>
              </w:rPr>
              <w:t>65.1%</w:t>
            </w:r>
          </w:p>
        </w:tc>
        <w:tc>
          <w:tcPr>
            <w:tcW w:w="1221" w:type="dxa"/>
            <w:noWrap/>
            <w:vAlign w:val="center"/>
          </w:tcPr>
          <w:p w:rsidR="00B83265" w:rsidRPr="00D2182B" w:rsidRDefault="00B83265" w:rsidP="00D2182B">
            <w:pPr>
              <w:spacing w:after="0"/>
              <w:rPr>
                <w:rFonts w:ascii="Arial" w:hAnsi="Arial" w:cs="Arial"/>
              </w:rPr>
            </w:pPr>
            <w:r w:rsidRPr="00D2182B">
              <w:rPr>
                <w:rFonts w:ascii="Arial" w:hAnsi="Arial" w:cs="Arial"/>
              </w:rPr>
              <w:t>65.8%</w:t>
            </w:r>
          </w:p>
        </w:tc>
        <w:tc>
          <w:tcPr>
            <w:tcW w:w="1220" w:type="dxa"/>
            <w:noWrap/>
            <w:vAlign w:val="center"/>
          </w:tcPr>
          <w:p w:rsidR="00B83265" w:rsidRPr="00D2182B" w:rsidRDefault="00B83265" w:rsidP="00D2182B">
            <w:pPr>
              <w:spacing w:after="0"/>
              <w:rPr>
                <w:rFonts w:ascii="Arial" w:hAnsi="Arial" w:cs="Arial"/>
              </w:rPr>
            </w:pPr>
            <w:r w:rsidRPr="00D2182B">
              <w:rPr>
                <w:rFonts w:ascii="Arial" w:hAnsi="Arial" w:cs="Arial"/>
              </w:rPr>
              <w:t>68.4%</w:t>
            </w:r>
          </w:p>
        </w:tc>
        <w:tc>
          <w:tcPr>
            <w:tcW w:w="1221" w:type="dxa"/>
            <w:noWrap/>
            <w:vAlign w:val="center"/>
          </w:tcPr>
          <w:p w:rsidR="00B83265" w:rsidRPr="00D2182B" w:rsidRDefault="00B83265" w:rsidP="00D2182B">
            <w:pPr>
              <w:spacing w:after="0"/>
              <w:rPr>
                <w:rFonts w:ascii="Arial" w:hAnsi="Arial" w:cs="Arial"/>
              </w:rPr>
            </w:pPr>
          </w:p>
        </w:tc>
        <w:tc>
          <w:tcPr>
            <w:tcW w:w="1221" w:type="dxa"/>
            <w:vAlign w:val="center"/>
          </w:tcPr>
          <w:p w:rsidR="00B83265" w:rsidRPr="00D2182B" w:rsidRDefault="00B83265" w:rsidP="00D2182B">
            <w:pPr>
              <w:spacing w:after="0"/>
              <w:rPr>
                <w:rFonts w:ascii="Arial" w:hAnsi="Arial" w:cs="Arial"/>
              </w:rPr>
            </w:pPr>
          </w:p>
        </w:tc>
      </w:tr>
      <w:tr w:rsidR="00B83265" w:rsidRPr="00D2182B" w:rsidTr="00D2182B">
        <w:trPr>
          <w:trHeight w:val="264"/>
        </w:trPr>
        <w:tc>
          <w:tcPr>
            <w:tcW w:w="2547" w:type="dxa"/>
            <w:noWrap/>
            <w:vAlign w:val="center"/>
          </w:tcPr>
          <w:p w:rsidR="00B83265" w:rsidRPr="00D2182B" w:rsidRDefault="00B83265" w:rsidP="00D2182B">
            <w:pPr>
              <w:spacing w:after="0"/>
              <w:rPr>
                <w:rFonts w:ascii="Arial" w:hAnsi="Arial" w:cs="Arial"/>
              </w:rPr>
            </w:pPr>
            <w:r w:rsidRPr="00D2182B">
              <w:rPr>
                <w:rFonts w:ascii="Arial" w:hAnsi="Arial" w:cs="Arial"/>
              </w:rPr>
              <w:t>2 years</w:t>
            </w:r>
          </w:p>
        </w:tc>
        <w:tc>
          <w:tcPr>
            <w:tcW w:w="1220" w:type="dxa"/>
            <w:noWrap/>
            <w:vAlign w:val="center"/>
          </w:tcPr>
          <w:p w:rsidR="00B83265" w:rsidRPr="00D2182B" w:rsidRDefault="00B83265" w:rsidP="00D2182B">
            <w:pPr>
              <w:spacing w:after="0"/>
              <w:rPr>
                <w:rFonts w:ascii="Arial" w:hAnsi="Arial" w:cs="Arial"/>
              </w:rPr>
            </w:pPr>
            <w:r w:rsidRPr="00D2182B">
              <w:rPr>
                <w:rFonts w:ascii="Arial" w:hAnsi="Arial" w:cs="Arial"/>
              </w:rPr>
              <w:t>57.0%</w:t>
            </w:r>
          </w:p>
        </w:tc>
        <w:tc>
          <w:tcPr>
            <w:tcW w:w="1221" w:type="dxa"/>
            <w:noWrap/>
            <w:vAlign w:val="center"/>
          </w:tcPr>
          <w:p w:rsidR="00B83265" w:rsidRPr="00D2182B" w:rsidRDefault="00B83265" w:rsidP="00D2182B">
            <w:pPr>
              <w:spacing w:after="0"/>
              <w:rPr>
                <w:rFonts w:ascii="Arial" w:hAnsi="Arial" w:cs="Arial"/>
              </w:rPr>
            </w:pPr>
            <w:r w:rsidRPr="00D2182B">
              <w:rPr>
                <w:rFonts w:ascii="Arial" w:hAnsi="Arial" w:cs="Arial"/>
              </w:rPr>
              <w:t>58.8%</w:t>
            </w:r>
          </w:p>
        </w:tc>
        <w:tc>
          <w:tcPr>
            <w:tcW w:w="1221" w:type="dxa"/>
            <w:noWrap/>
            <w:vAlign w:val="center"/>
          </w:tcPr>
          <w:p w:rsidR="00B83265" w:rsidRPr="00D2182B" w:rsidRDefault="00B83265" w:rsidP="00D2182B">
            <w:pPr>
              <w:spacing w:after="0"/>
              <w:rPr>
                <w:rFonts w:ascii="Arial" w:hAnsi="Arial" w:cs="Arial"/>
              </w:rPr>
            </w:pPr>
            <w:r w:rsidRPr="00D2182B">
              <w:rPr>
                <w:rFonts w:ascii="Arial" w:hAnsi="Arial" w:cs="Arial"/>
              </w:rPr>
              <w:t>62.2%</w:t>
            </w:r>
          </w:p>
        </w:tc>
        <w:tc>
          <w:tcPr>
            <w:tcW w:w="1220" w:type="dxa"/>
            <w:noWrap/>
            <w:vAlign w:val="center"/>
          </w:tcPr>
          <w:p w:rsidR="00B83265" w:rsidRPr="00D2182B" w:rsidRDefault="00B83265" w:rsidP="00D2182B">
            <w:pPr>
              <w:spacing w:after="0"/>
              <w:rPr>
                <w:rFonts w:ascii="Arial" w:hAnsi="Arial" w:cs="Arial"/>
              </w:rPr>
            </w:pPr>
          </w:p>
        </w:tc>
        <w:tc>
          <w:tcPr>
            <w:tcW w:w="1221" w:type="dxa"/>
            <w:noWrap/>
            <w:vAlign w:val="center"/>
          </w:tcPr>
          <w:p w:rsidR="00B83265" w:rsidRPr="00D2182B" w:rsidRDefault="00B83265" w:rsidP="00D2182B">
            <w:pPr>
              <w:spacing w:after="0"/>
              <w:rPr>
                <w:rFonts w:ascii="Arial" w:hAnsi="Arial" w:cs="Arial"/>
              </w:rPr>
            </w:pPr>
          </w:p>
        </w:tc>
        <w:tc>
          <w:tcPr>
            <w:tcW w:w="1221" w:type="dxa"/>
            <w:vAlign w:val="center"/>
          </w:tcPr>
          <w:p w:rsidR="00B83265" w:rsidRPr="00D2182B" w:rsidRDefault="00B83265" w:rsidP="00D2182B">
            <w:pPr>
              <w:spacing w:after="0"/>
              <w:rPr>
                <w:rFonts w:ascii="Arial" w:hAnsi="Arial" w:cs="Arial"/>
              </w:rPr>
            </w:pPr>
          </w:p>
        </w:tc>
      </w:tr>
      <w:tr w:rsidR="00B83265" w:rsidRPr="00D2182B" w:rsidTr="00D2182B">
        <w:trPr>
          <w:trHeight w:val="264"/>
        </w:trPr>
        <w:tc>
          <w:tcPr>
            <w:tcW w:w="2547" w:type="dxa"/>
            <w:noWrap/>
            <w:vAlign w:val="center"/>
          </w:tcPr>
          <w:p w:rsidR="00B83265" w:rsidRPr="00D2182B" w:rsidRDefault="00B83265" w:rsidP="00D2182B">
            <w:pPr>
              <w:spacing w:after="0"/>
              <w:rPr>
                <w:rFonts w:ascii="Arial" w:hAnsi="Arial" w:cs="Arial"/>
              </w:rPr>
            </w:pPr>
            <w:r w:rsidRPr="00D2182B">
              <w:rPr>
                <w:rFonts w:ascii="Arial" w:hAnsi="Arial" w:cs="Arial"/>
              </w:rPr>
              <w:t>1 year</w:t>
            </w:r>
          </w:p>
        </w:tc>
        <w:tc>
          <w:tcPr>
            <w:tcW w:w="1220" w:type="dxa"/>
            <w:noWrap/>
            <w:vAlign w:val="center"/>
          </w:tcPr>
          <w:p w:rsidR="00B83265" w:rsidRPr="00D2182B" w:rsidRDefault="00B83265" w:rsidP="00D2182B">
            <w:pPr>
              <w:spacing w:after="0"/>
              <w:rPr>
                <w:rFonts w:ascii="Arial" w:hAnsi="Arial" w:cs="Arial"/>
              </w:rPr>
            </w:pPr>
            <w:r w:rsidRPr="00D2182B">
              <w:rPr>
                <w:rFonts w:ascii="Arial" w:hAnsi="Arial" w:cs="Arial"/>
              </w:rPr>
              <w:t>60.2%</w:t>
            </w:r>
          </w:p>
        </w:tc>
        <w:tc>
          <w:tcPr>
            <w:tcW w:w="1221" w:type="dxa"/>
            <w:noWrap/>
            <w:vAlign w:val="center"/>
          </w:tcPr>
          <w:p w:rsidR="00B83265" w:rsidRPr="00D2182B" w:rsidRDefault="00B83265" w:rsidP="00D2182B">
            <w:pPr>
              <w:spacing w:after="0"/>
              <w:rPr>
                <w:rFonts w:ascii="Arial" w:hAnsi="Arial" w:cs="Arial"/>
              </w:rPr>
            </w:pPr>
            <w:r w:rsidRPr="00D2182B">
              <w:rPr>
                <w:rFonts w:ascii="Arial" w:hAnsi="Arial" w:cs="Arial"/>
              </w:rPr>
              <w:t>64.3%</w:t>
            </w:r>
          </w:p>
        </w:tc>
        <w:tc>
          <w:tcPr>
            <w:tcW w:w="1221" w:type="dxa"/>
            <w:noWrap/>
            <w:vAlign w:val="center"/>
          </w:tcPr>
          <w:p w:rsidR="00B83265" w:rsidRPr="00D2182B" w:rsidRDefault="00B83265" w:rsidP="00D2182B">
            <w:pPr>
              <w:spacing w:after="0"/>
              <w:rPr>
                <w:rFonts w:ascii="Arial" w:hAnsi="Arial" w:cs="Arial"/>
              </w:rPr>
            </w:pPr>
          </w:p>
        </w:tc>
        <w:tc>
          <w:tcPr>
            <w:tcW w:w="1220" w:type="dxa"/>
            <w:noWrap/>
            <w:vAlign w:val="center"/>
          </w:tcPr>
          <w:p w:rsidR="00B83265" w:rsidRPr="00D2182B" w:rsidRDefault="00B83265" w:rsidP="00D2182B">
            <w:pPr>
              <w:spacing w:after="0"/>
              <w:rPr>
                <w:rFonts w:ascii="Arial" w:hAnsi="Arial" w:cs="Arial"/>
              </w:rPr>
            </w:pPr>
          </w:p>
        </w:tc>
        <w:tc>
          <w:tcPr>
            <w:tcW w:w="1221" w:type="dxa"/>
            <w:noWrap/>
            <w:vAlign w:val="center"/>
          </w:tcPr>
          <w:p w:rsidR="00B83265" w:rsidRPr="00D2182B" w:rsidRDefault="00B83265" w:rsidP="00D2182B">
            <w:pPr>
              <w:spacing w:after="0"/>
              <w:rPr>
                <w:rFonts w:ascii="Arial" w:hAnsi="Arial" w:cs="Arial"/>
              </w:rPr>
            </w:pPr>
          </w:p>
        </w:tc>
        <w:tc>
          <w:tcPr>
            <w:tcW w:w="1221" w:type="dxa"/>
            <w:vAlign w:val="center"/>
          </w:tcPr>
          <w:p w:rsidR="00B83265" w:rsidRPr="00D2182B" w:rsidRDefault="00B83265" w:rsidP="00D2182B">
            <w:pPr>
              <w:spacing w:after="0"/>
              <w:rPr>
                <w:rFonts w:ascii="Arial" w:hAnsi="Arial" w:cs="Arial"/>
              </w:rPr>
            </w:pPr>
          </w:p>
        </w:tc>
      </w:tr>
    </w:tbl>
    <w:p w:rsidR="00B83265" w:rsidRDefault="00B83265" w:rsidP="00B83265">
      <w:pPr>
        <w:spacing w:after="240"/>
        <w:rPr>
          <w:rFonts w:cstheme="minorHAnsi"/>
        </w:rPr>
      </w:pPr>
    </w:p>
    <w:p w:rsidR="00B83265" w:rsidRDefault="00B83265" w:rsidP="00B83265">
      <w:pPr>
        <w:spacing w:after="240"/>
        <w:rPr>
          <w:rFonts w:cstheme="minorHAnsi"/>
        </w:rPr>
      </w:pPr>
      <w:r w:rsidRPr="00BE65DB">
        <w:rPr>
          <w:rFonts w:cstheme="minorHAnsi"/>
        </w:rPr>
        <w:t xml:space="preserve">% </w:t>
      </w:r>
      <w:r>
        <w:rPr>
          <w:rFonts w:cstheme="minorHAnsi"/>
        </w:rPr>
        <w:t>who say they chose whom they lived with</w:t>
      </w:r>
      <w:r w:rsidR="00D54E9A">
        <w:rPr>
          <w:rFonts w:cstheme="minorHAnsi"/>
        </w:rPr>
        <w:t>: improvement; for PSto14, analysed by time since first in P15to24, otherwise by time in Scheme</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244"/>
        <w:gridCol w:w="1244"/>
        <w:gridCol w:w="1245"/>
        <w:gridCol w:w="1244"/>
        <w:gridCol w:w="1244"/>
        <w:gridCol w:w="1245"/>
      </w:tblGrid>
      <w:tr w:rsidR="00B83265" w:rsidRPr="00D2182B" w:rsidTr="00D2182B">
        <w:trPr>
          <w:trHeight w:val="264"/>
        </w:trPr>
        <w:tc>
          <w:tcPr>
            <w:tcW w:w="2405" w:type="dxa"/>
            <w:noWrap/>
            <w:vAlign w:val="center"/>
            <w:hideMark/>
          </w:tcPr>
          <w:p w:rsidR="00B83265" w:rsidRPr="00D2182B" w:rsidRDefault="00B83265" w:rsidP="00D2182B">
            <w:pPr>
              <w:spacing w:after="0"/>
              <w:rPr>
                <w:rFonts w:ascii="Arial" w:eastAsia="Times New Roman" w:hAnsi="Arial" w:cs="Arial"/>
                <w:b/>
                <w:bCs/>
                <w:color w:val="000000"/>
                <w:lang w:eastAsia="zh-CN"/>
              </w:rPr>
            </w:pPr>
            <w:r w:rsidRPr="00D2182B">
              <w:rPr>
                <w:rFonts w:ascii="Arial" w:eastAsia="Times New Roman" w:hAnsi="Arial" w:cs="Arial"/>
                <w:b/>
                <w:bCs/>
                <w:color w:val="000000"/>
                <w:lang w:eastAsia="zh-CN"/>
              </w:rPr>
              <w:t>Cohort</w:t>
            </w:r>
          </w:p>
        </w:tc>
        <w:tc>
          <w:tcPr>
            <w:tcW w:w="1244" w:type="dxa"/>
            <w:noWrap/>
            <w:vAlign w:val="center"/>
            <w:hideMark/>
          </w:tcPr>
          <w:p w:rsidR="00B83265" w:rsidRPr="00D2182B" w:rsidRDefault="00B83265" w:rsidP="00D2182B">
            <w:pPr>
              <w:spacing w:after="0"/>
              <w:rPr>
                <w:rFonts w:ascii="Arial" w:eastAsia="Times New Roman" w:hAnsi="Arial" w:cs="Arial"/>
                <w:b/>
                <w:bCs/>
                <w:color w:val="000000"/>
                <w:lang w:eastAsia="zh-CN"/>
              </w:rPr>
            </w:pPr>
            <w:r w:rsidRPr="00D2182B">
              <w:rPr>
                <w:rFonts w:ascii="Arial" w:eastAsia="Times New Roman" w:hAnsi="Arial" w:cs="Arial"/>
                <w:b/>
                <w:bCs/>
                <w:color w:val="000000"/>
                <w:lang w:eastAsia="zh-CN"/>
              </w:rPr>
              <w:t>Baseline</w:t>
            </w:r>
          </w:p>
        </w:tc>
        <w:tc>
          <w:tcPr>
            <w:tcW w:w="1244" w:type="dxa"/>
            <w:noWrap/>
            <w:vAlign w:val="center"/>
            <w:hideMark/>
          </w:tcPr>
          <w:p w:rsidR="00B83265" w:rsidRPr="00D2182B" w:rsidRDefault="00B83265" w:rsidP="00D2182B">
            <w:pPr>
              <w:spacing w:after="0"/>
              <w:rPr>
                <w:rFonts w:ascii="Arial" w:eastAsia="Times New Roman" w:hAnsi="Arial" w:cs="Arial"/>
                <w:b/>
                <w:bCs/>
                <w:color w:val="000000"/>
                <w:lang w:eastAsia="zh-CN"/>
              </w:rPr>
            </w:pPr>
            <w:r w:rsidRPr="00D2182B">
              <w:rPr>
                <w:rFonts w:ascii="Arial" w:eastAsia="Times New Roman" w:hAnsi="Arial" w:cs="Arial"/>
                <w:b/>
                <w:bCs/>
                <w:color w:val="000000"/>
                <w:lang w:eastAsia="zh-CN"/>
              </w:rPr>
              <w:t>Review 1</w:t>
            </w:r>
          </w:p>
        </w:tc>
        <w:tc>
          <w:tcPr>
            <w:tcW w:w="1245" w:type="dxa"/>
            <w:noWrap/>
            <w:vAlign w:val="center"/>
            <w:hideMark/>
          </w:tcPr>
          <w:p w:rsidR="00B83265" w:rsidRPr="00D2182B" w:rsidRDefault="00B83265" w:rsidP="00D2182B">
            <w:pPr>
              <w:spacing w:after="0"/>
              <w:rPr>
                <w:rFonts w:ascii="Arial" w:eastAsia="Times New Roman" w:hAnsi="Arial" w:cs="Arial"/>
                <w:b/>
                <w:bCs/>
                <w:color w:val="000000"/>
                <w:lang w:eastAsia="zh-CN"/>
              </w:rPr>
            </w:pPr>
            <w:r w:rsidRPr="00D2182B">
              <w:rPr>
                <w:rFonts w:ascii="Arial" w:eastAsia="Times New Roman" w:hAnsi="Arial" w:cs="Arial"/>
                <w:b/>
                <w:bCs/>
                <w:color w:val="000000"/>
                <w:lang w:eastAsia="zh-CN"/>
              </w:rPr>
              <w:t>Review 2</w:t>
            </w:r>
          </w:p>
        </w:tc>
        <w:tc>
          <w:tcPr>
            <w:tcW w:w="1244" w:type="dxa"/>
            <w:noWrap/>
            <w:vAlign w:val="center"/>
            <w:hideMark/>
          </w:tcPr>
          <w:p w:rsidR="00B83265" w:rsidRPr="00D2182B" w:rsidRDefault="00B83265" w:rsidP="00D2182B">
            <w:pPr>
              <w:spacing w:after="0"/>
              <w:rPr>
                <w:rFonts w:ascii="Arial" w:eastAsia="Times New Roman" w:hAnsi="Arial" w:cs="Arial"/>
                <w:b/>
                <w:bCs/>
                <w:color w:val="000000"/>
                <w:lang w:eastAsia="zh-CN"/>
              </w:rPr>
            </w:pPr>
            <w:r w:rsidRPr="00D2182B">
              <w:rPr>
                <w:rFonts w:ascii="Arial" w:eastAsia="Times New Roman" w:hAnsi="Arial" w:cs="Arial"/>
                <w:b/>
                <w:bCs/>
                <w:color w:val="000000"/>
                <w:lang w:eastAsia="zh-CN"/>
              </w:rPr>
              <w:t>Review 3</w:t>
            </w:r>
          </w:p>
        </w:tc>
        <w:tc>
          <w:tcPr>
            <w:tcW w:w="1244" w:type="dxa"/>
            <w:noWrap/>
            <w:vAlign w:val="center"/>
            <w:hideMark/>
          </w:tcPr>
          <w:p w:rsidR="00B83265" w:rsidRPr="00D2182B" w:rsidRDefault="00B83265" w:rsidP="00D2182B">
            <w:pPr>
              <w:spacing w:after="0"/>
              <w:rPr>
                <w:rFonts w:ascii="Arial" w:eastAsia="Times New Roman" w:hAnsi="Arial" w:cs="Arial"/>
                <w:b/>
                <w:bCs/>
                <w:color w:val="000000"/>
                <w:lang w:eastAsia="zh-CN"/>
              </w:rPr>
            </w:pPr>
            <w:r w:rsidRPr="00D2182B">
              <w:rPr>
                <w:rFonts w:ascii="Arial" w:eastAsia="Times New Roman" w:hAnsi="Arial" w:cs="Arial"/>
                <w:b/>
                <w:bCs/>
                <w:color w:val="000000"/>
                <w:lang w:eastAsia="zh-CN"/>
              </w:rPr>
              <w:t>Review 4</w:t>
            </w:r>
          </w:p>
        </w:tc>
        <w:tc>
          <w:tcPr>
            <w:tcW w:w="1245" w:type="dxa"/>
            <w:vAlign w:val="center"/>
          </w:tcPr>
          <w:p w:rsidR="00B83265" w:rsidRPr="00D2182B" w:rsidRDefault="00B83265" w:rsidP="00D2182B">
            <w:pPr>
              <w:spacing w:after="0"/>
              <w:rPr>
                <w:rFonts w:ascii="Arial" w:eastAsia="Times New Roman" w:hAnsi="Arial" w:cs="Arial"/>
                <w:b/>
                <w:bCs/>
                <w:color w:val="000000"/>
                <w:lang w:eastAsia="zh-CN"/>
              </w:rPr>
            </w:pPr>
            <w:r w:rsidRPr="00D2182B">
              <w:rPr>
                <w:rFonts w:ascii="Arial" w:eastAsia="Times New Roman" w:hAnsi="Arial" w:cs="Arial"/>
                <w:b/>
                <w:bCs/>
                <w:color w:val="000000"/>
                <w:lang w:eastAsia="zh-CN"/>
              </w:rPr>
              <w:t>Review 5</w:t>
            </w:r>
          </w:p>
        </w:tc>
      </w:tr>
      <w:tr w:rsidR="00B83265" w:rsidRPr="00D2182B" w:rsidTr="00D2182B">
        <w:trPr>
          <w:trHeight w:val="264"/>
        </w:trPr>
        <w:tc>
          <w:tcPr>
            <w:tcW w:w="2405" w:type="dxa"/>
            <w:noWrap/>
            <w:vAlign w:val="center"/>
          </w:tcPr>
          <w:p w:rsidR="00B83265" w:rsidRPr="00D2182B" w:rsidRDefault="00B83265" w:rsidP="00D2182B">
            <w:pPr>
              <w:spacing w:after="0"/>
              <w:rPr>
                <w:rFonts w:ascii="Arial" w:hAnsi="Arial" w:cs="Arial"/>
                <w:color w:val="000000"/>
              </w:rPr>
            </w:pPr>
            <w:r w:rsidRPr="00D2182B">
              <w:rPr>
                <w:rFonts w:ascii="Arial" w:hAnsi="Arial" w:cs="Arial"/>
              </w:rPr>
              <w:t>5 year</w:t>
            </w:r>
          </w:p>
        </w:tc>
        <w:tc>
          <w:tcPr>
            <w:tcW w:w="1244" w:type="dxa"/>
            <w:noWrap/>
            <w:vAlign w:val="center"/>
          </w:tcPr>
          <w:p w:rsidR="00B83265" w:rsidRPr="00D2182B" w:rsidRDefault="00B83265" w:rsidP="00D2182B">
            <w:pPr>
              <w:spacing w:after="0"/>
              <w:rPr>
                <w:rFonts w:ascii="Arial" w:hAnsi="Arial" w:cs="Arial"/>
              </w:rPr>
            </w:pPr>
            <w:r w:rsidRPr="00D2182B">
              <w:rPr>
                <w:rFonts w:ascii="Arial" w:hAnsi="Arial" w:cs="Arial"/>
              </w:rPr>
              <w:t>71.1%</w:t>
            </w:r>
          </w:p>
        </w:tc>
        <w:tc>
          <w:tcPr>
            <w:tcW w:w="1244" w:type="dxa"/>
            <w:noWrap/>
            <w:vAlign w:val="center"/>
          </w:tcPr>
          <w:p w:rsidR="00B83265" w:rsidRPr="00D2182B" w:rsidRDefault="00B83265" w:rsidP="00D2182B">
            <w:pPr>
              <w:spacing w:after="0"/>
              <w:rPr>
                <w:rFonts w:ascii="Arial" w:hAnsi="Arial" w:cs="Arial"/>
              </w:rPr>
            </w:pPr>
            <w:r w:rsidRPr="00D2182B">
              <w:rPr>
                <w:rFonts w:ascii="Arial" w:hAnsi="Arial" w:cs="Arial"/>
              </w:rPr>
              <w:t>73.3%</w:t>
            </w:r>
          </w:p>
        </w:tc>
        <w:tc>
          <w:tcPr>
            <w:tcW w:w="1245" w:type="dxa"/>
            <w:noWrap/>
            <w:vAlign w:val="center"/>
          </w:tcPr>
          <w:p w:rsidR="00B83265" w:rsidRPr="00D2182B" w:rsidRDefault="00B83265" w:rsidP="00D2182B">
            <w:pPr>
              <w:spacing w:after="0"/>
              <w:rPr>
                <w:rFonts w:ascii="Arial" w:hAnsi="Arial" w:cs="Arial"/>
              </w:rPr>
            </w:pPr>
            <w:r w:rsidRPr="00D2182B">
              <w:rPr>
                <w:rFonts w:ascii="Arial" w:hAnsi="Arial" w:cs="Arial"/>
              </w:rPr>
              <w:t>70.7%</w:t>
            </w:r>
          </w:p>
        </w:tc>
        <w:tc>
          <w:tcPr>
            <w:tcW w:w="1244" w:type="dxa"/>
            <w:noWrap/>
            <w:vAlign w:val="center"/>
          </w:tcPr>
          <w:p w:rsidR="00B83265" w:rsidRPr="00D2182B" w:rsidRDefault="00B83265" w:rsidP="00D2182B">
            <w:pPr>
              <w:spacing w:after="0"/>
              <w:rPr>
                <w:rFonts w:ascii="Arial" w:hAnsi="Arial" w:cs="Arial"/>
              </w:rPr>
            </w:pPr>
            <w:r w:rsidRPr="00D2182B">
              <w:rPr>
                <w:rFonts w:ascii="Arial" w:hAnsi="Arial" w:cs="Arial"/>
              </w:rPr>
              <w:t>71.1%</w:t>
            </w:r>
          </w:p>
        </w:tc>
        <w:tc>
          <w:tcPr>
            <w:tcW w:w="1244" w:type="dxa"/>
            <w:noWrap/>
            <w:vAlign w:val="center"/>
          </w:tcPr>
          <w:p w:rsidR="00B83265" w:rsidRPr="00D2182B" w:rsidRDefault="00B83265" w:rsidP="00D2182B">
            <w:pPr>
              <w:spacing w:after="0"/>
              <w:rPr>
                <w:rFonts w:ascii="Arial" w:hAnsi="Arial" w:cs="Arial"/>
              </w:rPr>
            </w:pPr>
            <w:r w:rsidRPr="00D2182B">
              <w:rPr>
                <w:rFonts w:ascii="Arial" w:hAnsi="Arial" w:cs="Arial"/>
              </w:rPr>
              <w:t>67.1%</w:t>
            </w:r>
          </w:p>
        </w:tc>
        <w:tc>
          <w:tcPr>
            <w:tcW w:w="1245" w:type="dxa"/>
            <w:vAlign w:val="center"/>
          </w:tcPr>
          <w:p w:rsidR="00B83265" w:rsidRPr="00D2182B" w:rsidRDefault="00B83265" w:rsidP="00D2182B">
            <w:pPr>
              <w:spacing w:after="0"/>
              <w:rPr>
                <w:rFonts w:ascii="Arial" w:hAnsi="Arial" w:cs="Arial"/>
              </w:rPr>
            </w:pPr>
            <w:r w:rsidRPr="00D2182B">
              <w:rPr>
                <w:rFonts w:ascii="Arial" w:hAnsi="Arial" w:cs="Arial"/>
              </w:rPr>
              <w:t>85.5%</w:t>
            </w:r>
          </w:p>
        </w:tc>
      </w:tr>
      <w:tr w:rsidR="00B83265" w:rsidRPr="00D2182B" w:rsidTr="00D2182B">
        <w:trPr>
          <w:trHeight w:val="264"/>
        </w:trPr>
        <w:tc>
          <w:tcPr>
            <w:tcW w:w="2405" w:type="dxa"/>
            <w:noWrap/>
            <w:vAlign w:val="center"/>
          </w:tcPr>
          <w:p w:rsidR="00B83265" w:rsidRPr="00D2182B" w:rsidRDefault="00B83265" w:rsidP="00D2182B">
            <w:pPr>
              <w:spacing w:after="0"/>
              <w:rPr>
                <w:rFonts w:ascii="Arial" w:hAnsi="Arial" w:cs="Arial"/>
              </w:rPr>
            </w:pPr>
            <w:r w:rsidRPr="00D2182B">
              <w:rPr>
                <w:rFonts w:ascii="Arial" w:hAnsi="Arial" w:cs="Arial"/>
              </w:rPr>
              <w:t>4 year</w:t>
            </w:r>
          </w:p>
        </w:tc>
        <w:tc>
          <w:tcPr>
            <w:tcW w:w="1244" w:type="dxa"/>
            <w:noWrap/>
            <w:vAlign w:val="center"/>
          </w:tcPr>
          <w:p w:rsidR="00B83265" w:rsidRPr="00D2182B" w:rsidRDefault="00B83265" w:rsidP="00D2182B">
            <w:pPr>
              <w:spacing w:after="0"/>
              <w:rPr>
                <w:rFonts w:ascii="Arial" w:hAnsi="Arial" w:cs="Arial"/>
              </w:rPr>
            </w:pPr>
            <w:r w:rsidRPr="00D2182B">
              <w:rPr>
                <w:rFonts w:ascii="Arial" w:hAnsi="Arial" w:cs="Arial"/>
              </w:rPr>
              <w:t>60.2%</w:t>
            </w:r>
          </w:p>
        </w:tc>
        <w:tc>
          <w:tcPr>
            <w:tcW w:w="1244" w:type="dxa"/>
            <w:noWrap/>
            <w:vAlign w:val="center"/>
          </w:tcPr>
          <w:p w:rsidR="00B83265" w:rsidRPr="00D2182B" w:rsidRDefault="00B83265" w:rsidP="00D2182B">
            <w:pPr>
              <w:spacing w:after="0"/>
              <w:rPr>
                <w:rFonts w:ascii="Arial" w:hAnsi="Arial" w:cs="Arial"/>
              </w:rPr>
            </w:pPr>
            <w:r w:rsidRPr="00D2182B">
              <w:rPr>
                <w:rFonts w:ascii="Arial" w:hAnsi="Arial" w:cs="Arial"/>
              </w:rPr>
              <w:t>64.0%</w:t>
            </w:r>
          </w:p>
        </w:tc>
        <w:tc>
          <w:tcPr>
            <w:tcW w:w="1245" w:type="dxa"/>
            <w:noWrap/>
            <w:vAlign w:val="center"/>
          </w:tcPr>
          <w:p w:rsidR="00B83265" w:rsidRPr="00D2182B" w:rsidRDefault="00B83265" w:rsidP="00D2182B">
            <w:pPr>
              <w:spacing w:after="0"/>
              <w:rPr>
                <w:rFonts w:ascii="Arial" w:hAnsi="Arial" w:cs="Arial"/>
              </w:rPr>
            </w:pPr>
            <w:r w:rsidRPr="00D2182B">
              <w:rPr>
                <w:rFonts w:ascii="Arial" w:hAnsi="Arial" w:cs="Arial"/>
              </w:rPr>
              <w:t>63.6%</w:t>
            </w:r>
          </w:p>
        </w:tc>
        <w:tc>
          <w:tcPr>
            <w:tcW w:w="1244" w:type="dxa"/>
            <w:noWrap/>
            <w:vAlign w:val="center"/>
          </w:tcPr>
          <w:p w:rsidR="00B83265" w:rsidRPr="00D2182B" w:rsidRDefault="00B83265" w:rsidP="00D2182B">
            <w:pPr>
              <w:spacing w:after="0"/>
              <w:rPr>
                <w:rFonts w:ascii="Arial" w:hAnsi="Arial" w:cs="Arial"/>
              </w:rPr>
            </w:pPr>
            <w:r w:rsidRPr="00D2182B">
              <w:rPr>
                <w:rFonts w:ascii="Arial" w:hAnsi="Arial" w:cs="Arial"/>
              </w:rPr>
              <w:t>64.3%</w:t>
            </w:r>
          </w:p>
        </w:tc>
        <w:tc>
          <w:tcPr>
            <w:tcW w:w="1244" w:type="dxa"/>
            <w:noWrap/>
            <w:vAlign w:val="center"/>
          </w:tcPr>
          <w:p w:rsidR="00B83265" w:rsidRPr="00D2182B" w:rsidRDefault="00B83265" w:rsidP="00D2182B">
            <w:pPr>
              <w:spacing w:after="0"/>
              <w:rPr>
                <w:rFonts w:ascii="Arial" w:hAnsi="Arial" w:cs="Arial"/>
              </w:rPr>
            </w:pPr>
            <w:r w:rsidRPr="00D2182B">
              <w:rPr>
                <w:rFonts w:ascii="Arial" w:hAnsi="Arial" w:cs="Arial"/>
              </w:rPr>
              <w:t>66.3%</w:t>
            </w:r>
          </w:p>
        </w:tc>
        <w:tc>
          <w:tcPr>
            <w:tcW w:w="1245" w:type="dxa"/>
            <w:vAlign w:val="center"/>
          </w:tcPr>
          <w:p w:rsidR="00B83265" w:rsidRPr="00D2182B" w:rsidRDefault="00B83265" w:rsidP="00D2182B">
            <w:pPr>
              <w:spacing w:after="0"/>
              <w:rPr>
                <w:rFonts w:ascii="Arial" w:hAnsi="Arial" w:cs="Arial"/>
              </w:rPr>
            </w:pPr>
          </w:p>
        </w:tc>
      </w:tr>
      <w:tr w:rsidR="00B83265" w:rsidRPr="00D2182B" w:rsidTr="00D2182B">
        <w:trPr>
          <w:trHeight w:val="264"/>
        </w:trPr>
        <w:tc>
          <w:tcPr>
            <w:tcW w:w="2405" w:type="dxa"/>
            <w:noWrap/>
            <w:vAlign w:val="center"/>
          </w:tcPr>
          <w:p w:rsidR="00B83265" w:rsidRPr="00D2182B" w:rsidRDefault="00B83265" w:rsidP="00D2182B">
            <w:pPr>
              <w:spacing w:after="0"/>
              <w:rPr>
                <w:rFonts w:ascii="Arial" w:hAnsi="Arial" w:cs="Arial"/>
              </w:rPr>
            </w:pPr>
            <w:r w:rsidRPr="00D2182B">
              <w:rPr>
                <w:rFonts w:ascii="Arial" w:hAnsi="Arial" w:cs="Arial"/>
              </w:rPr>
              <w:t>3 years</w:t>
            </w:r>
          </w:p>
        </w:tc>
        <w:tc>
          <w:tcPr>
            <w:tcW w:w="1244" w:type="dxa"/>
            <w:noWrap/>
            <w:vAlign w:val="center"/>
          </w:tcPr>
          <w:p w:rsidR="00B83265" w:rsidRPr="00D2182B" w:rsidRDefault="00B83265" w:rsidP="00D2182B">
            <w:pPr>
              <w:spacing w:after="0"/>
              <w:rPr>
                <w:rFonts w:ascii="Arial" w:hAnsi="Arial" w:cs="Arial"/>
              </w:rPr>
            </w:pPr>
            <w:r w:rsidRPr="00D2182B">
              <w:rPr>
                <w:rFonts w:ascii="Arial" w:hAnsi="Arial" w:cs="Arial"/>
              </w:rPr>
              <w:t>62.7%</w:t>
            </w:r>
          </w:p>
        </w:tc>
        <w:tc>
          <w:tcPr>
            <w:tcW w:w="1244" w:type="dxa"/>
            <w:noWrap/>
            <w:vAlign w:val="center"/>
          </w:tcPr>
          <w:p w:rsidR="00B83265" w:rsidRPr="00D2182B" w:rsidRDefault="00B83265" w:rsidP="00D2182B">
            <w:pPr>
              <w:spacing w:after="0"/>
              <w:rPr>
                <w:rFonts w:ascii="Arial" w:hAnsi="Arial" w:cs="Arial"/>
              </w:rPr>
            </w:pPr>
            <w:r w:rsidRPr="00D2182B">
              <w:rPr>
                <w:rFonts w:ascii="Arial" w:hAnsi="Arial" w:cs="Arial"/>
              </w:rPr>
              <w:t>66.7%</w:t>
            </w:r>
          </w:p>
        </w:tc>
        <w:tc>
          <w:tcPr>
            <w:tcW w:w="1245" w:type="dxa"/>
            <w:noWrap/>
            <w:vAlign w:val="center"/>
          </w:tcPr>
          <w:p w:rsidR="00B83265" w:rsidRPr="00D2182B" w:rsidRDefault="00B83265" w:rsidP="00D2182B">
            <w:pPr>
              <w:spacing w:after="0"/>
              <w:rPr>
                <w:rFonts w:ascii="Arial" w:hAnsi="Arial" w:cs="Arial"/>
              </w:rPr>
            </w:pPr>
            <w:r w:rsidRPr="00D2182B">
              <w:rPr>
                <w:rFonts w:ascii="Arial" w:hAnsi="Arial" w:cs="Arial"/>
              </w:rPr>
              <w:t>66.4%</w:t>
            </w:r>
          </w:p>
        </w:tc>
        <w:tc>
          <w:tcPr>
            <w:tcW w:w="1244" w:type="dxa"/>
            <w:noWrap/>
            <w:vAlign w:val="center"/>
          </w:tcPr>
          <w:p w:rsidR="00B83265" w:rsidRPr="00D2182B" w:rsidRDefault="00B83265" w:rsidP="00D2182B">
            <w:pPr>
              <w:spacing w:after="0"/>
              <w:rPr>
                <w:rFonts w:ascii="Arial" w:hAnsi="Arial" w:cs="Arial"/>
              </w:rPr>
            </w:pPr>
            <w:r w:rsidRPr="00D2182B">
              <w:rPr>
                <w:rFonts w:ascii="Arial" w:hAnsi="Arial" w:cs="Arial"/>
              </w:rPr>
              <w:t>72.1%</w:t>
            </w:r>
          </w:p>
        </w:tc>
        <w:tc>
          <w:tcPr>
            <w:tcW w:w="1244" w:type="dxa"/>
            <w:noWrap/>
            <w:vAlign w:val="center"/>
          </w:tcPr>
          <w:p w:rsidR="00B83265" w:rsidRPr="00D2182B" w:rsidRDefault="00B83265" w:rsidP="00D2182B">
            <w:pPr>
              <w:spacing w:after="0"/>
              <w:rPr>
                <w:rFonts w:ascii="Arial" w:hAnsi="Arial" w:cs="Arial"/>
              </w:rPr>
            </w:pPr>
          </w:p>
        </w:tc>
        <w:tc>
          <w:tcPr>
            <w:tcW w:w="1245" w:type="dxa"/>
            <w:vAlign w:val="center"/>
          </w:tcPr>
          <w:p w:rsidR="00B83265" w:rsidRPr="00D2182B" w:rsidRDefault="00B83265" w:rsidP="00D2182B">
            <w:pPr>
              <w:spacing w:after="0"/>
              <w:rPr>
                <w:rFonts w:ascii="Arial" w:hAnsi="Arial" w:cs="Arial"/>
              </w:rPr>
            </w:pPr>
          </w:p>
        </w:tc>
      </w:tr>
      <w:tr w:rsidR="00B83265" w:rsidRPr="00D2182B" w:rsidTr="00D2182B">
        <w:trPr>
          <w:trHeight w:val="264"/>
        </w:trPr>
        <w:tc>
          <w:tcPr>
            <w:tcW w:w="2405" w:type="dxa"/>
            <w:noWrap/>
            <w:vAlign w:val="center"/>
          </w:tcPr>
          <w:p w:rsidR="00B83265" w:rsidRPr="00D2182B" w:rsidRDefault="00B83265" w:rsidP="00D2182B">
            <w:pPr>
              <w:spacing w:after="0"/>
              <w:rPr>
                <w:rFonts w:ascii="Arial" w:hAnsi="Arial" w:cs="Arial"/>
              </w:rPr>
            </w:pPr>
            <w:r w:rsidRPr="00D2182B">
              <w:rPr>
                <w:rFonts w:ascii="Arial" w:hAnsi="Arial" w:cs="Arial"/>
              </w:rPr>
              <w:t>2 years</w:t>
            </w:r>
          </w:p>
        </w:tc>
        <w:tc>
          <w:tcPr>
            <w:tcW w:w="1244" w:type="dxa"/>
            <w:noWrap/>
            <w:vAlign w:val="center"/>
          </w:tcPr>
          <w:p w:rsidR="00B83265" w:rsidRPr="00D2182B" w:rsidRDefault="00B83265" w:rsidP="00D2182B">
            <w:pPr>
              <w:spacing w:after="0"/>
              <w:rPr>
                <w:rFonts w:ascii="Arial" w:hAnsi="Arial" w:cs="Arial"/>
              </w:rPr>
            </w:pPr>
            <w:r w:rsidRPr="00D2182B">
              <w:rPr>
                <w:rFonts w:ascii="Arial" w:hAnsi="Arial" w:cs="Arial"/>
              </w:rPr>
              <w:t>58.3%</w:t>
            </w:r>
          </w:p>
        </w:tc>
        <w:tc>
          <w:tcPr>
            <w:tcW w:w="1244" w:type="dxa"/>
            <w:noWrap/>
            <w:vAlign w:val="center"/>
          </w:tcPr>
          <w:p w:rsidR="00B83265" w:rsidRPr="00D2182B" w:rsidRDefault="00B83265" w:rsidP="00D2182B">
            <w:pPr>
              <w:spacing w:after="0"/>
              <w:rPr>
                <w:rFonts w:ascii="Arial" w:hAnsi="Arial" w:cs="Arial"/>
              </w:rPr>
            </w:pPr>
            <w:r w:rsidRPr="00D2182B">
              <w:rPr>
                <w:rFonts w:ascii="Arial" w:hAnsi="Arial" w:cs="Arial"/>
              </w:rPr>
              <w:t>61.4%</w:t>
            </w:r>
          </w:p>
        </w:tc>
        <w:tc>
          <w:tcPr>
            <w:tcW w:w="1245" w:type="dxa"/>
            <w:noWrap/>
            <w:vAlign w:val="center"/>
          </w:tcPr>
          <w:p w:rsidR="00B83265" w:rsidRPr="00D2182B" w:rsidRDefault="00B83265" w:rsidP="00D2182B">
            <w:pPr>
              <w:spacing w:after="0"/>
              <w:rPr>
                <w:rFonts w:ascii="Arial" w:hAnsi="Arial" w:cs="Arial"/>
              </w:rPr>
            </w:pPr>
            <w:r w:rsidRPr="00D2182B">
              <w:rPr>
                <w:rFonts w:ascii="Arial" w:hAnsi="Arial" w:cs="Arial"/>
              </w:rPr>
              <w:t>63.6%</w:t>
            </w:r>
          </w:p>
        </w:tc>
        <w:tc>
          <w:tcPr>
            <w:tcW w:w="1244" w:type="dxa"/>
            <w:noWrap/>
            <w:vAlign w:val="center"/>
          </w:tcPr>
          <w:p w:rsidR="00B83265" w:rsidRPr="00D2182B" w:rsidRDefault="00B83265" w:rsidP="00D2182B">
            <w:pPr>
              <w:spacing w:after="0"/>
              <w:rPr>
                <w:rFonts w:ascii="Arial" w:hAnsi="Arial" w:cs="Arial"/>
              </w:rPr>
            </w:pPr>
          </w:p>
        </w:tc>
        <w:tc>
          <w:tcPr>
            <w:tcW w:w="1244" w:type="dxa"/>
            <w:noWrap/>
            <w:vAlign w:val="center"/>
          </w:tcPr>
          <w:p w:rsidR="00B83265" w:rsidRPr="00D2182B" w:rsidRDefault="00B83265" w:rsidP="00D2182B">
            <w:pPr>
              <w:spacing w:after="0"/>
              <w:rPr>
                <w:rFonts w:ascii="Arial" w:hAnsi="Arial" w:cs="Arial"/>
              </w:rPr>
            </w:pPr>
          </w:p>
        </w:tc>
        <w:tc>
          <w:tcPr>
            <w:tcW w:w="1245" w:type="dxa"/>
            <w:vAlign w:val="center"/>
          </w:tcPr>
          <w:p w:rsidR="00B83265" w:rsidRPr="00D2182B" w:rsidRDefault="00B83265" w:rsidP="00D2182B">
            <w:pPr>
              <w:spacing w:after="0"/>
              <w:rPr>
                <w:rFonts w:ascii="Arial" w:hAnsi="Arial" w:cs="Arial"/>
              </w:rPr>
            </w:pPr>
          </w:p>
        </w:tc>
      </w:tr>
      <w:tr w:rsidR="00B83265" w:rsidRPr="00D2182B" w:rsidTr="00D2182B">
        <w:trPr>
          <w:trHeight w:val="264"/>
        </w:trPr>
        <w:tc>
          <w:tcPr>
            <w:tcW w:w="2405" w:type="dxa"/>
            <w:noWrap/>
            <w:vAlign w:val="center"/>
          </w:tcPr>
          <w:p w:rsidR="00B83265" w:rsidRPr="00D2182B" w:rsidRDefault="00B83265" w:rsidP="00D2182B">
            <w:pPr>
              <w:spacing w:after="0"/>
              <w:rPr>
                <w:rFonts w:ascii="Arial" w:hAnsi="Arial" w:cs="Arial"/>
              </w:rPr>
            </w:pPr>
            <w:r w:rsidRPr="00D2182B">
              <w:rPr>
                <w:rFonts w:ascii="Arial" w:hAnsi="Arial" w:cs="Arial"/>
              </w:rPr>
              <w:t>1 year</w:t>
            </w:r>
          </w:p>
        </w:tc>
        <w:tc>
          <w:tcPr>
            <w:tcW w:w="1244" w:type="dxa"/>
            <w:noWrap/>
            <w:vAlign w:val="center"/>
          </w:tcPr>
          <w:p w:rsidR="00B83265" w:rsidRPr="00D2182B" w:rsidRDefault="00B83265" w:rsidP="00D2182B">
            <w:pPr>
              <w:spacing w:after="0"/>
              <w:rPr>
                <w:rFonts w:ascii="Arial" w:hAnsi="Arial" w:cs="Arial"/>
              </w:rPr>
            </w:pPr>
            <w:r w:rsidRPr="00D2182B">
              <w:rPr>
                <w:rFonts w:ascii="Arial" w:hAnsi="Arial" w:cs="Arial"/>
              </w:rPr>
              <w:t>62.5%</w:t>
            </w:r>
          </w:p>
        </w:tc>
        <w:tc>
          <w:tcPr>
            <w:tcW w:w="1244" w:type="dxa"/>
            <w:noWrap/>
            <w:vAlign w:val="center"/>
          </w:tcPr>
          <w:p w:rsidR="00B83265" w:rsidRPr="00D2182B" w:rsidRDefault="00B83265" w:rsidP="00D2182B">
            <w:pPr>
              <w:spacing w:after="0"/>
              <w:rPr>
                <w:rFonts w:ascii="Arial" w:hAnsi="Arial" w:cs="Arial"/>
              </w:rPr>
            </w:pPr>
            <w:r w:rsidRPr="00D2182B">
              <w:rPr>
                <w:rFonts w:ascii="Arial" w:hAnsi="Arial" w:cs="Arial"/>
              </w:rPr>
              <w:t>66.6%</w:t>
            </w:r>
          </w:p>
        </w:tc>
        <w:tc>
          <w:tcPr>
            <w:tcW w:w="1245" w:type="dxa"/>
            <w:noWrap/>
            <w:vAlign w:val="center"/>
          </w:tcPr>
          <w:p w:rsidR="00B83265" w:rsidRPr="00D2182B" w:rsidRDefault="00B83265" w:rsidP="00D2182B">
            <w:pPr>
              <w:spacing w:after="0"/>
              <w:rPr>
                <w:rFonts w:ascii="Arial" w:hAnsi="Arial" w:cs="Arial"/>
              </w:rPr>
            </w:pPr>
          </w:p>
        </w:tc>
        <w:tc>
          <w:tcPr>
            <w:tcW w:w="1244" w:type="dxa"/>
            <w:noWrap/>
            <w:vAlign w:val="center"/>
          </w:tcPr>
          <w:p w:rsidR="00B83265" w:rsidRPr="00D2182B" w:rsidRDefault="00B83265" w:rsidP="00D2182B">
            <w:pPr>
              <w:spacing w:after="0"/>
              <w:rPr>
                <w:rFonts w:ascii="Arial" w:hAnsi="Arial" w:cs="Arial"/>
              </w:rPr>
            </w:pPr>
          </w:p>
        </w:tc>
        <w:tc>
          <w:tcPr>
            <w:tcW w:w="1244" w:type="dxa"/>
            <w:noWrap/>
            <w:vAlign w:val="center"/>
          </w:tcPr>
          <w:p w:rsidR="00B83265" w:rsidRPr="00D2182B" w:rsidRDefault="00B83265" w:rsidP="00D2182B">
            <w:pPr>
              <w:spacing w:after="0"/>
              <w:rPr>
                <w:rFonts w:ascii="Arial" w:hAnsi="Arial" w:cs="Arial"/>
              </w:rPr>
            </w:pPr>
          </w:p>
        </w:tc>
        <w:tc>
          <w:tcPr>
            <w:tcW w:w="1245" w:type="dxa"/>
            <w:vAlign w:val="center"/>
          </w:tcPr>
          <w:p w:rsidR="00B83265" w:rsidRPr="00D2182B" w:rsidRDefault="00B83265" w:rsidP="00D2182B">
            <w:pPr>
              <w:spacing w:after="0"/>
              <w:rPr>
                <w:rFonts w:ascii="Arial" w:hAnsi="Arial" w:cs="Arial"/>
              </w:rPr>
            </w:pPr>
          </w:p>
        </w:tc>
      </w:tr>
    </w:tbl>
    <w:p w:rsidR="00B83265" w:rsidRDefault="00B83265" w:rsidP="00B83265">
      <w:pPr>
        <w:spacing w:after="240"/>
        <w:rPr>
          <w:rFonts w:cstheme="minorHAnsi"/>
        </w:rPr>
      </w:pPr>
    </w:p>
    <w:p w:rsidR="00B83265" w:rsidRPr="002817DE" w:rsidRDefault="00B83265" w:rsidP="002817DE">
      <w:pPr>
        <w:pStyle w:val="Heading2"/>
      </w:pPr>
      <w:bookmarkStart w:id="66" w:name="_Toc121151438"/>
      <w:r w:rsidRPr="002817DE">
        <w:t>Slide 56: Participants aged 15 and over – Social, community and civic participation</w:t>
      </w:r>
      <w:bookmarkEnd w:id="66"/>
    </w:p>
    <w:p w:rsidR="00B83265" w:rsidRPr="00AF6AB4" w:rsidRDefault="00B83265" w:rsidP="00B83265">
      <w:pPr>
        <w:spacing w:after="240"/>
        <w:rPr>
          <w:b/>
        </w:rPr>
      </w:pPr>
      <w:r w:rsidRPr="00AF6AB4">
        <w:rPr>
          <w:b/>
        </w:rPr>
        <w:t>% who spend their free time doing activities that interest them</w:t>
      </w:r>
    </w:p>
    <w:p w:rsidR="00B83265" w:rsidRPr="00AF6AB4" w:rsidRDefault="00B83265" w:rsidP="00B83265">
      <w:pPr>
        <w:spacing w:after="240"/>
      </w:pPr>
      <w:r w:rsidRPr="00AF6AB4">
        <w:t>For all cohorts, improvements over time have been observed for the percentage who spend their free time doing activities that interest them – for example, 8.4 percentage points between baseline (71.9%) and fifth review (80.3%) for cohort 5.</w:t>
      </w:r>
    </w:p>
    <w:p w:rsidR="00B83265" w:rsidRPr="00AF6AB4" w:rsidRDefault="00B83265" w:rsidP="00B83265">
      <w:pPr>
        <w:spacing w:after="240"/>
      </w:pPr>
      <w:r w:rsidRPr="00AF6AB4">
        <w:t>While trends are fairly consistent across age groups, a higher percentage of the younger age group that has transitioned up into the</w:t>
      </w:r>
      <w:r>
        <w:t xml:space="preserve"> </w:t>
      </w:r>
      <w:r w:rsidRPr="00AF6AB4">
        <w:t>15-24 group (S-14/15-24) report spending their free time doing</w:t>
      </w:r>
      <w:r>
        <w:t xml:space="preserve"> </w:t>
      </w:r>
      <w:r w:rsidRPr="00AF6AB4">
        <w:t>activities that interest them. For example, 84.7% of the S-14/15-24 spend their free time doing</w:t>
      </w:r>
      <w:r>
        <w:t xml:space="preserve"> </w:t>
      </w:r>
      <w:r w:rsidRPr="00AF6AB4">
        <w:t>activities that interest them at fourth review (Cohort 4), compared to 75.4% of participants in the</w:t>
      </w:r>
      <w:r>
        <w:t xml:space="preserve"> </w:t>
      </w:r>
      <w:r w:rsidRPr="00AF6AB4">
        <w:t>25+ age group.</w:t>
      </w:r>
    </w:p>
    <w:p w:rsidR="00412BE9" w:rsidRDefault="00B83265" w:rsidP="00412BE9">
      <w:pPr>
        <w:spacing w:after="240"/>
        <w:rPr>
          <w:rFonts w:cstheme="minorHAnsi"/>
        </w:rPr>
      </w:pPr>
      <w:r>
        <w:rPr>
          <w:rFonts w:cstheme="minorHAnsi"/>
        </w:rPr>
        <w:t xml:space="preserve">Five charts shows </w:t>
      </w:r>
      <w:r w:rsidRPr="00AD4C8D">
        <w:rPr>
          <w:rFonts w:cstheme="minorHAnsi"/>
        </w:rPr>
        <w:t xml:space="preserve">the percentage </w:t>
      </w:r>
      <w:r w:rsidRPr="00AF6AB4">
        <w:rPr>
          <w:rFonts w:cstheme="minorHAnsi"/>
        </w:rPr>
        <w:t>who spend their free time doing activities that interest them</w:t>
      </w:r>
      <w:r>
        <w:rPr>
          <w:rFonts w:cstheme="minorHAnsi"/>
        </w:rPr>
        <w:t xml:space="preserve"> </w:t>
      </w:r>
      <w:r w:rsidRPr="00AD4C8D">
        <w:rPr>
          <w:rFonts w:cstheme="minorHAnsi"/>
        </w:rPr>
        <w:t>at baseline and at subsequent reviews</w:t>
      </w:r>
      <w:r w:rsidR="00412BE9" w:rsidRPr="00715092">
        <w:rPr>
          <w:rFonts w:cstheme="minorHAnsi"/>
        </w:rPr>
        <w:t xml:space="preserve">, separately for participants in the </w:t>
      </w:r>
      <w:r w:rsidR="00412BE9">
        <w:rPr>
          <w:rFonts w:cstheme="minorHAnsi"/>
        </w:rPr>
        <w:t xml:space="preserve">five years, </w:t>
      </w:r>
      <w:r w:rsidR="00412BE9" w:rsidRPr="00715092">
        <w:rPr>
          <w:rFonts w:cstheme="minorHAnsi"/>
        </w:rPr>
        <w:t>four years, three years, two years or one year</w:t>
      </w:r>
      <w:r w:rsidR="00412BE9">
        <w:rPr>
          <w:rFonts w:cstheme="minorHAnsi"/>
        </w:rPr>
        <w:t xml:space="preserve"> cohorts</w:t>
      </w:r>
      <w:r w:rsidR="00412BE9" w:rsidRPr="00715092">
        <w:rPr>
          <w:rFonts w:cstheme="minorHAnsi"/>
        </w:rPr>
        <w:t>.</w:t>
      </w:r>
      <w:r w:rsidR="00412BE9">
        <w:rPr>
          <w:rFonts w:cstheme="minorHAnsi"/>
        </w:rPr>
        <w:t xml:space="preserve"> Separate lines on each chart show results for all participants, and for participants in the S-14/15-24, 15-24, 15-24/25+ and 25+ age groups.</w:t>
      </w:r>
    </w:p>
    <w:p w:rsidR="00412BE9" w:rsidRDefault="00412BE9" w:rsidP="00412BE9">
      <w:pPr>
        <w:spacing w:after="240"/>
        <w:rPr>
          <w:rFonts w:cstheme="minorHAnsi"/>
        </w:rPr>
      </w:pPr>
      <w:r>
        <w:rPr>
          <w:rFonts w:cstheme="minorHAnsi"/>
        </w:rPr>
        <w:t>For PSto14, analysed by time since first in P15to24, otherwise by time in Scheme.</w:t>
      </w:r>
    </w:p>
    <w:p w:rsidR="00412BE9" w:rsidRDefault="00412BE9" w:rsidP="00412BE9">
      <w:pPr>
        <w:spacing w:after="240"/>
        <w:rPr>
          <w:rFonts w:cstheme="minorHAnsi"/>
        </w:rPr>
      </w:pPr>
      <w:r>
        <w:rPr>
          <w:rFonts w:cstheme="minorHAnsi"/>
        </w:rPr>
        <w:t>This indicator improved.</w:t>
      </w:r>
    </w:p>
    <w:p w:rsidR="00412BE9" w:rsidRDefault="00412BE9" w:rsidP="00412BE9">
      <w:pPr>
        <w:spacing w:after="240"/>
        <w:rPr>
          <w:rFonts w:cstheme="minorHAnsi"/>
        </w:rPr>
      </w:pPr>
      <w:r>
        <w:rPr>
          <w:rFonts w:cstheme="minorHAnsi"/>
        </w:rPr>
        <w:t>Results for all participants are labelled on the charts:</w:t>
      </w:r>
    </w:p>
    <w:tbl>
      <w:tblPr>
        <w:tblW w:w="9204" w:type="dxa"/>
        <w:tblLook w:val="04A0" w:firstRow="1" w:lastRow="0" w:firstColumn="1" w:lastColumn="0" w:noHBand="0" w:noVBand="1"/>
      </w:tblPr>
      <w:tblGrid>
        <w:gridCol w:w="1500"/>
        <w:gridCol w:w="1325"/>
        <w:gridCol w:w="1276"/>
        <w:gridCol w:w="1276"/>
        <w:gridCol w:w="1276"/>
        <w:gridCol w:w="1275"/>
        <w:gridCol w:w="1276"/>
      </w:tblGrid>
      <w:tr w:rsidR="00550D6D" w:rsidRPr="00AD165E" w:rsidTr="00632614">
        <w:trPr>
          <w:trHeight w:val="285"/>
        </w:trPr>
        <w:tc>
          <w:tcPr>
            <w:tcW w:w="1500" w:type="dxa"/>
            <w:tcBorders>
              <w:top w:val="single" w:sz="8" w:space="0" w:color="auto"/>
              <w:left w:val="single" w:sz="8" w:space="0" w:color="auto"/>
              <w:bottom w:val="single" w:sz="8" w:space="0" w:color="auto"/>
              <w:right w:val="nil"/>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Cohort</w:t>
            </w:r>
          </w:p>
        </w:tc>
        <w:tc>
          <w:tcPr>
            <w:tcW w:w="13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B</w:t>
            </w:r>
            <w:r>
              <w:rPr>
                <w:rFonts w:ascii="Arial" w:eastAsia="Times New Roman" w:hAnsi="Arial" w:cs="Arial"/>
                <w:b/>
                <w:bCs/>
                <w:color w:val="000000"/>
                <w:lang w:eastAsia="en-AU"/>
              </w:rPr>
              <w:t>aseline</w:t>
            </w:r>
          </w:p>
        </w:tc>
        <w:tc>
          <w:tcPr>
            <w:tcW w:w="1276" w:type="dxa"/>
            <w:tcBorders>
              <w:top w:val="single" w:sz="8" w:space="0" w:color="auto"/>
              <w:left w:val="nil"/>
              <w:bottom w:val="single" w:sz="8" w:space="0" w:color="auto"/>
              <w:right w:val="nil"/>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1</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2</w:t>
            </w:r>
          </w:p>
        </w:tc>
        <w:tc>
          <w:tcPr>
            <w:tcW w:w="1276" w:type="dxa"/>
            <w:tcBorders>
              <w:top w:val="single" w:sz="8" w:space="0" w:color="auto"/>
              <w:left w:val="nil"/>
              <w:bottom w:val="single" w:sz="8" w:space="0" w:color="auto"/>
              <w:right w:val="nil"/>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3</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4</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5</w:t>
            </w:r>
          </w:p>
        </w:tc>
      </w:tr>
      <w:tr w:rsidR="007F5779"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7F5779" w:rsidRPr="00AD165E" w:rsidRDefault="007F5779" w:rsidP="007F5779">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lastRenderedPageBreak/>
              <w:t>5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7F5779" w:rsidRPr="007F5779" w:rsidRDefault="007F5779" w:rsidP="007F5779">
            <w:pPr>
              <w:spacing w:after="0"/>
              <w:rPr>
                <w:rFonts w:ascii="Arial" w:hAnsi="Arial" w:cs="Arial"/>
              </w:rPr>
            </w:pPr>
            <w:r w:rsidRPr="007F5779">
              <w:rPr>
                <w:rFonts w:ascii="Arial" w:hAnsi="Arial" w:cs="Arial"/>
              </w:rPr>
              <w:t>72%</w:t>
            </w:r>
          </w:p>
        </w:tc>
        <w:tc>
          <w:tcPr>
            <w:tcW w:w="1276" w:type="dxa"/>
            <w:tcBorders>
              <w:top w:val="nil"/>
              <w:left w:val="nil"/>
              <w:bottom w:val="single" w:sz="4" w:space="0" w:color="auto"/>
              <w:right w:val="nil"/>
            </w:tcBorders>
            <w:shd w:val="clear" w:color="auto" w:fill="auto"/>
            <w:noWrap/>
            <w:vAlign w:val="center"/>
            <w:hideMark/>
          </w:tcPr>
          <w:p w:rsidR="007F5779" w:rsidRPr="007F5779" w:rsidRDefault="007F5779" w:rsidP="007F5779">
            <w:pPr>
              <w:spacing w:after="0"/>
              <w:rPr>
                <w:rFonts w:ascii="Arial" w:hAnsi="Arial" w:cs="Arial"/>
              </w:rPr>
            </w:pPr>
            <w:r w:rsidRPr="007F5779">
              <w:rPr>
                <w:rFonts w:ascii="Arial" w:hAnsi="Arial" w:cs="Arial"/>
              </w:rPr>
              <w:t>76%</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7F5779" w:rsidRPr="007F5779" w:rsidRDefault="007F5779" w:rsidP="007F5779">
            <w:pPr>
              <w:spacing w:after="0"/>
              <w:rPr>
                <w:rFonts w:ascii="Arial" w:hAnsi="Arial" w:cs="Arial"/>
              </w:rPr>
            </w:pPr>
            <w:r w:rsidRPr="007F5779">
              <w:rPr>
                <w:rFonts w:ascii="Arial" w:hAnsi="Arial" w:cs="Arial"/>
              </w:rPr>
              <w:t>78%</w:t>
            </w:r>
          </w:p>
        </w:tc>
        <w:tc>
          <w:tcPr>
            <w:tcW w:w="1276" w:type="dxa"/>
            <w:tcBorders>
              <w:top w:val="nil"/>
              <w:left w:val="nil"/>
              <w:bottom w:val="single" w:sz="4" w:space="0" w:color="auto"/>
              <w:right w:val="nil"/>
            </w:tcBorders>
            <w:shd w:val="clear" w:color="auto" w:fill="auto"/>
            <w:noWrap/>
            <w:vAlign w:val="center"/>
            <w:hideMark/>
          </w:tcPr>
          <w:p w:rsidR="007F5779" w:rsidRPr="007F5779" w:rsidRDefault="007F5779" w:rsidP="007F5779">
            <w:pPr>
              <w:spacing w:after="0"/>
              <w:rPr>
                <w:rFonts w:ascii="Arial" w:hAnsi="Arial" w:cs="Arial"/>
              </w:rPr>
            </w:pPr>
            <w:r w:rsidRPr="007F5779">
              <w:rPr>
                <w:rFonts w:ascii="Arial" w:hAnsi="Arial" w:cs="Arial"/>
              </w:rPr>
              <w:t>79%</w:t>
            </w: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7F5779" w:rsidRPr="007F5779" w:rsidRDefault="007F5779" w:rsidP="007F5779">
            <w:pPr>
              <w:spacing w:after="0"/>
              <w:rPr>
                <w:rFonts w:ascii="Arial" w:hAnsi="Arial" w:cs="Arial"/>
              </w:rPr>
            </w:pPr>
            <w:r w:rsidRPr="007F5779">
              <w:rPr>
                <w:rFonts w:ascii="Arial" w:hAnsi="Arial" w:cs="Arial"/>
              </w:rPr>
              <w:t>78%</w:t>
            </w:r>
          </w:p>
        </w:tc>
        <w:tc>
          <w:tcPr>
            <w:tcW w:w="1276" w:type="dxa"/>
            <w:tcBorders>
              <w:top w:val="nil"/>
              <w:left w:val="nil"/>
              <w:bottom w:val="single" w:sz="4" w:space="0" w:color="auto"/>
              <w:right w:val="single" w:sz="8" w:space="0" w:color="auto"/>
            </w:tcBorders>
            <w:shd w:val="clear" w:color="auto" w:fill="auto"/>
            <w:noWrap/>
            <w:vAlign w:val="center"/>
            <w:hideMark/>
          </w:tcPr>
          <w:p w:rsidR="007F5779" w:rsidRPr="007F5779" w:rsidRDefault="007F5779" w:rsidP="007F5779">
            <w:pPr>
              <w:spacing w:after="0"/>
              <w:rPr>
                <w:rFonts w:ascii="Arial" w:hAnsi="Arial" w:cs="Arial"/>
              </w:rPr>
            </w:pPr>
            <w:r w:rsidRPr="007F5779">
              <w:rPr>
                <w:rFonts w:ascii="Arial" w:hAnsi="Arial" w:cs="Arial"/>
              </w:rPr>
              <w:t>80%</w:t>
            </w:r>
          </w:p>
        </w:tc>
      </w:tr>
      <w:tr w:rsidR="007F5779"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7F5779" w:rsidRPr="00AD165E" w:rsidRDefault="007F5779" w:rsidP="007F5779">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4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7F5779" w:rsidRPr="007F5779" w:rsidRDefault="007F5779" w:rsidP="007F5779">
            <w:pPr>
              <w:spacing w:after="0"/>
              <w:rPr>
                <w:rFonts w:ascii="Arial" w:hAnsi="Arial" w:cs="Arial"/>
              </w:rPr>
            </w:pPr>
            <w:r w:rsidRPr="007F5779">
              <w:rPr>
                <w:rFonts w:ascii="Arial" w:hAnsi="Arial" w:cs="Arial"/>
              </w:rPr>
              <w:t>69%</w:t>
            </w:r>
          </w:p>
        </w:tc>
        <w:tc>
          <w:tcPr>
            <w:tcW w:w="1276" w:type="dxa"/>
            <w:tcBorders>
              <w:top w:val="nil"/>
              <w:left w:val="nil"/>
              <w:bottom w:val="single" w:sz="4" w:space="0" w:color="auto"/>
              <w:right w:val="nil"/>
            </w:tcBorders>
            <w:shd w:val="clear" w:color="auto" w:fill="auto"/>
            <w:noWrap/>
            <w:vAlign w:val="center"/>
            <w:hideMark/>
          </w:tcPr>
          <w:p w:rsidR="007F5779" w:rsidRPr="007F5779" w:rsidRDefault="007F5779" w:rsidP="007F5779">
            <w:pPr>
              <w:spacing w:after="0"/>
              <w:rPr>
                <w:rFonts w:ascii="Arial" w:hAnsi="Arial" w:cs="Arial"/>
              </w:rPr>
            </w:pPr>
            <w:r w:rsidRPr="007F5779">
              <w:rPr>
                <w:rFonts w:ascii="Arial" w:hAnsi="Arial" w:cs="Arial"/>
              </w:rPr>
              <w:t>73%</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7F5779" w:rsidRPr="007F5779" w:rsidRDefault="007F5779" w:rsidP="007F5779">
            <w:pPr>
              <w:spacing w:after="0"/>
              <w:rPr>
                <w:rFonts w:ascii="Arial" w:hAnsi="Arial" w:cs="Arial"/>
              </w:rPr>
            </w:pPr>
            <w:r w:rsidRPr="007F5779">
              <w:rPr>
                <w:rFonts w:ascii="Arial" w:hAnsi="Arial" w:cs="Arial"/>
              </w:rPr>
              <w:t>75%</w:t>
            </w:r>
          </w:p>
        </w:tc>
        <w:tc>
          <w:tcPr>
            <w:tcW w:w="1276" w:type="dxa"/>
            <w:tcBorders>
              <w:top w:val="nil"/>
              <w:left w:val="nil"/>
              <w:bottom w:val="single" w:sz="4" w:space="0" w:color="auto"/>
              <w:right w:val="nil"/>
            </w:tcBorders>
            <w:shd w:val="clear" w:color="auto" w:fill="auto"/>
            <w:noWrap/>
            <w:vAlign w:val="center"/>
            <w:hideMark/>
          </w:tcPr>
          <w:p w:rsidR="007F5779" w:rsidRPr="007F5779" w:rsidRDefault="007F5779" w:rsidP="007F5779">
            <w:pPr>
              <w:spacing w:after="0"/>
              <w:rPr>
                <w:rFonts w:ascii="Arial" w:hAnsi="Arial" w:cs="Arial"/>
              </w:rPr>
            </w:pPr>
            <w:r w:rsidRPr="007F5779">
              <w:rPr>
                <w:rFonts w:ascii="Arial" w:hAnsi="Arial" w:cs="Arial"/>
              </w:rPr>
              <w:t>76%</w:t>
            </w: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7F5779" w:rsidRPr="007F5779" w:rsidRDefault="007F5779" w:rsidP="007F5779">
            <w:pPr>
              <w:spacing w:after="0"/>
              <w:rPr>
                <w:rFonts w:ascii="Arial" w:hAnsi="Arial" w:cs="Arial"/>
              </w:rPr>
            </w:pPr>
            <w:r w:rsidRPr="007F5779">
              <w:rPr>
                <w:rFonts w:ascii="Arial" w:hAnsi="Arial" w:cs="Arial"/>
              </w:rPr>
              <w:t>77%</w:t>
            </w:r>
          </w:p>
        </w:tc>
        <w:tc>
          <w:tcPr>
            <w:tcW w:w="1276" w:type="dxa"/>
            <w:tcBorders>
              <w:top w:val="nil"/>
              <w:left w:val="nil"/>
              <w:bottom w:val="single" w:sz="4" w:space="0" w:color="auto"/>
              <w:right w:val="single" w:sz="8" w:space="0" w:color="auto"/>
            </w:tcBorders>
            <w:shd w:val="clear" w:color="auto" w:fill="auto"/>
            <w:noWrap/>
            <w:hideMark/>
          </w:tcPr>
          <w:p w:rsidR="007F5779" w:rsidRPr="007F5779" w:rsidRDefault="007F5779" w:rsidP="007F5779">
            <w:pPr>
              <w:spacing w:after="0" w:line="240" w:lineRule="auto"/>
              <w:rPr>
                <w:rFonts w:ascii="Arial" w:eastAsia="Times New Roman" w:hAnsi="Arial" w:cs="Arial"/>
                <w:color w:val="000000"/>
                <w:lang w:eastAsia="en-AU"/>
              </w:rPr>
            </w:pPr>
          </w:p>
        </w:tc>
      </w:tr>
      <w:tr w:rsidR="007F5779"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7F5779" w:rsidRPr="00AD165E" w:rsidRDefault="007F5779" w:rsidP="007F5779">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3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7F5779" w:rsidRPr="007F5779" w:rsidRDefault="007F5779" w:rsidP="007F5779">
            <w:pPr>
              <w:spacing w:after="0"/>
              <w:rPr>
                <w:rFonts w:ascii="Arial" w:hAnsi="Arial" w:cs="Arial"/>
              </w:rPr>
            </w:pPr>
            <w:r w:rsidRPr="007F5779">
              <w:rPr>
                <w:rFonts w:ascii="Arial" w:hAnsi="Arial" w:cs="Arial"/>
              </w:rPr>
              <w:t>66%</w:t>
            </w:r>
          </w:p>
        </w:tc>
        <w:tc>
          <w:tcPr>
            <w:tcW w:w="1276" w:type="dxa"/>
            <w:tcBorders>
              <w:top w:val="nil"/>
              <w:left w:val="nil"/>
              <w:bottom w:val="single" w:sz="4" w:space="0" w:color="auto"/>
              <w:right w:val="nil"/>
            </w:tcBorders>
            <w:shd w:val="clear" w:color="auto" w:fill="auto"/>
            <w:noWrap/>
            <w:vAlign w:val="center"/>
            <w:hideMark/>
          </w:tcPr>
          <w:p w:rsidR="007F5779" w:rsidRPr="007F5779" w:rsidRDefault="007F5779" w:rsidP="007F5779">
            <w:pPr>
              <w:spacing w:after="0"/>
              <w:rPr>
                <w:rFonts w:ascii="Arial" w:hAnsi="Arial" w:cs="Arial"/>
              </w:rPr>
            </w:pPr>
            <w:r w:rsidRPr="007F5779">
              <w:rPr>
                <w:rFonts w:ascii="Arial" w:hAnsi="Arial" w:cs="Arial"/>
              </w:rPr>
              <w:t>71%</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7F5779" w:rsidRPr="007F5779" w:rsidRDefault="007F5779" w:rsidP="007F5779">
            <w:pPr>
              <w:spacing w:after="0"/>
              <w:rPr>
                <w:rFonts w:ascii="Arial" w:hAnsi="Arial" w:cs="Arial"/>
              </w:rPr>
            </w:pPr>
            <w:r w:rsidRPr="007F5779">
              <w:rPr>
                <w:rFonts w:ascii="Arial" w:hAnsi="Arial" w:cs="Arial"/>
              </w:rPr>
              <w:t>72%</w:t>
            </w:r>
          </w:p>
        </w:tc>
        <w:tc>
          <w:tcPr>
            <w:tcW w:w="1276" w:type="dxa"/>
            <w:tcBorders>
              <w:top w:val="nil"/>
              <w:left w:val="nil"/>
              <w:bottom w:val="single" w:sz="4" w:space="0" w:color="auto"/>
              <w:right w:val="nil"/>
            </w:tcBorders>
            <w:shd w:val="clear" w:color="auto" w:fill="auto"/>
            <w:noWrap/>
            <w:vAlign w:val="center"/>
            <w:hideMark/>
          </w:tcPr>
          <w:p w:rsidR="007F5779" w:rsidRPr="007F5779" w:rsidRDefault="007F5779" w:rsidP="007F5779">
            <w:pPr>
              <w:spacing w:after="0"/>
              <w:rPr>
                <w:rFonts w:ascii="Arial" w:hAnsi="Arial" w:cs="Arial"/>
              </w:rPr>
            </w:pPr>
            <w:r w:rsidRPr="007F5779">
              <w:rPr>
                <w:rFonts w:ascii="Arial" w:hAnsi="Arial" w:cs="Arial"/>
              </w:rPr>
              <w:t>74%</w:t>
            </w:r>
          </w:p>
        </w:tc>
        <w:tc>
          <w:tcPr>
            <w:tcW w:w="1275" w:type="dxa"/>
            <w:tcBorders>
              <w:top w:val="nil"/>
              <w:left w:val="single" w:sz="8" w:space="0" w:color="auto"/>
              <w:bottom w:val="single" w:sz="4" w:space="0" w:color="auto"/>
              <w:right w:val="single" w:sz="8" w:space="0" w:color="auto"/>
            </w:tcBorders>
            <w:shd w:val="clear" w:color="auto" w:fill="auto"/>
            <w:noWrap/>
            <w:hideMark/>
          </w:tcPr>
          <w:p w:rsidR="007F5779" w:rsidRPr="007F5779" w:rsidRDefault="007F5779" w:rsidP="007F5779">
            <w:pPr>
              <w:spacing w:after="0" w:line="240" w:lineRule="auto"/>
              <w:rPr>
                <w:rFonts w:ascii="Arial" w:eastAsia="Times New Roman" w:hAnsi="Arial" w:cs="Arial"/>
                <w:color w:val="000000"/>
                <w:lang w:eastAsia="en-AU"/>
              </w:rPr>
            </w:pPr>
          </w:p>
        </w:tc>
        <w:tc>
          <w:tcPr>
            <w:tcW w:w="1276" w:type="dxa"/>
            <w:tcBorders>
              <w:top w:val="nil"/>
              <w:left w:val="nil"/>
              <w:bottom w:val="single" w:sz="4" w:space="0" w:color="auto"/>
              <w:right w:val="single" w:sz="8" w:space="0" w:color="auto"/>
            </w:tcBorders>
            <w:shd w:val="clear" w:color="auto" w:fill="auto"/>
            <w:noWrap/>
            <w:vAlign w:val="bottom"/>
            <w:hideMark/>
          </w:tcPr>
          <w:p w:rsidR="007F5779" w:rsidRPr="007F5779" w:rsidRDefault="007F5779" w:rsidP="007F5779">
            <w:pPr>
              <w:spacing w:after="0" w:line="240" w:lineRule="auto"/>
              <w:rPr>
                <w:rFonts w:ascii="Arial" w:eastAsia="Times New Roman" w:hAnsi="Arial" w:cs="Arial"/>
                <w:color w:val="000000"/>
                <w:lang w:eastAsia="en-AU"/>
              </w:rPr>
            </w:pPr>
          </w:p>
        </w:tc>
      </w:tr>
      <w:tr w:rsidR="007F5779"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7F5779" w:rsidRPr="00AD165E" w:rsidRDefault="007F5779" w:rsidP="007F5779">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2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7F5779" w:rsidRPr="007F5779" w:rsidRDefault="007F5779" w:rsidP="007F5779">
            <w:pPr>
              <w:spacing w:after="0"/>
              <w:rPr>
                <w:rFonts w:ascii="Arial" w:hAnsi="Arial" w:cs="Arial"/>
              </w:rPr>
            </w:pPr>
            <w:r w:rsidRPr="007F5779">
              <w:rPr>
                <w:rFonts w:ascii="Arial" w:hAnsi="Arial" w:cs="Arial"/>
              </w:rPr>
              <w:t>62%</w:t>
            </w:r>
          </w:p>
        </w:tc>
        <w:tc>
          <w:tcPr>
            <w:tcW w:w="1276" w:type="dxa"/>
            <w:tcBorders>
              <w:top w:val="nil"/>
              <w:left w:val="nil"/>
              <w:bottom w:val="single" w:sz="4" w:space="0" w:color="auto"/>
              <w:right w:val="nil"/>
            </w:tcBorders>
            <w:shd w:val="clear" w:color="auto" w:fill="auto"/>
            <w:noWrap/>
            <w:vAlign w:val="center"/>
            <w:hideMark/>
          </w:tcPr>
          <w:p w:rsidR="007F5779" w:rsidRPr="007F5779" w:rsidRDefault="007F5779" w:rsidP="007F5779">
            <w:pPr>
              <w:spacing w:after="0"/>
              <w:rPr>
                <w:rFonts w:ascii="Arial" w:hAnsi="Arial" w:cs="Arial"/>
              </w:rPr>
            </w:pPr>
            <w:r w:rsidRPr="007F5779">
              <w:rPr>
                <w:rFonts w:ascii="Arial" w:hAnsi="Arial" w:cs="Arial"/>
              </w:rPr>
              <w:t>67%</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7F5779" w:rsidRPr="007F5779" w:rsidRDefault="007F5779" w:rsidP="007F5779">
            <w:pPr>
              <w:spacing w:after="0"/>
              <w:rPr>
                <w:rFonts w:ascii="Arial" w:hAnsi="Arial" w:cs="Arial"/>
              </w:rPr>
            </w:pPr>
            <w:r w:rsidRPr="007F5779">
              <w:rPr>
                <w:rFonts w:ascii="Arial" w:hAnsi="Arial" w:cs="Arial"/>
              </w:rPr>
              <w:t>68%</w:t>
            </w:r>
          </w:p>
        </w:tc>
        <w:tc>
          <w:tcPr>
            <w:tcW w:w="1276" w:type="dxa"/>
            <w:tcBorders>
              <w:top w:val="nil"/>
              <w:left w:val="nil"/>
              <w:bottom w:val="single" w:sz="4" w:space="0" w:color="auto"/>
              <w:right w:val="nil"/>
            </w:tcBorders>
            <w:shd w:val="clear" w:color="auto" w:fill="auto"/>
            <w:noWrap/>
            <w:hideMark/>
          </w:tcPr>
          <w:p w:rsidR="007F5779" w:rsidRPr="007F5779" w:rsidRDefault="007F5779" w:rsidP="007F5779">
            <w:pPr>
              <w:spacing w:after="0" w:line="240" w:lineRule="auto"/>
              <w:rPr>
                <w:rFonts w:ascii="Arial" w:eastAsia="Times New Roman" w:hAnsi="Arial" w:cs="Arial"/>
                <w:color w:val="000000"/>
                <w:lang w:eastAsia="en-AU"/>
              </w:rPr>
            </w:pP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7F5779" w:rsidRPr="007F5779" w:rsidRDefault="007F5779" w:rsidP="007F5779">
            <w:pPr>
              <w:spacing w:after="0" w:line="240" w:lineRule="auto"/>
              <w:rPr>
                <w:rFonts w:ascii="Arial" w:eastAsia="Times New Roman" w:hAnsi="Arial" w:cs="Arial"/>
                <w:color w:val="000000"/>
                <w:lang w:eastAsia="en-AU"/>
              </w:rPr>
            </w:pPr>
          </w:p>
        </w:tc>
        <w:tc>
          <w:tcPr>
            <w:tcW w:w="1276" w:type="dxa"/>
            <w:tcBorders>
              <w:top w:val="nil"/>
              <w:left w:val="nil"/>
              <w:bottom w:val="single" w:sz="4" w:space="0" w:color="auto"/>
              <w:right w:val="single" w:sz="8" w:space="0" w:color="auto"/>
            </w:tcBorders>
            <w:shd w:val="clear" w:color="auto" w:fill="auto"/>
            <w:noWrap/>
            <w:vAlign w:val="center"/>
            <w:hideMark/>
          </w:tcPr>
          <w:p w:rsidR="007F5779" w:rsidRPr="007F5779" w:rsidRDefault="007F5779" w:rsidP="007F5779">
            <w:pPr>
              <w:spacing w:after="0" w:line="240" w:lineRule="auto"/>
              <w:rPr>
                <w:rFonts w:ascii="Arial" w:eastAsia="Times New Roman" w:hAnsi="Arial" w:cs="Arial"/>
                <w:color w:val="000000"/>
                <w:lang w:eastAsia="en-AU"/>
              </w:rPr>
            </w:pPr>
          </w:p>
        </w:tc>
      </w:tr>
      <w:tr w:rsidR="007F5779" w:rsidRPr="00AD165E" w:rsidTr="00632614">
        <w:trPr>
          <w:trHeight w:val="285"/>
        </w:trPr>
        <w:tc>
          <w:tcPr>
            <w:tcW w:w="1500" w:type="dxa"/>
            <w:tcBorders>
              <w:top w:val="nil"/>
              <w:left w:val="single" w:sz="8" w:space="0" w:color="auto"/>
              <w:bottom w:val="single" w:sz="8" w:space="0" w:color="auto"/>
              <w:right w:val="nil"/>
            </w:tcBorders>
            <w:shd w:val="clear" w:color="auto" w:fill="auto"/>
            <w:noWrap/>
            <w:vAlign w:val="bottom"/>
            <w:hideMark/>
          </w:tcPr>
          <w:p w:rsidR="007F5779" w:rsidRPr="00AD165E" w:rsidRDefault="007F5779" w:rsidP="007F5779">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1 year</w:t>
            </w:r>
          </w:p>
        </w:tc>
        <w:tc>
          <w:tcPr>
            <w:tcW w:w="1325" w:type="dxa"/>
            <w:tcBorders>
              <w:top w:val="nil"/>
              <w:left w:val="single" w:sz="8" w:space="0" w:color="auto"/>
              <w:bottom w:val="single" w:sz="8" w:space="0" w:color="auto"/>
              <w:right w:val="single" w:sz="8" w:space="0" w:color="auto"/>
            </w:tcBorders>
            <w:shd w:val="clear" w:color="auto" w:fill="auto"/>
            <w:noWrap/>
            <w:vAlign w:val="center"/>
            <w:hideMark/>
          </w:tcPr>
          <w:p w:rsidR="007F5779" w:rsidRPr="007F5779" w:rsidRDefault="007F5779" w:rsidP="007F5779">
            <w:pPr>
              <w:spacing w:after="0"/>
              <w:rPr>
                <w:rFonts w:ascii="Arial" w:hAnsi="Arial" w:cs="Arial"/>
              </w:rPr>
            </w:pPr>
            <w:r w:rsidRPr="007F5779">
              <w:rPr>
                <w:rFonts w:ascii="Arial" w:hAnsi="Arial" w:cs="Arial"/>
              </w:rPr>
              <w:t>58%</w:t>
            </w:r>
          </w:p>
        </w:tc>
        <w:tc>
          <w:tcPr>
            <w:tcW w:w="1276" w:type="dxa"/>
            <w:tcBorders>
              <w:top w:val="nil"/>
              <w:left w:val="nil"/>
              <w:bottom w:val="single" w:sz="8" w:space="0" w:color="auto"/>
              <w:right w:val="nil"/>
            </w:tcBorders>
            <w:shd w:val="clear" w:color="auto" w:fill="auto"/>
            <w:noWrap/>
            <w:vAlign w:val="center"/>
            <w:hideMark/>
          </w:tcPr>
          <w:p w:rsidR="007F5779" w:rsidRPr="007F5779" w:rsidRDefault="007F5779" w:rsidP="007F5779">
            <w:pPr>
              <w:spacing w:after="0"/>
              <w:rPr>
                <w:rFonts w:ascii="Arial" w:hAnsi="Arial" w:cs="Arial"/>
              </w:rPr>
            </w:pPr>
            <w:r w:rsidRPr="007F5779">
              <w:rPr>
                <w:rFonts w:ascii="Arial" w:hAnsi="Arial" w:cs="Arial"/>
              </w:rPr>
              <w:t>63%</w:t>
            </w:r>
          </w:p>
        </w:tc>
        <w:tc>
          <w:tcPr>
            <w:tcW w:w="1276" w:type="dxa"/>
            <w:tcBorders>
              <w:top w:val="nil"/>
              <w:left w:val="single" w:sz="8" w:space="0" w:color="auto"/>
              <w:bottom w:val="single" w:sz="8" w:space="0" w:color="auto"/>
              <w:right w:val="single" w:sz="8" w:space="0" w:color="auto"/>
            </w:tcBorders>
            <w:shd w:val="clear" w:color="auto" w:fill="auto"/>
            <w:noWrap/>
            <w:hideMark/>
          </w:tcPr>
          <w:p w:rsidR="007F5779" w:rsidRPr="007F5779" w:rsidRDefault="007F5779" w:rsidP="007F5779">
            <w:pPr>
              <w:spacing w:after="0" w:line="240" w:lineRule="auto"/>
              <w:rPr>
                <w:rFonts w:ascii="Arial" w:eastAsia="Times New Roman" w:hAnsi="Arial" w:cs="Arial"/>
                <w:color w:val="000000"/>
                <w:lang w:eastAsia="en-AU"/>
              </w:rPr>
            </w:pPr>
          </w:p>
        </w:tc>
        <w:tc>
          <w:tcPr>
            <w:tcW w:w="1276" w:type="dxa"/>
            <w:tcBorders>
              <w:top w:val="nil"/>
              <w:left w:val="nil"/>
              <w:bottom w:val="single" w:sz="8" w:space="0" w:color="auto"/>
              <w:right w:val="nil"/>
            </w:tcBorders>
            <w:shd w:val="clear" w:color="auto" w:fill="auto"/>
            <w:noWrap/>
            <w:vAlign w:val="center"/>
            <w:hideMark/>
          </w:tcPr>
          <w:p w:rsidR="007F5779" w:rsidRPr="007F5779" w:rsidRDefault="007F5779" w:rsidP="007F5779">
            <w:pPr>
              <w:spacing w:after="0" w:line="240" w:lineRule="auto"/>
              <w:rPr>
                <w:rFonts w:ascii="Arial" w:eastAsia="Times New Roman" w:hAnsi="Arial" w:cs="Arial"/>
                <w:color w:val="000000"/>
                <w:lang w:eastAsia="en-AU"/>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rsidR="007F5779" w:rsidRPr="007F5779" w:rsidRDefault="007F5779" w:rsidP="007F5779">
            <w:pPr>
              <w:spacing w:after="0" w:line="240" w:lineRule="auto"/>
              <w:rPr>
                <w:rFonts w:ascii="Arial" w:eastAsia="Times New Roman" w:hAnsi="Arial" w:cs="Arial"/>
                <w:color w:val="000000"/>
                <w:lang w:eastAsia="en-AU"/>
              </w:rPr>
            </w:pPr>
          </w:p>
        </w:tc>
        <w:tc>
          <w:tcPr>
            <w:tcW w:w="1276" w:type="dxa"/>
            <w:tcBorders>
              <w:top w:val="nil"/>
              <w:left w:val="nil"/>
              <w:bottom w:val="single" w:sz="8" w:space="0" w:color="auto"/>
              <w:right w:val="single" w:sz="8" w:space="0" w:color="auto"/>
            </w:tcBorders>
            <w:shd w:val="clear" w:color="auto" w:fill="auto"/>
            <w:noWrap/>
            <w:hideMark/>
          </w:tcPr>
          <w:p w:rsidR="007F5779" w:rsidRPr="007F5779" w:rsidRDefault="007F5779" w:rsidP="007F5779">
            <w:pPr>
              <w:spacing w:after="0" w:line="240" w:lineRule="auto"/>
              <w:rPr>
                <w:rFonts w:ascii="Arial" w:eastAsia="Times New Roman" w:hAnsi="Arial" w:cs="Arial"/>
                <w:color w:val="000000"/>
                <w:lang w:eastAsia="en-AU"/>
              </w:rPr>
            </w:pPr>
          </w:p>
        </w:tc>
      </w:tr>
    </w:tbl>
    <w:p w:rsidR="00550D6D" w:rsidRDefault="00550D6D" w:rsidP="00412BE9">
      <w:pPr>
        <w:spacing w:after="240"/>
        <w:rPr>
          <w:rFonts w:cstheme="minorHAnsi"/>
        </w:rPr>
      </w:pPr>
    </w:p>
    <w:p w:rsidR="00B83265" w:rsidRPr="002817DE" w:rsidRDefault="00B83265" w:rsidP="002817DE">
      <w:pPr>
        <w:pStyle w:val="Heading2"/>
      </w:pPr>
      <w:bookmarkStart w:id="67" w:name="_Toc121151439"/>
      <w:r w:rsidRPr="002817DE">
        <w:t>Slide 57: Participants aged 15 and over – Social, community and civic participation</w:t>
      </w:r>
      <w:bookmarkEnd w:id="67"/>
    </w:p>
    <w:p w:rsidR="00B83265" w:rsidRPr="00AF6AB4" w:rsidRDefault="00B83265" w:rsidP="00B83265">
      <w:pPr>
        <w:spacing w:after="240"/>
        <w:rPr>
          <w:b/>
        </w:rPr>
      </w:pPr>
      <w:r>
        <w:rPr>
          <w:b/>
        </w:rPr>
        <w:t>Actively involved in a community activity in the last 12 months</w:t>
      </w:r>
    </w:p>
    <w:p w:rsidR="00B83265" w:rsidRDefault="00B83265" w:rsidP="00B83265">
      <w:pPr>
        <w:spacing w:after="240"/>
      </w:pPr>
      <w:r>
        <w:t>The percentage of participants actively involved in a community, cultural or religious group in the last 12 months has improved across all five cohorts.</w:t>
      </w:r>
    </w:p>
    <w:p w:rsidR="00B83265" w:rsidRDefault="00B83265" w:rsidP="00B83265">
      <w:pPr>
        <w:spacing w:after="240"/>
      </w:pPr>
      <w:r>
        <w:t>For cohort 5, there has been an increase of 14.3 percentage points between baseline (34.6%) and fifth review (48.9%), including a 1.2 percentage point increase in the latest year. For Cohort 4, the percentage increased by 10.6 percentage points, from 36.5% at baseline to 47.0% at fourth review.</w:t>
      </w:r>
    </w:p>
    <w:p w:rsidR="00B83265" w:rsidRDefault="00B83265" w:rsidP="00B83265">
      <w:pPr>
        <w:spacing w:after="240"/>
      </w:pPr>
      <w:r>
        <w:t>Cohorts 1, 2 and 3 have experienced increases of 2.5, 4.9 and 7.4 percentage points, respectively. There is a fairly consistent trend across all age groups.</w:t>
      </w:r>
    </w:p>
    <w:p w:rsidR="00412BE9" w:rsidRDefault="00B83265" w:rsidP="00412BE9">
      <w:pPr>
        <w:spacing w:after="240"/>
        <w:rPr>
          <w:rFonts w:cstheme="minorHAnsi"/>
        </w:rPr>
      </w:pPr>
      <w:r>
        <w:rPr>
          <w:rFonts w:cstheme="minorHAnsi"/>
        </w:rPr>
        <w:t xml:space="preserve">Five charts shows </w:t>
      </w:r>
      <w:r w:rsidRPr="00AD4C8D">
        <w:rPr>
          <w:rFonts w:cstheme="minorHAnsi"/>
        </w:rPr>
        <w:t xml:space="preserve">the percentage </w:t>
      </w:r>
      <w:r w:rsidRPr="00AF6AB4">
        <w:rPr>
          <w:rFonts w:cstheme="minorHAnsi"/>
        </w:rPr>
        <w:t xml:space="preserve">who </w:t>
      </w:r>
      <w:r>
        <w:rPr>
          <w:rFonts w:cstheme="minorHAnsi"/>
        </w:rPr>
        <w:t>have been a</w:t>
      </w:r>
      <w:r w:rsidRPr="00AF6AB4">
        <w:rPr>
          <w:rFonts w:cstheme="minorHAnsi"/>
        </w:rPr>
        <w:t>ctively involved in a community activity in the last 12 months</w:t>
      </w:r>
      <w:r>
        <w:rPr>
          <w:rFonts w:cstheme="minorHAnsi"/>
        </w:rPr>
        <w:t xml:space="preserve"> </w:t>
      </w:r>
      <w:r w:rsidRPr="00AD4C8D">
        <w:rPr>
          <w:rFonts w:cstheme="minorHAnsi"/>
        </w:rPr>
        <w:t>at baseline and at subsequent reviews</w:t>
      </w:r>
      <w:r w:rsidR="00412BE9" w:rsidRPr="00715092">
        <w:rPr>
          <w:rFonts w:cstheme="minorHAnsi"/>
        </w:rPr>
        <w:t xml:space="preserve">, separately for participants in the </w:t>
      </w:r>
      <w:r w:rsidR="00412BE9">
        <w:rPr>
          <w:rFonts w:cstheme="minorHAnsi"/>
        </w:rPr>
        <w:t xml:space="preserve">five years, </w:t>
      </w:r>
      <w:r w:rsidR="00412BE9" w:rsidRPr="00715092">
        <w:rPr>
          <w:rFonts w:cstheme="minorHAnsi"/>
        </w:rPr>
        <w:t>four years, three years, two years or one year</w:t>
      </w:r>
      <w:r w:rsidR="00412BE9">
        <w:rPr>
          <w:rFonts w:cstheme="minorHAnsi"/>
        </w:rPr>
        <w:t xml:space="preserve"> cohorts</w:t>
      </w:r>
      <w:r w:rsidR="00412BE9" w:rsidRPr="00715092">
        <w:rPr>
          <w:rFonts w:cstheme="minorHAnsi"/>
        </w:rPr>
        <w:t>.</w:t>
      </w:r>
      <w:r w:rsidR="00412BE9">
        <w:rPr>
          <w:rFonts w:cstheme="minorHAnsi"/>
        </w:rPr>
        <w:t xml:space="preserve"> Separate lines on each chart show results for all participants, and for participants in the S-14/15-24, 15-24, 15-24/25+ and 25+ age groups.</w:t>
      </w:r>
    </w:p>
    <w:p w:rsidR="00412BE9" w:rsidRDefault="00412BE9" w:rsidP="00412BE9">
      <w:pPr>
        <w:spacing w:after="240"/>
        <w:rPr>
          <w:rFonts w:cstheme="minorHAnsi"/>
        </w:rPr>
      </w:pPr>
      <w:r>
        <w:rPr>
          <w:rFonts w:cstheme="minorHAnsi"/>
        </w:rPr>
        <w:t>For PSto14, analysed by time since first in P15to24, otherwise by time in Scheme.</w:t>
      </w:r>
    </w:p>
    <w:p w:rsidR="00412BE9" w:rsidRDefault="00412BE9" w:rsidP="00412BE9">
      <w:pPr>
        <w:spacing w:after="240"/>
        <w:rPr>
          <w:rFonts w:cstheme="minorHAnsi"/>
        </w:rPr>
      </w:pPr>
      <w:r>
        <w:rPr>
          <w:rFonts w:cstheme="minorHAnsi"/>
        </w:rPr>
        <w:t>This indicator improved.</w:t>
      </w:r>
    </w:p>
    <w:p w:rsidR="00412BE9" w:rsidRDefault="00412BE9" w:rsidP="00412BE9">
      <w:pPr>
        <w:spacing w:after="240"/>
        <w:rPr>
          <w:rFonts w:cstheme="minorHAnsi"/>
        </w:rPr>
      </w:pPr>
      <w:r>
        <w:rPr>
          <w:rFonts w:cstheme="minorHAnsi"/>
        </w:rPr>
        <w:t>Results for all participants are labelled on the charts:</w:t>
      </w:r>
    </w:p>
    <w:tbl>
      <w:tblPr>
        <w:tblW w:w="9204" w:type="dxa"/>
        <w:tblLook w:val="04A0" w:firstRow="1" w:lastRow="0" w:firstColumn="1" w:lastColumn="0" w:noHBand="0" w:noVBand="1"/>
      </w:tblPr>
      <w:tblGrid>
        <w:gridCol w:w="1500"/>
        <w:gridCol w:w="1325"/>
        <w:gridCol w:w="1276"/>
        <w:gridCol w:w="1276"/>
        <w:gridCol w:w="1276"/>
        <w:gridCol w:w="1275"/>
        <w:gridCol w:w="1276"/>
      </w:tblGrid>
      <w:tr w:rsidR="00550D6D" w:rsidRPr="00AD165E" w:rsidTr="00632614">
        <w:trPr>
          <w:trHeight w:val="285"/>
        </w:trPr>
        <w:tc>
          <w:tcPr>
            <w:tcW w:w="1500" w:type="dxa"/>
            <w:tcBorders>
              <w:top w:val="single" w:sz="8" w:space="0" w:color="auto"/>
              <w:left w:val="single" w:sz="8" w:space="0" w:color="auto"/>
              <w:bottom w:val="single" w:sz="8" w:space="0" w:color="auto"/>
              <w:right w:val="nil"/>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Cohort</w:t>
            </w:r>
          </w:p>
        </w:tc>
        <w:tc>
          <w:tcPr>
            <w:tcW w:w="13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B</w:t>
            </w:r>
            <w:r>
              <w:rPr>
                <w:rFonts w:ascii="Arial" w:eastAsia="Times New Roman" w:hAnsi="Arial" w:cs="Arial"/>
                <w:b/>
                <w:bCs/>
                <w:color w:val="000000"/>
                <w:lang w:eastAsia="en-AU"/>
              </w:rPr>
              <w:t>aseline</w:t>
            </w:r>
          </w:p>
        </w:tc>
        <w:tc>
          <w:tcPr>
            <w:tcW w:w="1276" w:type="dxa"/>
            <w:tcBorders>
              <w:top w:val="single" w:sz="8" w:space="0" w:color="auto"/>
              <w:left w:val="nil"/>
              <w:bottom w:val="single" w:sz="8" w:space="0" w:color="auto"/>
              <w:right w:val="nil"/>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1</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2</w:t>
            </w:r>
          </w:p>
        </w:tc>
        <w:tc>
          <w:tcPr>
            <w:tcW w:w="1276" w:type="dxa"/>
            <w:tcBorders>
              <w:top w:val="single" w:sz="8" w:space="0" w:color="auto"/>
              <w:left w:val="nil"/>
              <w:bottom w:val="single" w:sz="8" w:space="0" w:color="auto"/>
              <w:right w:val="nil"/>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3</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4</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5</w:t>
            </w:r>
          </w:p>
        </w:tc>
      </w:tr>
      <w:tr w:rsidR="00C716CB"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C716CB" w:rsidRPr="00AD165E" w:rsidRDefault="00C716CB" w:rsidP="00C716CB">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5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C716CB" w:rsidRPr="00C716CB" w:rsidRDefault="00C716CB" w:rsidP="00C716CB">
            <w:pPr>
              <w:spacing w:after="0"/>
              <w:rPr>
                <w:rFonts w:ascii="Arial" w:hAnsi="Arial" w:cs="Arial"/>
              </w:rPr>
            </w:pPr>
            <w:r w:rsidRPr="00C716CB">
              <w:rPr>
                <w:rFonts w:ascii="Arial" w:hAnsi="Arial" w:cs="Arial"/>
              </w:rPr>
              <w:t>35%</w:t>
            </w:r>
          </w:p>
        </w:tc>
        <w:tc>
          <w:tcPr>
            <w:tcW w:w="1276" w:type="dxa"/>
            <w:tcBorders>
              <w:top w:val="nil"/>
              <w:left w:val="nil"/>
              <w:bottom w:val="single" w:sz="4" w:space="0" w:color="auto"/>
              <w:right w:val="nil"/>
            </w:tcBorders>
            <w:shd w:val="clear" w:color="auto" w:fill="auto"/>
            <w:noWrap/>
            <w:vAlign w:val="center"/>
            <w:hideMark/>
          </w:tcPr>
          <w:p w:rsidR="00C716CB" w:rsidRPr="00C716CB" w:rsidRDefault="00C716CB" w:rsidP="00C716CB">
            <w:pPr>
              <w:spacing w:after="0"/>
              <w:rPr>
                <w:rFonts w:ascii="Arial" w:hAnsi="Arial" w:cs="Arial"/>
              </w:rPr>
            </w:pPr>
            <w:r w:rsidRPr="00C716CB">
              <w:rPr>
                <w:rFonts w:ascii="Arial" w:hAnsi="Arial" w:cs="Arial"/>
              </w:rPr>
              <w:t>40%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C716CB" w:rsidRPr="00C716CB" w:rsidRDefault="00C716CB" w:rsidP="00C716CB">
            <w:pPr>
              <w:spacing w:after="0"/>
              <w:rPr>
                <w:rFonts w:ascii="Arial" w:hAnsi="Arial" w:cs="Arial"/>
              </w:rPr>
            </w:pPr>
            <w:r w:rsidRPr="00C716CB">
              <w:rPr>
                <w:rFonts w:ascii="Arial" w:hAnsi="Arial" w:cs="Arial"/>
              </w:rPr>
              <w:t>45%</w:t>
            </w:r>
          </w:p>
        </w:tc>
        <w:tc>
          <w:tcPr>
            <w:tcW w:w="1276" w:type="dxa"/>
            <w:tcBorders>
              <w:top w:val="nil"/>
              <w:left w:val="nil"/>
              <w:bottom w:val="single" w:sz="4" w:space="0" w:color="auto"/>
              <w:right w:val="nil"/>
            </w:tcBorders>
            <w:shd w:val="clear" w:color="auto" w:fill="auto"/>
            <w:noWrap/>
            <w:vAlign w:val="center"/>
            <w:hideMark/>
          </w:tcPr>
          <w:p w:rsidR="00C716CB" w:rsidRPr="00C716CB" w:rsidRDefault="00C716CB" w:rsidP="00C716CB">
            <w:pPr>
              <w:spacing w:after="0"/>
              <w:rPr>
                <w:rFonts w:ascii="Arial" w:hAnsi="Arial" w:cs="Arial"/>
              </w:rPr>
            </w:pPr>
            <w:r w:rsidRPr="00C716CB">
              <w:rPr>
                <w:rFonts w:ascii="Arial" w:hAnsi="Arial" w:cs="Arial"/>
              </w:rPr>
              <w:t>48%</w:t>
            </w: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C716CB" w:rsidRPr="00C716CB" w:rsidRDefault="00C716CB" w:rsidP="00C716CB">
            <w:pPr>
              <w:spacing w:after="0"/>
              <w:rPr>
                <w:rFonts w:ascii="Arial" w:hAnsi="Arial" w:cs="Arial"/>
              </w:rPr>
            </w:pPr>
            <w:r w:rsidRPr="00C716CB">
              <w:rPr>
                <w:rFonts w:ascii="Arial" w:hAnsi="Arial" w:cs="Arial"/>
              </w:rPr>
              <w:t>48%</w:t>
            </w:r>
          </w:p>
        </w:tc>
        <w:tc>
          <w:tcPr>
            <w:tcW w:w="1276" w:type="dxa"/>
            <w:tcBorders>
              <w:top w:val="nil"/>
              <w:left w:val="nil"/>
              <w:bottom w:val="single" w:sz="4" w:space="0" w:color="auto"/>
              <w:right w:val="single" w:sz="8" w:space="0" w:color="auto"/>
            </w:tcBorders>
            <w:shd w:val="clear" w:color="auto" w:fill="auto"/>
            <w:noWrap/>
            <w:vAlign w:val="center"/>
            <w:hideMark/>
          </w:tcPr>
          <w:p w:rsidR="00C716CB" w:rsidRPr="00C716CB" w:rsidRDefault="00C716CB" w:rsidP="00C716CB">
            <w:pPr>
              <w:spacing w:after="0"/>
              <w:rPr>
                <w:rFonts w:ascii="Arial" w:hAnsi="Arial" w:cs="Arial"/>
              </w:rPr>
            </w:pPr>
            <w:r w:rsidRPr="00C716CB">
              <w:rPr>
                <w:rFonts w:ascii="Arial" w:hAnsi="Arial" w:cs="Arial"/>
              </w:rPr>
              <w:t>49%</w:t>
            </w:r>
          </w:p>
        </w:tc>
      </w:tr>
      <w:tr w:rsidR="00C716CB"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C716CB" w:rsidRPr="00AD165E" w:rsidRDefault="00C716CB" w:rsidP="00C716CB">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4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C716CB" w:rsidRPr="00C716CB" w:rsidRDefault="00C716CB" w:rsidP="00C716CB">
            <w:pPr>
              <w:spacing w:after="0"/>
              <w:rPr>
                <w:rFonts w:ascii="Arial" w:hAnsi="Arial" w:cs="Arial"/>
              </w:rPr>
            </w:pPr>
            <w:r w:rsidRPr="00C716CB">
              <w:rPr>
                <w:rFonts w:ascii="Arial" w:hAnsi="Arial" w:cs="Arial"/>
              </w:rPr>
              <w:t>36%</w:t>
            </w:r>
          </w:p>
        </w:tc>
        <w:tc>
          <w:tcPr>
            <w:tcW w:w="1276" w:type="dxa"/>
            <w:tcBorders>
              <w:top w:val="nil"/>
              <w:left w:val="nil"/>
              <w:bottom w:val="single" w:sz="4" w:space="0" w:color="auto"/>
              <w:right w:val="nil"/>
            </w:tcBorders>
            <w:shd w:val="clear" w:color="auto" w:fill="auto"/>
            <w:noWrap/>
            <w:vAlign w:val="center"/>
            <w:hideMark/>
          </w:tcPr>
          <w:p w:rsidR="00C716CB" w:rsidRPr="00C716CB" w:rsidRDefault="00C716CB" w:rsidP="00C716CB">
            <w:pPr>
              <w:spacing w:after="0"/>
              <w:rPr>
                <w:rFonts w:ascii="Arial" w:hAnsi="Arial" w:cs="Arial"/>
              </w:rPr>
            </w:pPr>
            <w:r w:rsidRPr="00C716CB">
              <w:rPr>
                <w:rFonts w:ascii="Arial" w:hAnsi="Arial" w:cs="Arial"/>
              </w:rPr>
              <w:t>42%</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C716CB" w:rsidRPr="00C716CB" w:rsidRDefault="00C716CB" w:rsidP="00C716CB">
            <w:pPr>
              <w:spacing w:after="0"/>
              <w:rPr>
                <w:rFonts w:ascii="Arial" w:hAnsi="Arial" w:cs="Arial"/>
              </w:rPr>
            </w:pPr>
            <w:r w:rsidRPr="00C716CB">
              <w:rPr>
                <w:rFonts w:ascii="Arial" w:hAnsi="Arial" w:cs="Arial"/>
              </w:rPr>
              <w:t>46%</w:t>
            </w:r>
          </w:p>
        </w:tc>
        <w:tc>
          <w:tcPr>
            <w:tcW w:w="1276" w:type="dxa"/>
            <w:tcBorders>
              <w:top w:val="nil"/>
              <w:left w:val="nil"/>
              <w:bottom w:val="single" w:sz="4" w:space="0" w:color="auto"/>
              <w:right w:val="nil"/>
            </w:tcBorders>
            <w:shd w:val="clear" w:color="auto" w:fill="auto"/>
            <w:noWrap/>
            <w:vAlign w:val="center"/>
            <w:hideMark/>
          </w:tcPr>
          <w:p w:rsidR="00C716CB" w:rsidRPr="00C716CB" w:rsidRDefault="00C716CB" w:rsidP="00C716CB">
            <w:pPr>
              <w:spacing w:after="0"/>
              <w:rPr>
                <w:rFonts w:ascii="Arial" w:hAnsi="Arial" w:cs="Arial"/>
              </w:rPr>
            </w:pPr>
            <w:r w:rsidRPr="00C716CB">
              <w:rPr>
                <w:rFonts w:ascii="Arial" w:hAnsi="Arial" w:cs="Arial"/>
              </w:rPr>
              <w:t>46%</w:t>
            </w: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C716CB" w:rsidRPr="00C716CB" w:rsidRDefault="00C716CB" w:rsidP="00C716CB">
            <w:pPr>
              <w:spacing w:after="0"/>
              <w:rPr>
                <w:rFonts w:ascii="Arial" w:hAnsi="Arial" w:cs="Arial"/>
              </w:rPr>
            </w:pPr>
            <w:r w:rsidRPr="00C716CB">
              <w:rPr>
                <w:rFonts w:ascii="Arial" w:hAnsi="Arial" w:cs="Arial"/>
              </w:rPr>
              <w:t>47%</w:t>
            </w:r>
          </w:p>
        </w:tc>
        <w:tc>
          <w:tcPr>
            <w:tcW w:w="1276" w:type="dxa"/>
            <w:tcBorders>
              <w:top w:val="nil"/>
              <w:left w:val="nil"/>
              <w:bottom w:val="single" w:sz="4" w:space="0" w:color="auto"/>
              <w:right w:val="single" w:sz="8" w:space="0" w:color="auto"/>
            </w:tcBorders>
            <w:shd w:val="clear" w:color="auto" w:fill="auto"/>
            <w:noWrap/>
            <w:hideMark/>
          </w:tcPr>
          <w:p w:rsidR="00C716CB" w:rsidRPr="00C716CB" w:rsidRDefault="00C716CB" w:rsidP="00C716CB">
            <w:pPr>
              <w:spacing w:after="0" w:line="240" w:lineRule="auto"/>
              <w:rPr>
                <w:rFonts w:ascii="Arial" w:eastAsia="Times New Roman" w:hAnsi="Arial" w:cs="Arial"/>
                <w:color w:val="000000"/>
                <w:lang w:eastAsia="en-AU"/>
              </w:rPr>
            </w:pPr>
          </w:p>
        </w:tc>
      </w:tr>
      <w:tr w:rsidR="00C716CB"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C716CB" w:rsidRPr="00AD165E" w:rsidRDefault="00C716CB" w:rsidP="00C716CB">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3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C716CB" w:rsidRPr="00C716CB" w:rsidRDefault="00C716CB" w:rsidP="00C716CB">
            <w:pPr>
              <w:spacing w:after="0"/>
              <w:rPr>
                <w:rFonts w:ascii="Arial" w:hAnsi="Arial" w:cs="Arial"/>
              </w:rPr>
            </w:pPr>
            <w:r w:rsidRPr="00C716CB">
              <w:rPr>
                <w:rFonts w:ascii="Arial" w:hAnsi="Arial" w:cs="Arial"/>
              </w:rPr>
              <w:t>37%</w:t>
            </w:r>
          </w:p>
        </w:tc>
        <w:tc>
          <w:tcPr>
            <w:tcW w:w="1276" w:type="dxa"/>
            <w:tcBorders>
              <w:top w:val="nil"/>
              <w:left w:val="nil"/>
              <w:bottom w:val="single" w:sz="4" w:space="0" w:color="auto"/>
              <w:right w:val="nil"/>
            </w:tcBorders>
            <w:shd w:val="clear" w:color="auto" w:fill="auto"/>
            <w:noWrap/>
            <w:vAlign w:val="center"/>
            <w:hideMark/>
          </w:tcPr>
          <w:p w:rsidR="00C716CB" w:rsidRPr="00C716CB" w:rsidRDefault="00C716CB" w:rsidP="00C716CB">
            <w:pPr>
              <w:spacing w:after="0"/>
              <w:rPr>
                <w:rFonts w:ascii="Arial" w:hAnsi="Arial" w:cs="Arial"/>
              </w:rPr>
            </w:pPr>
            <w:r w:rsidRPr="00C716CB">
              <w:rPr>
                <w:rFonts w:ascii="Arial" w:hAnsi="Arial" w:cs="Arial"/>
              </w:rPr>
              <w:t>41%</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C716CB" w:rsidRPr="00C716CB" w:rsidRDefault="00C716CB" w:rsidP="00C716CB">
            <w:pPr>
              <w:spacing w:after="0"/>
              <w:rPr>
                <w:rFonts w:ascii="Arial" w:hAnsi="Arial" w:cs="Arial"/>
              </w:rPr>
            </w:pPr>
            <w:r w:rsidRPr="00C716CB">
              <w:rPr>
                <w:rFonts w:ascii="Arial" w:hAnsi="Arial" w:cs="Arial"/>
              </w:rPr>
              <w:t>43%</w:t>
            </w:r>
          </w:p>
        </w:tc>
        <w:tc>
          <w:tcPr>
            <w:tcW w:w="1276" w:type="dxa"/>
            <w:tcBorders>
              <w:top w:val="nil"/>
              <w:left w:val="nil"/>
              <w:bottom w:val="single" w:sz="4" w:space="0" w:color="auto"/>
              <w:right w:val="nil"/>
            </w:tcBorders>
            <w:shd w:val="clear" w:color="auto" w:fill="auto"/>
            <w:noWrap/>
            <w:vAlign w:val="center"/>
            <w:hideMark/>
          </w:tcPr>
          <w:p w:rsidR="00C716CB" w:rsidRPr="00C716CB" w:rsidRDefault="00C716CB" w:rsidP="00C716CB">
            <w:pPr>
              <w:spacing w:after="0"/>
              <w:rPr>
                <w:rFonts w:ascii="Arial" w:hAnsi="Arial" w:cs="Arial"/>
              </w:rPr>
            </w:pPr>
            <w:r w:rsidRPr="00C716CB">
              <w:rPr>
                <w:rFonts w:ascii="Arial" w:hAnsi="Arial" w:cs="Arial"/>
              </w:rPr>
              <w:t>44%</w:t>
            </w:r>
          </w:p>
        </w:tc>
        <w:tc>
          <w:tcPr>
            <w:tcW w:w="1275" w:type="dxa"/>
            <w:tcBorders>
              <w:top w:val="nil"/>
              <w:left w:val="single" w:sz="8" w:space="0" w:color="auto"/>
              <w:bottom w:val="single" w:sz="4" w:space="0" w:color="auto"/>
              <w:right w:val="single" w:sz="8" w:space="0" w:color="auto"/>
            </w:tcBorders>
            <w:shd w:val="clear" w:color="auto" w:fill="auto"/>
            <w:noWrap/>
            <w:hideMark/>
          </w:tcPr>
          <w:p w:rsidR="00C716CB" w:rsidRPr="00C716CB" w:rsidRDefault="00C716CB" w:rsidP="00C716CB">
            <w:pPr>
              <w:spacing w:after="0" w:line="240" w:lineRule="auto"/>
              <w:rPr>
                <w:rFonts w:ascii="Arial" w:eastAsia="Times New Roman" w:hAnsi="Arial" w:cs="Arial"/>
                <w:color w:val="000000"/>
                <w:lang w:eastAsia="en-AU"/>
              </w:rPr>
            </w:pPr>
          </w:p>
        </w:tc>
        <w:tc>
          <w:tcPr>
            <w:tcW w:w="1276" w:type="dxa"/>
            <w:tcBorders>
              <w:top w:val="nil"/>
              <w:left w:val="nil"/>
              <w:bottom w:val="single" w:sz="4" w:space="0" w:color="auto"/>
              <w:right w:val="single" w:sz="8" w:space="0" w:color="auto"/>
            </w:tcBorders>
            <w:shd w:val="clear" w:color="auto" w:fill="auto"/>
            <w:noWrap/>
            <w:vAlign w:val="bottom"/>
            <w:hideMark/>
          </w:tcPr>
          <w:p w:rsidR="00C716CB" w:rsidRPr="00C716CB" w:rsidRDefault="00C716CB" w:rsidP="00C716CB">
            <w:pPr>
              <w:spacing w:after="0" w:line="240" w:lineRule="auto"/>
              <w:rPr>
                <w:rFonts w:ascii="Arial" w:eastAsia="Times New Roman" w:hAnsi="Arial" w:cs="Arial"/>
                <w:color w:val="000000"/>
                <w:lang w:eastAsia="en-AU"/>
              </w:rPr>
            </w:pPr>
          </w:p>
        </w:tc>
      </w:tr>
      <w:tr w:rsidR="00C716CB"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C716CB" w:rsidRPr="00AD165E" w:rsidRDefault="00C716CB" w:rsidP="00C716CB">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2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C716CB" w:rsidRPr="00C716CB" w:rsidRDefault="00C716CB" w:rsidP="00C716CB">
            <w:pPr>
              <w:spacing w:after="0"/>
              <w:rPr>
                <w:rFonts w:ascii="Arial" w:hAnsi="Arial" w:cs="Arial"/>
              </w:rPr>
            </w:pPr>
            <w:r w:rsidRPr="00C716CB">
              <w:rPr>
                <w:rFonts w:ascii="Arial" w:hAnsi="Arial" w:cs="Arial"/>
              </w:rPr>
              <w:t>35%</w:t>
            </w:r>
          </w:p>
        </w:tc>
        <w:tc>
          <w:tcPr>
            <w:tcW w:w="1276" w:type="dxa"/>
            <w:tcBorders>
              <w:top w:val="nil"/>
              <w:left w:val="nil"/>
              <w:bottom w:val="single" w:sz="4" w:space="0" w:color="auto"/>
              <w:right w:val="nil"/>
            </w:tcBorders>
            <w:shd w:val="clear" w:color="auto" w:fill="auto"/>
            <w:noWrap/>
            <w:vAlign w:val="center"/>
            <w:hideMark/>
          </w:tcPr>
          <w:p w:rsidR="00C716CB" w:rsidRPr="00C716CB" w:rsidRDefault="00C716CB" w:rsidP="00C716CB">
            <w:pPr>
              <w:spacing w:after="0"/>
              <w:rPr>
                <w:rFonts w:ascii="Arial" w:hAnsi="Arial" w:cs="Arial"/>
              </w:rPr>
            </w:pPr>
            <w:r w:rsidRPr="00C716CB">
              <w:rPr>
                <w:rFonts w:ascii="Arial" w:hAnsi="Arial" w:cs="Arial"/>
              </w:rPr>
              <w:t>39%</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C716CB" w:rsidRPr="00C716CB" w:rsidRDefault="00C716CB" w:rsidP="00C716CB">
            <w:pPr>
              <w:spacing w:after="0"/>
              <w:rPr>
                <w:rFonts w:ascii="Arial" w:hAnsi="Arial" w:cs="Arial"/>
              </w:rPr>
            </w:pPr>
            <w:r w:rsidRPr="00C716CB">
              <w:rPr>
                <w:rFonts w:ascii="Arial" w:hAnsi="Arial" w:cs="Arial"/>
              </w:rPr>
              <w:t>40%</w:t>
            </w:r>
          </w:p>
        </w:tc>
        <w:tc>
          <w:tcPr>
            <w:tcW w:w="1276" w:type="dxa"/>
            <w:tcBorders>
              <w:top w:val="nil"/>
              <w:left w:val="nil"/>
              <w:bottom w:val="single" w:sz="4" w:space="0" w:color="auto"/>
              <w:right w:val="nil"/>
            </w:tcBorders>
            <w:shd w:val="clear" w:color="auto" w:fill="auto"/>
            <w:noWrap/>
            <w:hideMark/>
          </w:tcPr>
          <w:p w:rsidR="00C716CB" w:rsidRPr="00C716CB" w:rsidRDefault="00C716CB" w:rsidP="00C716CB">
            <w:pPr>
              <w:spacing w:after="0" w:line="240" w:lineRule="auto"/>
              <w:rPr>
                <w:rFonts w:ascii="Arial" w:eastAsia="Times New Roman" w:hAnsi="Arial" w:cs="Arial"/>
                <w:color w:val="000000"/>
                <w:lang w:eastAsia="en-AU"/>
              </w:rPr>
            </w:pP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C716CB" w:rsidRPr="00C716CB" w:rsidRDefault="00C716CB" w:rsidP="00C716CB">
            <w:pPr>
              <w:spacing w:after="0" w:line="240" w:lineRule="auto"/>
              <w:rPr>
                <w:rFonts w:ascii="Arial" w:eastAsia="Times New Roman" w:hAnsi="Arial" w:cs="Arial"/>
                <w:color w:val="000000"/>
                <w:lang w:eastAsia="en-AU"/>
              </w:rPr>
            </w:pPr>
          </w:p>
        </w:tc>
        <w:tc>
          <w:tcPr>
            <w:tcW w:w="1276" w:type="dxa"/>
            <w:tcBorders>
              <w:top w:val="nil"/>
              <w:left w:val="nil"/>
              <w:bottom w:val="single" w:sz="4" w:space="0" w:color="auto"/>
              <w:right w:val="single" w:sz="8" w:space="0" w:color="auto"/>
            </w:tcBorders>
            <w:shd w:val="clear" w:color="auto" w:fill="auto"/>
            <w:noWrap/>
            <w:vAlign w:val="center"/>
            <w:hideMark/>
          </w:tcPr>
          <w:p w:rsidR="00C716CB" w:rsidRPr="00C716CB" w:rsidRDefault="00C716CB" w:rsidP="00C716CB">
            <w:pPr>
              <w:spacing w:after="0" w:line="240" w:lineRule="auto"/>
              <w:rPr>
                <w:rFonts w:ascii="Arial" w:eastAsia="Times New Roman" w:hAnsi="Arial" w:cs="Arial"/>
                <w:color w:val="000000"/>
                <w:lang w:eastAsia="en-AU"/>
              </w:rPr>
            </w:pPr>
          </w:p>
        </w:tc>
      </w:tr>
      <w:tr w:rsidR="00C716CB" w:rsidRPr="00AD165E" w:rsidTr="00632614">
        <w:trPr>
          <w:trHeight w:val="285"/>
        </w:trPr>
        <w:tc>
          <w:tcPr>
            <w:tcW w:w="1500" w:type="dxa"/>
            <w:tcBorders>
              <w:top w:val="nil"/>
              <w:left w:val="single" w:sz="8" w:space="0" w:color="auto"/>
              <w:bottom w:val="single" w:sz="8" w:space="0" w:color="auto"/>
              <w:right w:val="nil"/>
            </w:tcBorders>
            <w:shd w:val="clear" w:color="auto" w:fill="auto"/>
            <w:noWrap/>
            <w:vAlign w:val="bottom"/>
            <w:hideMark/>
          </w:tcPr>
          <w:p w:rsidR="00C716CB" w:rsidRPr="00AD165E" w:rsidRDefault="00C716CB" w:rsidP="00C716CB">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1 year</w:t>
            </w:r>
          </w:p>
        </w:tc>
        <w:tc>
          <w:tcPr>
            <w:tcW w:w="1325" w:type="dxa"/>
            <w:tcBorders>
              <w:top w:val="nil"/>
              <w:left w:val="single" w:sz="8" w:space="0" w:color="auto"/>
              <w:bottom w:val="single" w:sz="8" w:space="0" w:color="auto"/>
              <w:right w:val="single" w:sz="8" w:space="0" w:color="auto"/>
            </w:tcBorders>
            <w:shd w:val="clear" w:color="auto" w:fill="auto"/>
            <w:noWrap/>
            <w:vAlign w:val="center"/>
            <w:hideMark/>
          </w:tcPr>
          <w:p w:rsidR="00C716CB" w:rsidRPr="00C716CB" w:rsidRDefault="00C716CB" w:rsidP="00C716CB">
            <w:pPr>
              <w:spacing w:after="0"/>
              <w:rPr>
                <w:rFonts w:ascii="Arial" w:hAnsi="Arial" w:cs="Arial"/>
              </w:rPr>
            </w:pPr>
            <w:r w:rsidRPr="00C716CB">
              <w:rPr>
                <w:rFonts w:ascii="Arial" w:hAnsi="Arial" w:cs="Arial"/>
              </w:rPr>
              <w:t>32%</w:t>
            </w:r>
          </w:p>
        </w:tc>
        <w:tc>
          <w:tcPr>
            <w:tcW w:w="1276" w:type="dxa"/>
            <w:tcBorders>
              <w:top w:val="nil"/>
              <w:left w:val="nil"/>
              <w:bottom w:val="single" w:sz="8" w:space="0" w:color="auto"/>
              <w:right w:val="nil"/>
            </w:tcBorders>
            <w:shd w:val="clear" w:color="auto" w:fill="auto"/>
            <w:noWrap/>
            <w:vAlign w:val="center"/>
            <w:hideMark/>
          </w:tcPr>
          <w:p w:rsidR="00C716CB" w:rsidRPr="00C716CB" w:rsidRDefault="00C716CB" w:rsidP="00C716CB">
            <w:pPr>
              <w:spacing w:after="0"/>
              <w:rPr>
                <w:rFonts w:ascii="Arial" w:hAnsi="Arial" w:cs="Arial"/>
              </w:rPr>
            </w:pPr>
            <w:r w:rsidRPr="00C716CB">
              <w:rPr>
                <w:rFonts w:ascii="Arial" w:hAnsi="Arial" w:cs="Arial"/>
              </w:rPr>
              <w:t>35%</w:t>
            </w:r>
          </w:p>
        </w:tc>
        <w:tc>
          <w:tcPr>
            <w:tcW w:w="1276" w:type="dxa"/>
            <w:tcBorders>
              <w:top w:val="nil"/>
              <w:left w:val="single" w:sz="8" w:space="0" w:color="auto"/>
              <w:bottom w:val="single" w:sz="8" w:space="0" w:color="auto"/>
              <w:right w:val="single" w:sz="8" w:space="0" w:color="auto"/>
            </w:tcBorders>
            <w:shd w:val="clear" w:color="auto" w:fill="auto"/>
            <w:noWrap/>
            <w:hideMark/>
          </w:tcPr>
          <w:p w:rsidR="00C716CB" w:rsidRPr="00C716CB" w:rsidRDefault="00C716CB" w:rsidP="00C716CB">
            <w:pPr>
              <w:spacing w:after="0" w:line="240" w:lineRule="auto"/>
              <w:rPr>
                <w:rFonts w:ascii="Arial" w:eastAsia="Times New Roman" w:hAnsi="Arial" w:cs="Arial"/>
                <w:color w:val="000000"/>
                <w:lang w:eastAsia="en-AU"/>
              </w:rPr>
            </w:pPr>
          </w:p>
        </w:tc>
        <w:tc>
          <w:tcPr>
            <w:tcW w:w="1276" w:type="dxa"/>
            <w:tcBorders>
              <w:top w:val="nil"/>
              <w:left w:val="nil"/>
              <w:bottom w:val="single" w:sz="8" w:space="0" w:color="auto"/>
              <w:right w:val="nil"/>
            </w:tcBorders>
            <w:shd w:val="clear" w:color="auto" w:fill="auto"/>
            <w:noWrap/>
            <w:vAlign w:val="center"/>
            <w:hideMark/>
          </w:tcPr>
          <w:p w:rsidR="00C716CB" w:rsidRPr="00C716CB" w:rsidRDefault="00C716CB" w:rsidP="00C716CB">
            <w:pPr>
              <w:spacing w:after="0" w:line="240" w:lineRule="auto"/>
              <w:rPr>
                <w:rFonts w:ascii="Arial" w:eastAsia="Times New Roman" w:hAnsi="Arial" w:cs="Arial"/>
                <w:color w:val="000000"/>
                <w:lang w:eastAsia="en-AU"/>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rsidR="00C716CB" w:rsidRPr="00C716CB" w:rsidRDefault="00C716CB" w:rsidP="00C716CB">
            <w:pPr>
              <w:spacing w:after="0" w:line="240" w:lineRule="auto"/>
              <w:rPr>
                <w:rFonts w:ascii="Arial" w:eastAsia="Times New Roman" w:hAnsi="Arial" w:cs="Arial"/>
                <w:color w:val="000000"/>
                <w:lang w:eastAsia="en-AU"/>
              </w:rPr>
            </w:pPr>
          </w:p>
        </w:tc>
        <w:tc>
          <w:tcPr>
            <w:tcW w:w="1276" w:type="dxa"/>
            <w:tcBorders>
              <w:top w:val="nil"/>
              <w:left w:val="nil"/>
              <w:bottom w:val="single" w:sz="8" w:space="0" w:color="auto"/>
              <w:right w:val="single" w:sz="8" w:space="0" w:color="auto"/>
            </w:tcBorders>
            <w:shd w:val="clear" w:color="auto" w:fill="auto"/>
            <w:noWrap/>
            <w:hideMark/>
          </w:tcPr>
          <w:p w:rsidR="00C716CB" w:rsidRPr="00C716CB" w:rsidRDefault="00C716CB" w:rsidP="00C716CB">
            <w:pPr>
              <w:spacing w:after="0" w:line="240" w:lineRule="auto"/>
              <w:rPr>
                <w:rFonts w:ascii="Arial" w:eastAsia="Times New Roman" w:hAnsi="Arial" w:cs="Arial"/>
                <w:color w:val="000000"/>
                <w:lang w:eastAsia="en-AU"/>
              </w:rPr>
            </w:pPr>
          </w:p>
        </w:tc>
      </w:tr>
    </w:tbl>
    <w:p w:rsidR="00550D6D" w:rsidRDefault="00550D6D" w:rsidP="00412BE9">
      <w:pPr>
        <w:spacing w:after="240"/>
        <w:rPr>
          <w:rFonts w:cstheme="minorHAnsi"/>
        </w:rPr>
      </w:pPr>
    </w:p>
    <w:p w:rsidR="00B83265" w:rsidRPr="002817DE" w:rsidRDefault="00B83265" w:rsidP="002817DE">
      <w:pPr>
        <w:pStyle w:val="Heading2"/>
      </w:pPr>
      <w:bookmarkStart w:id="68" w:name="_Toc121151440"/>
      <w:r w:rsidRPr="002817DE">
        <w:t>Slide 58: Participants aged 15 and over – Social, community and civic participation</w:t>
      </w:r>
      <w:bookmarkEnd w:id="68"/>
    </w:p>
    <w:p w:rsidR="00B83265" w:rsidRPr="00AF6AB4" w:rsidRDefault="00B83265" w:rsidP="00B83265">
      <w:pPr>
        <w:spacing w:after="240"/>
        <w:rPr>
          <w:b/>
        </w:rPr>
      </w:pPr>
      <w:r>
        <w:rPr>
          <w:b/>
        </w:rPr>
        <w:t>Actively involved in a community activity in the last 12 months (benchmark)</w:t>
      </w:r>
    </w:p>
    <w:p w:rsidR="00B83265" w:rsidRPr="00715092" w:rsidRDefault="00B83265" w:rsidP="00B83265">
      <w:pPr>
        <w:spacing w:after="240"/>
        <w:rPr>
          <w:rFonts w:cstheme="minorHAnsi"/>
        </w:rPr>
      </w:pPr>
      <w:r w:rsidRPr="00715092">
        <w:rPr>
          <w:rFonts w:cstheme="minorHAnsi"/>
        </w:rPr>
        <w:t xml:space="preserve">This slide benchmarks participants’ </w:t>
      </w:r>
      <w:r>
        <w:rPr>
          <w:rFonts w:cstheme="minorHAnsi"/>
        </w:rPr>
        <w:t xml:space="preserve">active involvement in community activities in the last 12 month </w:t>
      </w:r>
      <w:r w:rsidRPr="00715092">
        <w:rPr>
          <w:rFonts w:cstheme="minorHAnsi"/>
        </w:rPr>
        <w:t>relative to those of the Australian population.</w:t>
      </w:r>
    </w:p>
    <w:p w:rsidR="00B83265" w:rsidRDefault="00B83265" w:rsidP="00B83265">
      <w:pPr>
        <w:spacing w:after="240"/>
      </w:pPr>
      <w:r w:rsidRPr="00D26234">
        <w:t>Compared to the general Australian population</w:t>
      </w:r>
      <w:r w:rsidR="008E1F90">
        <w:t xml:space="preserve"> (</w:t>
      </w:r>
      <w:r w:rsidR="0080201D">
        <w:t>Footnote 1</w:t>
      </w:r>
      <w:r w:rsidR="008E1F90">
        <w:t>)</w:t>
      </w:r>
      <w:r w:rsidRPr="00D26234">
        <w:t xml:space="preserve">, a substantially </w:t>
      </w:r>
      <w:r>
        <w:t xml:space="preserve">lower percentage of NDIS </w:t>
      </w:r>
      <w:r w:rsidRPr="00D26234">
        <w:t>participants aged 15 and over have been actively involved in a community, cultural or religious group in the last 12 months (across all cohorts). After 5 years, 48.9% of participants report active</w:t>
      </w:r>
      <w:r>
        <w:t xml:space="preserve"> </w:t>
      </w:r>
      <w:r w:rsidRPr="00D26234">
        <w:lastRenderedPageBreak/>
        <w:t>involvement in a community activity in the last 12 months, which is a 14.3 percentage point</w:t>
      </w:r>
      <w:r>
        <w:t xml:space="preserve"> </w:t>
      </w:r>
      <w:r w:rsidRPr="00D26234">
        <w:t>increase; however, still well below the population benchmark of 73.6%.</w:t>
      </w:r>
    </w:p>
    <w:p w:rsidR="00B83265" w:rsidRPr="00AD4C8D" w:rsidRDefault="00B83265" w:rsidP="00B83265">
      <w:pPr>
        <w:spacing w:after="240"/>
        <w:rPr>
          <w:rFonts w:cstheme="minorHAnsi"/>
        </w:rPr>
      </w:pPr>
      <w:r>
        <w:rPr>
          <w:rFonts w:cstheme="minorHAnsi"/>
        </w:rPr>
        <w:t xml:space="preserve">A chart shows </w:t>
      </w:r>
      <w:r w:rsidRPr="00AD4C8D">
        <w:rPr>
          <w:rFonts w:cstheme="minorHAnsi"/>
        </w:rPr>
        <w:t xml:space="preserve">the percentage </w:t>
      </w:r>
      <w:r w:rsidRPr="00AF6AB4">
        <w:rPr>
          <w:rFonts w:cstheme="minorHAnsi"/>
        </w:rPr>
        <w:t xml:space="preserve">who </w:t>
      </w:r>
      <w:r>
        <w:rPr>
          <w:rFonts w:cstheme="minorHAnsi"/>
        </w:rPr>
        <w:t>have been a</w:t>
      </w:r>
      <w:r w:rsidRPr="00AF6AB4">
        <w:rPr>
          <w:rFonts w:cstheme="minorHAnsi"/>
        </w:rPr>
        <w:t>ctively involved in a community activity in the last 12 months</w:t>
      </w:r>
      <w:r>
        <w:rPr>
          <w:rFonts w:cstheme="minorHAnsi"/>
        </w:rPr>
        <w:t xml:space="preserve"> </w:t>
      </w:r>
      <w:r w:rsidRPr="00AD4C8D">
        <w:rPr>
          <w:rFonts w:cstheme="minorHAnsi"/>
        </w:rPr>
        <w:t>at baseline and at subsequent reviews, separately for participants in the five years, four years, three years, two years or one year</w:t>
      </w:r>
      <w:r w:rsidR="00C716CB">
        <w:rPr>
          <w:rFonts w:cstheme="minorHAnsi"/>
        </w:rPr>
        <w:t xml:space="preserve"> cohorts</w:t>
      </w:r>
      <w:r w:rsidRPr="00AD4C8D">
        <w:rPr>
          <w:rFonts w:cstheme="minorHAnsi"/>
        </w:rPr>
        <w:t>.</w:t>
      </w:r>
      <w:r>
        <w:rPr>
          <w:rFonts w:cstheme="minorHAnsi"/>
        </w:rPr>
        <w:t xml:space="preserve"> </w:t>
      </w:r>
      <w:r w:rsidRPr="00715092">
        <w:rPr>
          <w:rFonts w:cstheme="minorHAnsi"/>
        </w:rPr>
        <w:t>Benchmarks for the Australian population are also shown.</w:t>
      </w:r>
    </w:p>
    <w:p w:rsidR="00B83265" w:rsidRDefault="00B83265" w:rsidP="00B83265">
      <w:pPr>
        <w:spacing w:after="240"/>
        <w:rPr>
          <w:rFonts w:cstheme="minorHAnsi"/>
        </w:rPr>
      </w:pPr>
      <w:r w:rsidRPr="004059E7">
        <w:rPr>
          <w:rFonts w:cstheme="minorHAnsi"/>
        </w:rPr>
        <w:t>Actively involved in a community</w:t>
      </w:r>
      <w:r>
        <w:rPr>
          <w:rFonts w:cstheme="minorHAnsi"/>
        </w:rPr>
        <w:t xml:space="preserve"> activity in the last 12 months</w:t>
      </w:r>
      <w:r w:rsidR="00C716CB">
        <w:rPr>
          <w:rFonts w:cstheme="minorHAnsi"/>
        </w:rPr>
        <w:t>: For PSto14, analysed by time since first in P15to24, otherwise by time in Scheme.</w:t>
      </w:r>
    </w:p>
    <w:tbl>
      <w:tblPr>
        <w:tblpPr w:leftFromText="180" w:rightFromText="180" w:vertAnchor="text" w:tblpX="-147" w:tblpY="1"/>
        <w:tblOverlap w:val="never"/>
        <w:tblW w:w="9456" w:type="dxa"/>
        <w:tblLayout w:type="fixed"/>
        <w:tblLook w:val="04A0" w:firstRow="1" w:lastRow="0" w:firstColumn="1" w:lastColumn="0" w:noHBand="0" w:noVBand="1"/>
      </w:tblPr>
      <w:tblGrid>
        <w:gridCol w:w="2269"/>
        <w:gridCol w:w="1197"/>
        <w:gridCol w:w="1198"/>
        <w:gridCol w:w="1198"/>
        <w:gridCol w:w="1198"/>
        <w:gridCol w:w="1198"/>
        <w:gridCol w:w="1198"/>
      </w:tblGrid>
      <w:tr w:rsidR="00B83265" w:rsidRPr="00FD1BD6" w:rsidTr="00E15E84">
        <w:trPr>
          <w:trHeight w:val="282"/>
        </w:trPr>
        <w:tc>
          <w:tcPr>
            <w:tcW w:w="22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83265" w:rsidRPr="00FD1BD6" w:rsidRDefault="00B83265" w:rsidP="00E15E84">
            <w:pPr>
              <w:spacing w:after="0" w:line="240" w:lineRule="auto"/>
              <w:rPr>
                <w:rFonts w:ascii="Arial" w:eastAsia="Times New Roman" w:hAnsi="Arial" w:cs="Arial"/>
                <w:b/>
                <w:bCs/>
                <w:color w:val="000000"/>
                <w:lang w:eastAsia="zh-CN"/>
              </w:rPr>
            </w:pPr>
            <w:r w:rsidRPr="00FD1BD6">
              <w:rPr>
                <w:rFonts w:ascii="Arial" w:eastAsia="Times New Roman" w:hAnsi="Arial" w:cs="Arial"/>
                <w:b/>
                <w:bCs/>
                <w:color w:val="000000"/>
                <w:lang w:eastAsia="zh-CN"/>
              </w:rPr>
              <w:t>Cohort</w:t>
            </w:r>
            <w:r w:rsidR="00FD1BD6">
              <w:rPr>
                <w:rFonts w:ascii="Arial" w:eastAsia="Times New Roman" w:hAnsi="Arial" w:cs="Arial"/>
                <w:b/>
                <w:bCs/>
                <w:color w:val="000000"/>
                <w:lang w:eastAsia="zh-CN"/>
              </w:rPr>
              <w:t>/Benchmark</w:t>
            </w:r>
          </w:p>
        </w:tc>
        <w:tc>
          <w:tcPr>
            <w:tcW w:w="1197" w:type="dxa"/>
            <w:tcBorders>
              <w:top w:val="single" w:sz="4" w:space="0" w:color="auto"/>
              <w:left w:val="nil"/>
              <w:bottom w:val="single" w:sz="4" w:space="0" w:color="auto"/>
              <w:right w:val="single" w:sz="4" w:space="0" w:color="auto"/>
            </w:tcBorders>
            <w:shd w:val="clear" w:color="000000" w:fill="FFFFFF"/>
            <w:noWrap/>
            <w:vAlign w:val="center"/>
            <w:hideMark/>
          </w:tcPr>
          <w:p w:rsidR="00B83265" w:rsidRPr="00FD1BD6" w:rsidRDefault="00B83265" w:rsidP="00E15E84">
            <w:pPr>
              <w:spacing w:after="0" w:line="240" w:lineRule="auto"/>
              <w:rPr>
                <w:rFonts w:ascii="Arial" w:eastAsia="Times New Roman" w:hAnsi="Arial" w:cs="Arial"/>
                <w:b/>
                <w:bCs/>
                <w:color w:val="000000"/>
                <w:lang w:eastAsia="zh-CN"/>
              </w:rPr>
            </w:pPr>
            <w:r w:rsidRPr="00FD1BD6">
              <w:rPr>
                <w:rFonts w:ascii="Arial" w:eastAsia="Times New Roman" w:hAnsi="Arial" w:cs="Arial"/>
                <w:b/>
                <w:bCs/>
                <w:color w:val="000000"/>
                <w:lang w:eastAsia="zh-CN"/>
              </w:rPr>
              <w:t>Baseline</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B83265" w:rsidRPr="00FD1BD6" w:rsidRDefault="00B83265" w:rsidP="00E15E84">
            <w:pPr>
              <w:spacing w:after="0" w:line="240" w:lineRule="auto"/>
              <w:rPr>
                <w:rFonts w:ascii="Arial" w:eastAsia="Times New Roman" w:hAnsi="Arial" w:cs="Arial"/>
                <w:b/>
                <w:bCs/>
                <w:color w:val="000000"/>
                <w:lang w:eastAsia="zh-CN"/>
              </w:rPr>
            </w:pPr>
            <w:r w:rsidRPr="00FD1BD6">
              <w:rPr>
                <w:rFonts w:ascii="Arial" w:eastAsia="Times New Roman" w:hAnsi="Arial" w:cs="Arial"/>
                <w:b/>
                <w:bCs/>
                <w:color w:val="000000"/>
                <w:lang w:eastAsia="zh-CN"/>
              </w:rPr>
              <w:t>Review 1</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B83265" w:rsidRPr="00FD1BD6" w:rsidRDefault="00B83265" w:rsidP="00E15E84">
            <w:pPr>
              <w:spacing w:after="0" w:line="240" w:lineRule="auto"/>
              <w:rPr>
                <w:rFonts w:ascii="Arial" w:eastAsia="Times New Roman" w:hAnsi="Arial" w:cs="Arial"/>
                <w:b/>
                <w:bCs/>
                <w:color w:val="000000"/>
                <w:lang w:eastAsia="zh-CN"/>
              </w:rPr>
            </w:pPr>
            <w:r w:rsidRPr="00FD1BD6">
              <w:rPr>
                <w:rFonts w:ascii="Arial" w:eastAsia="Times New Roman" w:hAnsi="Arial" w:cs="Arial"/>
                <w:b/>
                <w:bCs/>
                <w:color w:val="000000"/>
                <w:lang w:eastAsia="zh-CN"/>
              </w:rPr>
              <w:t>Review 2</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B83265" w:rsidRPr="00FD1BD6" w:rsidRDefault="00B83265" w:rsidP="00E15E84">
            <w:pPr>
              <w:spacing w:after="0" w:line="240" w:lineRule="auto"/>
              <w:rPr>
                <w:rFonts w:ascii="Arial" w:eastAsia="Times New Roman" w:hAnsi="Arial" w:cs="Arial"/>
                <w:b/>
                <w:bCs/>
                <w:color w:val="000000"/>
                <w:lang w:eastAsia="zh-CN"/>
              </w:rPr>
            </w:pPr>
            <w:r w:rsidRPr="00FD1BD6">
              <w:rPr>
                <w:rFonts w:ascii="Arial" w:eastAsia="Times New Roman" w:hAnsi="Arial" w:cs="Arial"/>
                <w:b/>
                <w:bCs/>
                <w:color w:val="000000"/>
                <w:lang w:eastAsia="zh-CN"/>
              </w:rPr>
              <w:t>Review 3</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B83265" w:rsidRPr="00FD1BD6" w:rsidRDefault="00B83265" w:rsidP="00E15E84">
            <w:pPr>
              <w:spacing w:after="0" w:line="240" w:lineRule="auto"/>
              <w:rPr>
                <w:rFonts w:ascii="Arial" w:eastAsia="Times New Roman" w:hAnsi="Arial" w:cs="Arial"/>
                <w:b/>
                <w:bCs/>
                <w:color w:val="000000"/>
                <w:lang w:eastAsia="zh-CN"/>
              </w:rPr>
            </w:pPr>
            <w:r w:rsidRPr="00FD1BD6">
              <w:rPr>
                <w:rFonts w:ascii="Arial" w:eastAsia="Times New Roman" w:hAnsi="Arial" w:cs="Arial"/>
                <w:b/>
                <w:bCs/>
                <w:color w:val="000000"/>
                <w:lang w:eastAsia="zh-CN"/>
              </w:rPr>
              <w:t>Review 4</w:t>
            </w:r>
          </w:p>
        </w:tc>
        <w:tc>
          <w:tcPr>
            <w:tcW w:w="1198" w:type="dxa"/>
            <w:tcBorders>
              <w:top w:val="single" w:sz="4" w:space="0" w:color="auto"/>
              <w:left w:val="nil"/>
              <w:bottom w:val="single" w:sz="4" w:space="0" w:color="auto"/>
              <w:right w:val="single" w:sz="4" w:space="0" w:color="auto"/>
            </w:tcBorders>
            <w:shd w:val="clear" w:color="000000" w:fill="FFFFFF"/>
            <w:vAlign w:val="center"/>
          </w:tcPr>
          <w:p w:rsidR="00B83265" w:rsidRPr="00FD1BD6" w:rsidRDefault="00B83265" w:rsidP="00E15E84">
            <w:pPr>
              <w:spacing w:after="0" w:line="240" w:lineRule="auto"/>
              <w:rPr>
                <w:rFonts w:ascii="Arial" w:eastAsia="Times New Roman" w:hAnsi="Arial" w:cs="Arial"/>
                <w:b/>
                <w:bCs/>
                <w:color w:val="000000"/>
                <w:lang w:eastAsia="zh-CN"/>
              </w:rPr>
            </w:pPr>
            <w:r w:rsidRPr="00FD1BD6">
              <w:rPr>
                <w:rFonts w:ascii="Arial" w:eastAsia="Times New Roman" w:hAnsi="Arial" w:cs="Arial"/>
                <w:b/>
                <w:bCs/>
                <w:color w:val="000000"/>
                <w:lang w:eastAsia="zh-CN"/>
              </w:rPr>
              <w:t>Review 5</w:t>
            </w:r>
          </w:p>
        </w:tc>
      </w:tr>
      <w:tr w:rsidR="00B83265" w:rsidRPr="00FD1BD6" w:rsidTr="00E15E84">
        <w:trPr>
          <w:trHeight w:val="282"/>
        </w:trPr>
        <w:tc>
          <w:tcPr>
            <w:tcW w:w="2269" w:type="dxa"/>
            <w:tcBorders>
              <w:top w:val="nil"/>
              <w:left w:val="single" w:sz="4" w:space="0" w:color="auto"/>
              <w:bottom w:val="single" w:sz="4" w:space="0" w:color="auto"/>
              <w:right w:val="single" w:sz="4" w:space="0" w:color="auto"/>
            </w:tcBorders>
            <w:shd w:val="clear" w:color="000000" w:fill="FFFFFF"/>
            <w:noWrap/>
            <w:vAlign w:val="center"/>
            <w:hideMark/>
          </w:tcPr>
          <w:p w:rsidR="00B83265" w:rsidRPr="00FD1BD6" w:rsidRDefault="00B83265" w:rsidP="00E15E84">
            <w:pPr>
              <w:spacing w:after="0"/>
              <w:rPr>
                <w:rFonts w:ascii="Arial" w:hAnsi="Arial" w:cs="Arial"/>
              </w:rPr>
            </w:pPr>
            <w:r w:rsidRPr="00FD1BD6">
              <w:rPr>
                <w:rFonts w:ascii="Arial" w:hAnsi="Arial" w:cs="Arial"/>
              </w:rPr>
              <w:t>Benchmark</w:t>
            </w:r>
          </w:p>
        </w:tc>
        <w:tc>
          <w:tcPr>
            <w:tcW w:w="1197" w:type="dxa"/>
            <w:tcBorders>
              <w:top w:val="nil"/>
              <w:left w:val="nil"/>
              <w:bottom w:val="single" w:sz="4" w:space="0" w:color="auto"/>
              <w:right w:val="single" w:sz="4" w:space="0" w:color="auto"/>
            </w:tcBorders>
            <w:shd w:val="clear" w:color="000000" w:fill="FFFFFF"/>
            <w:noWrap/>
            <w:vAlign w:val="center"/>
          </w:tcPr>
          <w:p w:rsidR="00B83265" w:rsidRPr="00FD1BD6" w:rsidRDefault="00B83265" w:rsidP="00E15E84">
            <w:pPr>
              <w:spacing w:after="0"/>
              <w:rPr>
                <w:rFonts w:ascii="Arial" w:hAnsi="Arial" w:cs="Arial"/>
              </w:rPr>
            </w:pPr>
            <w:r w:rsidRPr="00FD1BD6">
              <w:rPr>
                <w:rFonts w:ascii="Arial" w:hAnsi="Arial" w:cs="Arial"/>
              </w:rPr>
              <w:t>73.6%</w:t>
            </w:r>
          </w:p>
        </w:tc>
        <w:tc>
          <w:tcPr>
            <w:tcW w:w="1198" w:type="dxa"/>
            <w:tcBorders>
              <w:top w:val="nil"/>
              <w:left w:val="nil"/>
              <w:bottom w:val="single" w:sz="4" w:space="0" w:color="auto"/>
              <w:right w:val="single" w:sz="4" w:space="0" w:color="auto"/>
            </w:tcBorders>
            <w:shd w:val="clear" w:color="000000" w:fill="FFFFFF"/>
            <w:noWrap/>
            <w:vAlign w:val="center"/>
          </w:tcPr>
          <w:p w:rsidR="00B83265" w:rsidRPr="00FD1BD6" w:rsidRDefault="00B83265" w:rsidP="00E15E84">
            <w:pPr>
              <w:spacing w:after="0"/>
              <w:rPr>
                <w:rFonts w:ascii="Arial" w:hAnsi="Arial" w:cs="Arial"/>
              </w:rPr>
            </w:pPr>
            <w:r w:rsidRPr="00FD1BD6">
              <w:rPr>
                <w:rFonts w:ascii="Arial" w:hAnsi="Arial" w:cs="Arial"/>
              </w:rPr>
              <w:t>73.6%</w:t>
            </w:r>
          </w:p>
        </w:tc>
        <w:tc>
          <w:tcPr>
            <w:tcW w:w="1198" w:type="dxa"/>
            <w:tcBorders>
              <w:top w:val="nil"/>
              <w:left w:val="nil"/>
              <w:bottom w:val="single" w:sz="4" w:space="0" w:color="auto"/>
              <w:right w:val="single" w:sz="4" w:space="0" w:color="auto"/>
            </w:tcBorders>
            <w:shd w:val="clear" w:color="000000" w:fill="FFFFFF"/>
            <w:noWrap/>
            <w:vAlign w:val="center"/>
          </w:tcPr>
          <w:p w:rsidR="00B83265" w:rsidRPr="00FD1BD6" w:rsidRDefault="00B83265" w:rsidP="00E15E84">
            <w:pPr>
              <w:spacing w:after="0"/>
              <w:rPr>
                <w:rFonts w:ascii="Arial" w:hAnsi="Arial" w:cs="Arial"/>
              </w:rPr>
            </w:pPr>
            <w:r w:rsidRPr="00FD1BD6">
              <w:rPr>
                <w:rFonts w:ascii="Arial" w:hAnsi="Arial" w:cs="Arial"/>
              </w:rPr>
              <w:t>73.6%</w:t>
            </w:r>
          </w:p>
        </w:tc>
        <w:tc>
          <w:tcPr>
            <w:tcW w:w="1198" w:type="dxa"/>
            <w:tcBorders>
              <w:top w:val="nil"/>
              <w:left w:val="nil"/>
              <w:bottom w:val="single" w:sz="4" w:space="0" w:color="auto"/>
              <w:right w:val="single" w:sz="4" w:space="0" w:color="auto"/>
            </w:tcBorders>
            <w:shd w:val="clear" w:color="000000" w:fill="FFFFFF"/>
            <w:noWrap/>
            <w:vAlign w:val="center"/>
          </w:tcPr>
          <w:p w:rsidR="00B83265" w:rsidRPr="00FD1BD6" w:rsidRDefault="00B83265" w:rsidP="00E15E84">
            <w:pPr>
              <w:spacing w:after="0"/>
              <w:rPr>
                <w:rFonts w:ascii="Arial" w:hAnsi="Arial" w:cs="Arial"/>
              </w:rPr>
            </w:pPr>
            <w:r w:rsidRPr="00FD1BD6">
              <w:rPr>
                <w:rFonts w:ascii="Arial" w:hAnsi="Arial" w:cs="Arial"/>
              </w:rPr>
              <w:t>73.6%</w:t>
            </w:r>
          </w:p>
        </w:tc>
        <w:tc>
          <w:tcPr>
            <w:tcW w:w="1198" w:type="dxa"/>
            <w:tcBorders>
              <w:top w:val="nil"/>
              <w:left w:val="nil"/>
              <w:bottom w:val="single" w:sz="4" w:space="0" w:color="auto"/>
              <w:right w:val="single" w:sz="4" w:space="0" w:color="auto"/>
            </w:tcBorders>
            <w:shd w:val="clear" w:color="000000" w:fill="FFFFFF"/>
            <w:noWrap/>
            <w:vAlign w:val="center"/>
          </w:tcPr>
          <w:p w:rsidR="00B83265" w:rsidRPr="00FD1BD6" w:rsidRDefault="00B83265" w:rsidP="00E15E84">
            <w:pPr>
              <w:spacing w:after="0"/>
              <w:rPr>
                <w:rFonts w:ascii="Arial" w:hAnsi="Arial" w:cs="Arial"/>
              </w:rPr>
            </w:pPr>
            <w:r w:rsidRPr="00FD1BD6">
              <w:rPr>
                <w:rFonts w:ascii="Arial" w:hAnsi="Arial" w:cs="Arial"/>
              </w:rPr>
              <w:t>73.6%</w:t>
            </w:r>
          </w:p>
        </w:tc>
        <w:tc>
          <w:tcPr>
            <w:tcW w:w="1198" w:type="dxa"/>
            <w:tcBorders>
              <w:top w:val="nil"/>
              <w:left w:val="nil"/>
              <w:bottom w:val="single" w:sz="4" w:space="0" w:color="auto"/>
              <w:right w:val="single" w:sz="4" w:space="0" w:color="auto"/>
            </w:tcBorders>
            <w:shd w:val="clear" w:color="000000" w:fill="FFFFFF"/>
            <w:vAlign w:val="center"/>
          </w:tcPr>
          <w:p w:rsidR="00B83265" w:rsidRPr="00FD1BD6" w:rsidRDefault="00B83265" w:rsidP="00E15E84">
            <w:pPr>
              <w:spacing w:after="0"/>
              <w:rPr>
                <w:rFonts w:ascii="Arial" w:hAnsi="Arial" w:cs="Arial"/>
              </w:rPr>
            </w:pPr>
            <w:r w:rsidRPr="00FD1BD6">
              <w:rPr>
                <w:rFonts w:ascii="Arial" w:hAnsi="Arial" w:cs="Arial"/>
              </w:rPr>
              <w:t>73.6%</w:t>
            </w:r>
          </w:p>
        </w:tc>
      </w:tr>
      <w:tr w:rsidR="00FD1BD6" w:rsidRPr="00FD1BD6" w:rsidTr="00E15E84">
        <w:trPr>
          <w:trHeight w:val="282"/>
        </w:trPr>
        <w:tc>
          <w:tcPr>
            <w:tcW w:w="2269" w:type="dxa"/>
            <w:tcBorders>
              <w:top w:val="nil"/>
              <w:left w:val="single" w:sz="4" w:space="0" w:color="auto"/>
              <w:bottom w:val="single" w:sz="4" w:space="0" w:color="auto"/>
              <w:right w:val="single" w:sz="4" w:space="0" w:color="auto"/>
            </w:tcBorders>
            <w:shd w:val="clear" w:color="000000" w:fill="FFFFFF"/>
            <w:noWrap/>
            <w:vAlign w:val="bottom"/>
          </w:tcPr>
          <w:p w:rsidR="00FD1BD6" w:rsidRPr="00FD1BD6" w:rsidRDefault="00FD1BD6" w:rsidP="00E15E84">
            <w:pPr>
              <w:spacing w:after="0" w:line="240" w:lineRule="auto"/>
              <w:rPr>
                <w:rFonts w:ascii="Arial" w:eastAsia="Times New Roman" w:hAnsi="Arial" w:cs="Arial"/>
                <w:bCs/>
                <w:color w:val="000000"/>
                <w:lang w:eastAsia="en-AU"/>
              </w:rPr>
            </w:pPr>
            <w:r w:rsidRPr="00FD1BD6">
              <w:rPr>
                <w:rFonts w:ascii="Arial" w:eastAsia="Times New Roman" w:hAnsi="Arial" w:cs="Arial"/>
                <w:bCs/>
                <w:color w:val="000000"/>
                <w:lang w:eastAsia="en-AU"/>
              </w:rPr>
              <w:t>5 years</w:t>
            </w:r>
          </w:p>
        </w:tc>
        <w:tc>
          <w:tcPr>
            <w:tcW w:w="1197" w:type="dxa"/>
            <w:tcBorders>
              <w:top w:val="nil"/>
              <w:left w:val="nil"/>
              <w:bottom w:val="single" w:sz="4" w:space="0" w:color="auto"/>
              <w:right w:val="single" w:sz="4" w:space="0" w:color="auto"/>
            </w:tcBorders>
            <w:shd w:val="clear" w:color="000000" w:fill="FFFFFF"/>
            <w:noWrap/>
            <w:vAlign w:val="center"/>
          </w:tcPr>
          <w:p w:rsidR="00FD1BD6" w:rsidRPr="00FD1BD6" w:rsidRDefault="00FD1BD6" w:rsidP="00E15E84">
            <w:pPr>
              <w:spacing w:after="0"/>
              <w:rPr>
                <w:rFonts w:ascii="Arial" w:hAnsi="Arial" w:cs="Arial"/>
              </w:rPr>
            </w:pPr>
            <w:r w:rsidRPr="00FD1BD6">
              <w:rPr>
                <w:rFonts w:ascii="Arial" w:hAnsi="Arial" w:cs="Arial"/>
              </w:rPr>
              <w:t>34.6%</w:t>
            </w:r>
          </w:p>
        </w:tc>
        <w:tc>
          <w:tcPr>
            <w:tcW w:w="1198" w:type="dxa"/>
            <w:tcBorders>
              <w:top w:val="nil"/>
              <w:left w:val="nil"/>
              <w:bottom w:val="single" w:sz="4" w:space="0" w:color="auto"/>
              <w:right w:val="single" w:sz="4" w:space="0" w:color="auto"/>
            </w:tcBorders>
            <w:shd w:val="clear" w:color="000000" w:fill="FFFFFF"/>
            <w:noWrap/>
            <w:vAlign w:val="center"/>
          </w:tcPr>
          <w:p w:rsidR="00FD1BD6" w:rsidRPr="00FD1BD6" w:rsidRDefault="00FD1BD6" w:rsidP="00E15E84">
            <w:pPr>
              <w:spacing w:after="0"/>
              <w:rPr>
                <w:rFonts w:ascii="Arial" w:hAnsi="Arial" w:cs="Arial"/>
              </w:rPr>
            </w:pPr>
            <w:r w:rsidRPr="00FD1BD6">
              <w:rPr>
                <w:rFonts w:ascii="Arial" w:hAnsi="Arial" w:cs="Arial"/>
              </w:rPr>
              <w:t>39.8%</w:t>
            </w:r>
          </w:p>
        </w:tc>
        <w:tc>
          <w:tcPr>
            <w:tcW w:w="1198" w:type="dxa"/>
            <w:tcBorders>
              <w:top w:val="nil"/>
              <w:left w:val="nil"/>
              <w:bottom w:val="single" w:sz="4" w:space="0" w:color="auto"/>
              <w:right w:val="single" w:sz="4" w:space="0" w:color="auto"/>
            </w:tcBorders>
            <w:shd w:val="clear" w:color="000000" w:fill="FFFFFF"/>
            <w:noWrap/>
            <w:vAlign w:val="center"/>
          </w:tcPr>
          <w:p w:rsidR="00FD1BD6" w:rsidRPr="00FD1BD6" w:rsidRDefault="00FD1BD6" w:rsidP="00E15E84">
            <w:pPr>
              <w:spacing w:after="0"/>
              <w:rPr>
                <w:rFonts w:ascii="Arial" w:hAnsi="Arial" w:cs="Arial"/>
              </w:rPr>
            </w:pPr>
            <w:r w:rsidRPr="00FD1BD6">
              <w:rPr>
                <w:rFonts w:ascii="Arial" w:hAnsi="Arial" w:cs="Arial"/>
              </w:rPr>
              <w:t>45.4%</w:t>
            </w:r>
          </w:p>
        </w:tc>
        <w:tc>
          <w:tcPr>
            <w:tcW w:w="1198" w:type="dxa"/>
            <w:tcBorders>
              <w:top w:val="nil"/>
              <w:left w:val="nil"/>
              <w:bottom w:val="single" w:sz="4" w:space="0" w:color="auto"/>
              <w:right w:val="single" w:sz="4" w:space="0" w:color="auto"/>
            </w:tcBorders>
            <w:shd w:val="clear" w:color="000000" w:fill="FFFFFF"/>
            <w:noWrap/>
            <w:vAlign w:val="center"/>
          </w:tcPr>
          <w:p w:rsidR="00FD1BD6" w:rsidRPr="00FD1BD6" w:rsidRDefault="00FD1BD6" w:rsidP="00E15E84">
            <w:pPr>
              <w:spacing w:after="0"/>
              <w:rPr>
                <w:rFonts w:ascii="Arial" w:hAnsi="Arial" w:cs="Arial"/>
              </w:rPr>
            </w:pPr>
            <w:r w:rsidRPr="00FD1BD6">
              <w:rPr>
                <w:rFonts w:ascii="Arial" w:hAnsi="Arial" w:cs="Arial"/>
              </w:rPr>
              <w:t>47.8%</w:t>
            </w:r>
          </w:p>
        </w:tc>
        <w:tc>
          <w:tcPr>
            <w:tcW w:w="1198" w:type="dxa"/>
            <w:tcBorders>
              <w:top w:val="nil"/>
              <w:left w:val="nil"/>
              <w:bottom w:val="single" w:sz="4" w:space="0" w:color="auto"/>
              <w:right w:val="single" w:sz="4" w:space="0" w:color="auto"/>
            </w:tcBorders>
            <w:shd w:val="clear" w:color="000000" w:fill="FFFFFF"/>
            <w:noWrap/>
            <w:vAlign w:val="center"/>
          </w:tcPr>
          <w:p w:rsidR="00FD1BD6" w:rsidRPr="00FD1BD6" w:rsidRDefault="00FD1BD6" w:rsidP="00E15E84">
            <w:pPr>
              <w:spacing w:after="0"/>
              <w:rPr>
                <w:rFonts w:ascii="Arial" w:hAnsi="Arial" w:cs="Arial"/>
              </w:rPr>
            </w:pPr>
            <w:r w:rsidRPr="00FD1BD6">
              <w:rPr>
                <w:rFonts w:ascii="Arial" w:hAnsi="Arial" w:cs="Arial"/>
              </w:rPr>
              <w:t>47.7%</w:t>
            </w:r>
          </w:p>
        </w:tc>
        <w:tc>
          <w:tcPr>
            <w:tcW w:w="1198" w:type="dxa"/>
            <w:tcBorders>
              <w:top w:val="nil"/>
              <w:left w:val="nil"/>
              <w:bottom w:val="single" w:sz="4" w:space="0" w:color="auto"/>
              <w:right w:val="single" w:sz="4" w:space="0" w:color="auto"/>
            </w:tcBorders>
            <w:shd w:val="clear" w:color="000000" w:fill="FFFFFF"/>
            <w:vAlign w:val="center"/>
          </w:tcPr>
          <w:p w:rsidR="00FD1BD6" w:rsidRPr="00FD1BD6" w:rsidRDefault="00FD1BD6" w:rsidP="00E15E84">
            <w:pPr>
              <w:spacing w:after="0"/>
              <w:rPr>
                <w:rFonts w:ascii="Arial" w:hAnsi="Arial" w:cs="Arial"/>
              </w:rPr>
            </w:pPr>
            <w:r w:rsidRPr="00FD1BD6">
              <w:rPr>
                <w:rFonts w:ascii="Arial" w:hAnsi="Arial" w:cs="Arial"/>
              </w:rPr>
              <w:t>48.9%</w:t>
            </w:r>
          </w:p>
        </w:tc>
      </w:tr>
      <w:tr w:rsidR="00FD1BD6" w:rsidRPr="00FD1BD6" w:rsidTr="00E15E84">
        <w:trPr>
          <w:trHeight w:val="282"/>
        </w:trPr>
        <w:tc>
          <w:tcPr>
            <w:tcW w:w="2269" w:type="dxa"/>
            <w:tcBorders>
              <w:top w:val="nil"/>
              <w:left w:val="single" w:sz="4" w:space="0" w:color="auto"/>
              <w:bottom w:val="single" w:sz="4" w:space="0" w:color="auto"/>
              <w:right w:val="single" w:sz="4" w:space="0" w:color="auto"/>
            </w:tcBorders>
            <w:shd w:val="clear" w:color="000000" w:fill="FFFFFF"/>
            <w:noWrap/>
            <w:vAlign w:val="bottom"/>
            <w:hideMark/>
          </w:tcPr>
          <w:p w:rsidR="00FD1BD6" w:rsidRPr="00FD1BD6" w:rsidRDefault="00FD1BD6" w:rsidP="00E15E84">
            <w:pPr>
              <w:spacing w:after="0" w:line="240" w:lineRule="auto"/>
              <w:rPr>
                <w:rFonts w:ascii="Arial" w:eastAsia="Times New Roman" w:hAnsi="Arial" w:cs="Arial"/>
                <w:bCs/>
                <w:color w:val="000000"/>
                <w:lang w:eastAsia="en-AU"/>
              </w:rPr>
            </w:pPr>
            <w:r w:rsidRPr="00FD1BD6">
              <w:rPr>
                <w:rFonts w:ascii="Arial" w:eastAsia="Times New Roman" w:hAnsi="Arial" w:cs="Arial"/>
                <w:bCs/>
                <w:color w:val="000000"/>
                <w:lang w:eastAsia="en-AU"/>
              </w:rPr>
              <w:t>4 years</w:t>
            </w:r>
          </w:p>
        </w:tc>
        <w:tc>
          <w:tcPr>
            <w:tcW w:w="1197" w:type="dxa"/>
            <w:tcBorders>
              <w:top w:val="nil"/>
              <w:left w:val="nil"/>
              <w:bottom w:val="single" w:sz="4" w:space="0" w:color="auto"/>
              <w:right w:val="single" w:sz="4" w:space="0" w:color="auto"/>
            </w:tcBorders>
            <w:shd w:val="clear" w:color="000000" w:fill="FFFFFF"/>
            <w:noWrap/>
            <w:vAlign w:val="center"/>
          </w:tcPr>
          <w:p w:rsidR="00FD1BD6" w:rsidRPr="00FD1BD6" w:rsidRDefault="00FD1BD6" w:rsidP="00E15E84">
            <w:pPr>
              <w:spacing w:after="0"/>
              <w:rPr>
                <w:rFonts w:ascii="Arial" w:hAnsi="Arial" w:cs="Arial"/>
              </w:rPr>
            </w:pPr>
            <w:r w:rsidRPr="00FD1BD6">
              <w:rPr>
                <w:rFonts w:ascii="Arial" w:hAnsi="Arial" w:cs="Arial"/>
              </w:rPr>
              <w:t>36.5%</w:t>
            </w:r>
          </w:p>
        </w:tc>
        <w:tc>
          <w:tcPr>
            <w:tcW w:w="1198" w:type="dxa"/>
            <w:tcBorders>
              <w:top w:val="nil"/>
              <w:left w:val="nil"/>
              <w:bottom w:val="single" w:sz="4" w:space="0" w:color="auto"/>
              <w:right w:val="single" w:sz="4" w:space="0" w:color="auto"/>
            </w:tcBorders>
            <w:shd w:val="clear" w:color="000000" w:fill="FFFFFF"/>
            <w:noWrap/>
            <w:vAlign w:val="center"/>
          </w:tcPr>
          <w:p w:rsidR="00FD1BD6" w:rsidRPr="00FD1BD6" w:rsidRDefault="00FD1BD6" w:rsidP="00E15E84">
            <w:pPr>
              <w:spacing w:after="0"/>
              <w:rPr>
                <w:rFonts w:ascii="Arial" w:hAnsi="Arial" w:cs="Arial"/>
              </w:rPr>
            </w:pPr>
            <w:r w:rsidRPr="00FD1BD6">
              <w:rPr>
                <w:rFonts w:ascii="Arial" w:hAnsi="Arial" w:cs="Arial"/>
              </w:rPr>
              <w:t>42.0%</w:t>
            </w:r>
          </w:p>
        </w:tc>
        <w:tc>
          <w:tcPr>
            <w:tcW w:w="1198" w:type="dxa"/>
            <w:tcBorders>
              <w:top w:val="nil"/>
              <w:left w:val="nil"/>
              <w:bottom w:val="single" w:sz="4" w:space="0" w:color="auto"/>
              <w:right w:val="single" w:sz="4" w:space="0" w:color="auto"/>
            </w:tcBorders>
            <w:shd w:val="clear" w:color="000000" w:fill="FFFFFF"/>
            <w:noWrap/>
            <w:vAlign w:val="center"/>
          </w:tcPr>
          <w:p w:rsidR="00FD1BD6" w:rsidRPr="00FD1BD6" w:rsidRDefault="00FD1BD6" w:rsidP="00E15E84">
            <w:pPr>
              <w:spacing w:after="0"/>
              <w:rPr>
                <w:rFonts w:ascii="Arial" w:hAnsi="Arial" w:cs="Arial"/>
              </w:rPr>
            </w:pPr>
            <w:r w:rsidRPr="00FD1BD6">
              <w:rPr>
                <w:rFonts w:ascii="Arial" w:hAnsi="Arial" w:cs="Arial"/>
              </w:rPr>
              <w:t>45.6%</w:t>
            </w:r>
          </w:p>
        </w:tc>
        <w:tc>
          <w:tcPr>
            <w:tcW w:w="1198" w:type="dxa"/>
            <w:tcBorders>
              <w:top w:val="nil"/>
              <w:left w:val="nil"/>
              <w:bottom w:val="single" w:sz="4" w:space="0" w:color="auto"/>
              <w:right w:val="single" w:sz="4" w:space="0" w:color="auto"/>
            </w:tcBorders>
            <w:shd w:val="clear" w:color="000000" w:fill="FFFFFF"/>
            <w:noWrap/>
            <w:vAlign w:val="center"/>
          </w:tcPr>
          <w:p w:rsidR="00FD1BD6" w:rsidRPr="00FD1BD6" w:rsidRDefault="00FD1BD6" w:rsidP="00E15E84">
            <w:pPr>
              <w:spacing w:after="0"/>
              <w:rPr>
                <w:rFonts w:ascii="Arial" w:hAnsi="Arial" w:cs="Arial"/>
              </w:rPr>
            </w:pPr>
            <w:r w:rsidRPr="00FD1BD6">
              <w:rPr>
                <w:rFonts w:ascii="Arial" w:hAnsi="Arial" w:cs="Arial"/>
              </w:rPr>
              <w:t>46.4%</w:t>
            </w:r>
          </w:p>
        </w:tc>
        <w:tc>
          <w:tcPr>
            <w:tcW w:w="1198" w:type="dxa"/>
            <w:tcBorders>
              <w:top w:val="nil"/>
              <w:left w:val="nil"/>
              <w:bottom w:val="single" w:sz="4" w:space="0" w:color="auto"/>
              <w:right w:val="single" w:sz="4" w:space="0" w:color="auto"/>
            </w:tcBorders>
            <w:shd w:val="clear" w:color="000000" w:fill="FFFFFF"/>
            <w:noWrap/>
            <w:vAlign w:val="center"/>
          </w:tcPr>
          <w:p w:rsidR="00FD1BD6" w:rsidRPr="00FD1BD6" w:rsidRDefault="00FD1BD6" w:rsidP="00E15E84">
            <w:pPr>
              <w:spacing w:after="0"/>
              <w:rPr>
                <w:rFonts w:ascii="Arial" w:hAnsi="Arial" w:cs="Arial"/>
              </w:rPr>
            </w:pPr>
            <w:r w:rsidRPr="00FD1BD6">
              <w:rPr>
                <w:rFonts w:ascii="Arial" w:hAnsi="Arial" w:cs="Arial"/>
              </w:rPr>
              <w:t>47.0%</w:t>
            </w:r>
          </w:p>
        </w:tc>
        <w:tc>
          <w:tcPr>
            <w:tcW w:w="1198" w:type="dxa"/>
            <w:tcBorders>
              <w:top w:val="nil"/>
              <w:left w:val="nil"/>
              <w:bottom w:val="single" w:sz="4" w:space="0" w:color="auto"/>
              <w:right w:val="single" w:sz="4" w:space="0" w:color="auto"/>
            </w:tcBorders>
            <w:shd w:val="clear" w:color="000000" w:fill="FFFFFF"/>
            <w:vAlign w:val="center"/>
          </w:tcPr>
          <w:p w:rsidR="00FD1BD6" w:rsidRPr="00FD1BD6" w:rsidRDefault="00FD1BD6" w:rsidP="00E15E84">
            <w:pPr>
              <w:spacing w:after="0"/>
              <w:rPr>
                <w:rFonts w:ascii="Arial" w:hAnsi="Arial" w:cs="Arial"/>
              </w:rPr>
            </w:pPr>
          </w:p>
        </w:tc>
      </w:tr>
      <w:tr w:rsidR="00FD1BD6" w:rsidRPr="00FD1BD6" w:rsidTr="00E15E84">
        <w:trPr>
          <w:trHeight w:val="282"/>
        </w:trPr>
        <w:tc>
          <w:tcPr>
            <w:tcW w:w="2269" w:type="dxa"/>
            <w:tcBorders>
              <w:top w:val="nil"/>
              <w:left w:val="single" w:sz="4" w:space="0" w:color="auto"/>
              <w:bottom w:val="single" w:sz="4" w:space="0" w:color="auto"/>
              <w:right w:val="single" w:sz="4" w:space="0" w:color="auto"/>
            </w:tcBorders>
            <w:shd w:val="clear" w:color="000000" w:fill="FFFFFF"/>
            <w:noWrap/>
            <w:vAlign w:val="bottom"/>
            <w:hideMark/>
          </w:tcPr>
          <w:p w:rsidR="00FD1BD6" w:rsidRPr="00FD1BD6" w:rsidRDefault="00FD1BD6" w:rsidP="00E15E84">
            <w:pPr>
              <w:spacing w:after="0" w:line="240" w:lineRule="auto"/>
              <w:rPr>
                <w:rFonts w:ascii="Arial" w:eastAsia="Times New Roman" w:hAnsi="Arial" w:cs="Arial"/>
                <w:bCs/>
                <w:color w:val="000000"/>
                <w:lang w:eastAsia="en-AU"/>
              </w:rPr>
            </w:pPr>
            <w:r w:rsidRPr="00FD1BD6">
              <w:rPr>
                <w:rFonts w:ascii="Arial" w:eastAsia="Times New Roman" w:hAnsi="Arial" w:cs="Arial"/>
                <w:bCs/>
                <w:color w:val="000000"/>
                <w:lang w:eastAsia="en-AU"/>
              </w:rPr>
              <w:t>3 years</w:t>
            </w:r>
          </w:p>
        </w:tc>
        <w:tc>
          <w:tcPr>
            <w:tcW w:w="1197" w:type="dxa"/>
            <w:tcBorders>
              <w:top w:val="nil"/>
              <w:left w:val="nil"/>
              <w:bottom w:val="single" w:sz="4" w:space="0" w:color="auto"/>
              <w:right w:val="single" w:sz="4" w:space="0" w:color="auto"/>
            </w:tcBorders>
            <w:shd w:val="clear" w:color="000000" w:fill="FFFFFF"/>
            <w:noWrap/>
            <w:vAlign w:val="center"/>
          </w:tcPr>
          <w:p w:rsidR="00FD1BD6" w:rsidRPr="00FD1BD6" w:rsidRDefault="00FD1BD6" w:rsidP="00E15E84">
            <w:pPr>
              <w:spacing w:after="0"/>
              <w:rPr>
                <w:rFonts w:ascii="Arial" w:hAnsi="Arial" w:cs="Arial"/>
              </w:rPr>
            </w:pPr>
            <w:r w:rsidRPr="00FD1BD6">
              <w:rPr>
                <w:rFonts w:ascii="Arial" w:hAnsi="Arial" w:cs="Arial"/>
              </w:rPr>
              <w:t>36.6%</w:t>
            </w:r>
          </w:p>
        </w:tc>
        <w:tc>
          <w:tcPr>
            <w:tcW w:w="1198" w:type="dxa"/>
            <w:tcBorders>
              <w:top w:val="nil"/>
              <w:left w:val="nil"/>
              <w:bottom w:val="single" w:sz="4" w:space="0" w:color="auto"/>
              <w:right w:val="single" w:sz="4" w:space="0" w:color="auto"/>
            </w:tcBorders>
            <w:shd w:val="clear" w:color="000000" w:fill="FFFFFF"/>
            <w:noWrap/>
            <w:vAlign w:val="center"/>
          </w:tcPr>
          <w:p w:rsidR="00FD1BD6" w:rsidRPr="00FD1BD6" w:rsidRDefault="00FD1BD6" w:rsidP="00E15E84">
            <w:pPr>
              <w:spacing w:after="0"/>
              <w:rPr>
                <w:rFonts w:ascii="Arial" w:hAnsi="Arial" w:cs="Arial"/>
              </w:rPr>
            </w:pPr>
            <w:r w:rsidRPr="00FD1BD6">
              <w:rPr>
                <w:rFonts w:ascii="Arial" w:hAnsi="Arial" w:cs="Arial"/>
              </w:rPr>
              <w:t>41.2%</w:t>
            </w:r>
          </w:p>
        </w:tc>
        <w:tc>
          <w:tcPr>
            <w:tcW w:w="1198" w:type="dxa"/>
            <w:tcBorders>
              <w:top w:val="nil"/>
              <w:left w:val="nil"/>
              <w:bottom w:val="single" w:sz="4" w:space="0" w:color="auto"/>
              <w:right w:val="single" w:sz="4" w:space="0" w:color="auto"/>
            </w:tcBorders>
            <w:shd w:val="clear" w:color="000000" w:fill="FFFFFF"/>
            <w:noWrap/>
            <w:vAlign w:val="center"/>
          </w:tcPr>
          <w:p w:rsidR="00FD1BD6" w:rsidRPr="00FD1BD6" w:rsidRDefault="00FD1BD6" w:rsidP="00E15E84">
            <w:pPr>
              <w:spacing w:after="0"/>
              <w:rPr>
                <w:rFonts w:ascii="Arial" w:hAnsi="Arial" w:cs="Arial"/>
              </w:rPr>
            </w:pPr>
            <w:r w:rsidRPr="00FD1BD6">
              <w:rPr>
                <w:rFonts w:ascii="Arial" w:hAnsi="Arial" w:cs="Arial"/>
              </w:rPr>
              <w:t>42.9%</w:t>
            </w:r>
          </w:p>
        </w:tc>
        <w:tc>
          <w:tcPr>
            <w:tcW w:w="1198" w:type="dxa"/>
            <w:tcBorders>
              <w:top w:val="nil"/>
              <w:left w:val="nil"/>
              <w:bottom w:val="single" w:sz="4" w:space="0" w:color="auto"/>
              <w:right w:val="single" w:sz="4" w:space="0" w:color="auto"/>
            </w:tcBorders>
            <w:shd w:val="clear" w:color="000000" w:fill="FFFFFF"/>
            <w:noWrap/>
            <w:vAlign w:val="center"/>
          </w:tcPr>
          <w:p w:rsidR="00FD1BD6" w:rsidRPr="00FD1BD6" w:rsidRDefault="00FD1BD6" w:rsidP="00E15E84">
            <w:pPr>
              <w:spacing w:after="0"/>
              <w:rPr>
                <w:rFonts w:ascii="Arial" w:hAnsi="Arial" w:cs="Arial"/>
              </w:rPr>
            </w:pPr>
            <w:r w:rsidRPr="00FD1BD6">
              <w:rPr>
                <w:rFonts w:ascii="Arial" w:hAnsi="Arial" w:cs="Arial"/>
              </w:rPr>
              <w:t>44.0%</w:t>
            </w:r>
          </w:p>
        </w:tc>
        <w:tc>
          <w:tcPr>
            <w:tcW w:w="1198" w:type="dxa"/>
            <w:tcBorders>
              <w:top w:val="nil"/>
              <w:left w:val="nil"/>
              <w:bottom w:val="single" w:sz="4" w:space="0" w:color="auto"/>
              <w:right w:val="single" w:sz="4" w:space="0" w:color="auto"/>
            </w:tcBorders>
            <w:shd w:val="clear" w:color="000000" w:fill="FFFFFF"/>
            <w:noWrap/>
            <w:vAlign w:val="center"/>
          </w:tcPr>
          <w:p w:rsidR="00FD1BD6" w:rsidRPr="00FD1BD6" w:rsidRDefault="00FD1BD6" w:rsidP="00E15E84">
            <w:pPr>
              <w:spacing w:after="0"/>
              <w:rPr>
                <w:rFonts w:ascii="Arial" w:hAnsi="Arial" w:cs="Arial"/>
              </w:rPr>
            </w:pPr>
          </w:p>
        </w:tc>
        <w:tc>
          <w:tcPr>
            <w:tcW w:w="1198" w:type="dxa"/>
            <w:tcBorders>
              <w:top w:val="nil"/>
              <w:left w:val="nil"/>
              <w:bottom w:val="single" w:sz="4" w:space="0" w:color="auto"/>
              <w:right w:val="single" w:sz="4" w:space="0" w:color="auto"/>
            </w:tcBorders>
            <w:shd w:val="clear" w:color="000000" w:fill="FFFFFF"/>
            <w:vAlign w:val="center"/>
          </w:tcPr>
          <w:p w:rsidR="00FD1BD6" w:rsidRPr="00FD1BD6" w:rsidRDefault="00FD1BD6" w:rsidP="00E15E84">
            <w:pPr>
              <w:spacing w:after="0"/>
              <w:rPr>
                <w:rFonts w:ascii="Arial" w:hAnsi="Arial" w:cs="Arial"/>
              </w:rPr>
            </w:pPr>
          </w:p>
        </w:tc>
      </w:tr>
      <w:tr w:rsidR="00FD1BD6" w:rsidRPr="00FD1BD6" w:rsidTr="00E15E84">
        <w:trPr>
          <w:trHeight w:val="282"/>
        </w:trPr>
        <w:tc>
          <w:tcPr>
            <w:tcW w:w="2269" w:type="dxa"/>
            <w:tcBorders>
              <w:top w:val="nil"/>
              <w:left w:val="single" w:sz="4" w:space="0" w:color="auto"/>
              <w:bottom w:val="single" w:sz="4" w:space="0" w:color="auto"/>
              <w:right w:val="single" w:sz="4" w:space="0" w:color="auto"/>
            </w:tcBorders>
            <w:shd w:val="clear" w:color="000000" w:fill="FFFFFF"/>
            <w:noWrap/>
            <w:vAlign w:val="bottom"/>
            <w:hideMark/>
          </w:tcPr>
          <w:p w:rsidR="00FD1BD6" w:rsidRPr="00FD1BD6" w:rsidRDefault="00FD1BD6" w:rsidP="00E15E84">
            <w:pPr>
              <w:spacing w:after="0" w:line="240" w:lineRule="auto"/>
              <w:rPr>
                <w:rFonts w:ascii="Arial" w:eastAsia="Times New Roman" w:hAnsi="Arial" w:cs="Arial"/>
                <w:bCs/>
                <w:color w:val="000000"/>
                <w:lang w:eastAsia="en-AU"/>
              </w:rPr>
            </w:pPr>
            <w:r w:rsidRPr="00FD1BD6">
              <w:rPr>
                <w:rFonts w:ascii="Arial" w:eastAsia="Times New Roman" w:hAnsi="Arial" w:cs="Arial"/>
                <w:bCs/>
                <w:color w:val="000000"/>
                <w:lang w:eastAsia="en-AU"/>
              </w:rPr>
              <w:t>2 years</w:t>
            </w:r>
          </w:p>
        </w:tc>
        <w:tc>
          <w:tcPr>
            <w:tcW w:w="1197" w:type="dxa"/>
            <w:tcBorders>
              <w:top w:val="nil"/>
              <w:left w:val="nil"/>
              <w:bottom w:val="single" w:sz="4" w:space="0" w:color="auto"/>
              <w:right w:val="single" w:sz="4" w:space="0" w:color="auto"/>
            </w:tcBorders>
            <w:shd w:val="clear" w:color="000000" w:fill="FFFFFF"/>
            <w:noWrap/>
            <w:vAlign w:val="center"/>
          </w:tcPr>
          <w:p w:rsidR="00FD1BD6" w:rsidRPr="00FD1BD6" w:rsidRDefault="00FD1BD6" w:rsidP="00E15E84">
            <w:pPr>
              <w:spacing w:after="0"/>
              <w:rPr>
                <w:rFonts w:ascii="Arial" w:hAnsi="Arial" w:cs="Arial"/>
              </w:rPr>
            </w:pPr>
            <w:r w:rsidRPr="00FD1BD6">
              <w:rPr>
                <w:rFonts w:ascii="Arial" w:hAnsi="Arial" w:cs="Arial"/>
              </w:rPr>
              <w:t>34.8%</w:t>
            </w:r>
          </w:p>
        </w:tc>
        <w:tc>
          <w:tcPr>
            <w:tcW w:w="1198" w:type="dxa"/>
            <w:tcBorders>
              <w:top w:val="nil"/>
              <w:left w:val="nil"/>
              <w:bottom w:val="single" w:sz="4" w:space="0" w:color="auto"/>
              <w:right w:val="single" w:sz="4" w:space="0" w:color="auto"/>
            </w:tcBorders>
            <w:shd w:val="clear" w:color="000000" w:fill="FFFFFF"/>
            <w:noWrap/>
            <w:vAlign w:val="center"/>
          </w:tcPr>
          <w:p w:rsidR="00FD1BD6" w:rsidRPr="00FD1BD6" w:rsidRDefault="00FD1BD6" w:rsidP="00E15E84">
            <w:pPr>
              <w:spacing w:after="0"/>
              <w:rPr>
                <w:rFonts w:ascii="Arial" w:hAnsi="Arial" w:cs="Arial"/>
              </w:rPr>
            </w:pPr>
            <w:r w:rsidRPr="00FD1BD6">
              <w:rPr>
                <w:rFonts w:ascii="Arial" w:hAnsi="Arial" w:cs="Arial"/>
              </w:rPr>
              <w:t>38.8%</w:t>
            </w:r>
          </w:p>
        </w:tc>
        <w:tc>
          <w:tcPr>
            <w:tcW w:w="1198" w:type="dxa"/>
            <w:tcBorders>
              <w:top w:val="nil"/>
              <w:left w:val="nil"/>
              <w:bottom w:val="single" w:sz="4" w:space="0" w:color="auto"/>
              <w:right w:val="single" w:sz="4" w:space="0" w:color="auto"/>
            </w:tcBorders>
            <w:shd w:val="clear" w:color="000000" w:fill="FFFFFF"/>
            <w:noWrap/>
            <w:vAlign w:val="center"/>
          </w:tcPr>
          <w:p w:rsidR="00FD1BD6" w:rsidRPr="00FD1BD6" w:rsidRDefault="00FD1BD6" w:rsidP="00E15E84">
            <w:pPr>
              <w:spacing w:after="0"/>
              <w:rPr>
                <w:rFonts w:ascii="Arial" w:hAnsi="Arial" w:cs="Arial"/>
              </w:rPr>
            </w:pPr>
            <w:r w:rsidRPr="00FD1BD6">
              <w:rPr>
                <w:rFonts w:ascii="Arial" w:hAnsi="Arial" w:cs="Arial"/>
              </w:rPr>
              <w:t>39.7%</w:t>
            </w:r>
          </w:p>
        </w:tc>
        <w:tc>
          <w:tcPr>
            <w:tcW w:w="1198" w:type="dxa"/>
            <w:tcBorders>
              <w:top w:val="nil"/>
              <w:left w:val="nil"/>
              <w:bottom w:val="single" w:sz="4" w:space="0" w:color="auto"/>
              <w:right w:val="single" w:sz="4" w:space="0" w:color="auto"/>
            </w:tcBorders>
            <w:shd w:val="clear" w:color="000000" w:fill="FFFFFF"/>
            <w:noWrap/>
            <w:vAlign w:val="center"/>
          </w:tcPr>
          <w:p w:rsidR="00FD1BD6" w:rsidRPr="00FD1BD6" w:rsidRDefault="00FD1BD6" w:rsidP="00E15E84">
            <w:pPr>
              <w:spacing w:after="0"/>
              <w:rPr>
                <w:rFonts w:ascii="Arial" w:hAnsi="Arial" w:cs="Arial"/>
              </w:rPr>
            </w:pPr>
          </w:p>
        </w:tc>
        <w:tc>
          <w:tcPr>
            <w:tcW w:w="1198" w:type="dxa"/>
            <w:tcBorders>
              <w:top w:val="nil"/>
              <w:left w:val="nil"/>
              <w:bottom w:val="single" w:sz="4" w:space="0" w:color="auto"/>
              <w:right w:val="single" w:sz="4" w:space="0" w:color="auto"/>
            </w:tcBorders>
            <w:shd w:val="clear" w:color="000000" w:fill="FFFFFF"/>
            <w:noWrap/>
            <w:vAlign w:val="center"/>
          </w:tcPr>
          <w:p w:rsidR="00FD1BD6" w:rsidRPr="00FD1BD6" w:rsidRDefault="00FD1BD6" w:rsidP="00E15E84">
            <w:pPr>
              <w:spacing w:after="0"/>
              <w:rPr>
                <w:rFonts w:ascii="Arial" w:hAnsi="Arial" w:cs="Arial"/>
              </w:rPr>
            </w:pPr>
          </w:p>
        </w:tc>
        <w:tc>
          <w:tcPr>
            <w:tcW w:w="1198" w:type="dxa"/>
            <w:tcBorders>
              <w:top w:val="nil"/>
              <w:left w:val="nil"/>
              <w:bottom w:val="single" w:sz="4" w:space="0" w:color="auto"/>
              <w:right w:val="single" w:sz="4" w:space="0" w:color="auto"/>
            </w:tcBorders>
            <w:shd w:val="clear" w:color="000000" w:fill="FFFFFF"/>
            <w:vAlign w:val="center"/>
          </w:tcPr>
          <w:p w:rsidR="00FD1BD6" w:rsidRPr="00FD1BD6" w:rsidRDefault="00FD1BD6" w:rsidP="00E15E84">
            <w:pPr>
              <w:spacing w:after="0"/>
              <w:rPr>
                <w:rFonts w:ascii="Arial" w:hAnsi="Arial" w:cs="Arial"/>
              </w:rPr>
            </w:pPr>
          </w:p>
        </w:tc>
      </w:tr>
      <w:tr w:rsidR="00FD1BD6" w:rsidRPr="00FD1BD6" w:rsidTr="00E15E84">
        <w:trPr>
          <w:trHeight w:val="282"/>
        </w:trPr>
        <w:tc>
          <w:tcPr>
            <w:tcW w:w="22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D1BD6" w:rsidRPr="00FD1BD6" w:rsidRDefault="00FD1BD6" w:rsidP="00E15E84">
            <w:pPr>
              <w:spacing w:after="0" w:line="240" w:lineRule="auto"/>
              <w:rPr>
                <w:rFonts w:ascii="Arial" w:eastAsia="Times New Roman" w:hAnsi="Arial" w:cs="Arial"/>
                <w:bCs/>
                <w:color w:val="000000"/>
                <w:lang w:eastAsia="en-AU"/>
              </w:rPr>
            </w:pPr>
            <w:r w:rsidRPr="00FD1BD6">
              <w:rPr>
                <w:rFonts w:ascii="Arial" w:eastAsia="Times New Roman" w:hAnsi="Arial" w:cs="Arial"/>
                <w:bCs/>
                <w:color w:val="000000"/>
                <w:lang w:eastAsia="en-AU"/>
              </w:rPr>
              <w:t>1 year</w:t>
            </w:r>
          </w:p>
        </w:tc>
        <w:tc>
          <w:tcPr>
            <w:tcW w:w="1197" w:type="dxa"/>
            <w:tcBorders>
              <w:top w:val="single" w:sz="4" w:space="0" w:color="auto"/>
              <w:left w:val="nil"/>
              <w:bottom w:val="single" w:sz="4" w:space="0" w:color="auto"/>
              <w:right w:val="single" w:sz="4" w:space="0" w:color="auto"/>
            </w:tcBorders>
            <w:shd w:val="clear" w:color="000000" w:fill="FFFFFF"/>
            <w:noWrap/>
            <w:vAlign w:val="center"/>
          </w:tcPr>
          <w:p w:rsidR="00FD1BD6" w:rsidRPr="00FD1BD6" w:rsidRDefault="00FD1BD6" w:rsidP="00E15E84">
            <w:pPr>
              <w:spacing w:after="0"/>
              <w:rPr>
                <w:rFonts w:ascii="Arial" w:hAnsi="Arial" w:cs="Arial"/>
              </w:rPr>
            </w:pPr>
            <w:r w:rsidRPr="00FD1BD6">
              <w:rPr>
                <w:rFonts w:ascii="Arial" w:hAnsi="Arial" w:cs="Arial"/>
              </w:rPr>
              <w:t>32.2%</w:t>
            </w:r>
          </w:p>
        </w:tc>
        <w:tc>
          <w:tcPr>
            <w:tcW w:w="1198" w:type="dxa"/>
            <w:tcBorders>
              <w:top w:val="single" w:sz="4" w:space="0" w:color="auto"/>
              <w:left w:val="nil"/>
              <w:bottom w:val="single" w:sz="4" w:space="0" w:color="auto"/>
              <w:right w:val="single" w:sz="4" w:space="0" w:color="auto"/>
            </w:tcBorders>
            <w:shd w:val="clear" w:color="000000" w:fill="FFFFFF"/>
            <w:noWrap/>
            <w:vAlign w:val="center"/>
          </w:tcPr>
          <w:p w:rsidR="00FD1BD6" w:rsidRPr="00FD1BD6" w:rsidRDefault="00FD1BD6" w:rsidP="00E15E84">
            <w:pPr>
              <w:spacing w:after="0"/>
              <w:rPr>
                <w:rFonts w:ascii="Arial" w:hAnsi="Arial" w:cs="Arial"/>
              </w:rPr>
            </w:pPr>
            <w:r w:rsidRPr="00FD1BD6">
              <w:rPr>
                <w:rFonts w:ascii="Arial" w:hAnsi="Arial" w:cs="Arial"/>
              </w:rPr>
              <w:t>34.8%</w:t>
            </w:r>
          </w:p>
        </w:tc>
        <w:tc>
          <w:tcPr>
            <w:tcW w:w="1198" w:type="dxa"/>
            <w:tcBorders>
              <w:top w:val="single" w:sz="4" w:space="0" w:color="auto"/>
              <w:left w:val="nil"/>
              <w:bottom w:val="single" w:sz="4" w:space="0" w:color="auto"/>
              <w:right w:val="single" w:sz="4" w:space="0" w:color="auto"/>
            </w:tcBorders>
            <w:shd w:val="clear" w:color="000000" w:fill="FFFFFF"/>
            <w:noWrap/>
            <w:vAlign w:val="center"/>
          </w:tcPr>
          <w:p w:rsidR="00FD1BD6" w:rsidRPr="00FD1BD6" w:rsidRDefault="00FD1BD6" w:rsidP="00E15E84">
            <w:pPr>
              <w:spacing w:after="0"/>
              <w:rPr>
                <w:rFonts w:ascii="Arial" w:hAnsi="Arial" w:cs="Arial"/>
              </w:rPr>
            </w:pPr>
          </w:p>
        </w:tc>
        <w:tc>
          <w:tcPr>
            <w:tcW w:w="1198" w:type="dxa"/>
            <w:tcBorders>
              <w:top w:val="single" w:sz="4" w:space="0" w:color="auto"/>
              <w:left w:val="nil"/>
              <w:bottom w:val="single" w:sz="4" w:space="0" w:color="auto"/>
              <w:right w:val="single" w:sz="4" w:space="0" w:color="auto"/>
            </w:tcBorders>
            <w:shd w:val="clear" w:color="000000" w:fill="FFFFFF"/>
            <w:noWrap/>
            <w:vAlign w:val="center"/>
          </w:tcPr>
          <w:p w:rsidR="00FD1BD6" w:rsidRPr="00FD1BD6" w:rsidRDefault="00FD1BD6" w:rsidP="00E15E84">
            <w:pPr>
              <w:spacing w:after="0"/>
              <w:rPr>
                <w:rFonts w:ascii="Arial" w:hAnsi="Arial" w:cs="Arial"/>
              </w:rPr>
            </w:pPr>
          </w:p>
        </w:tc>
        <w:tc>
          <w:tcPr>
            <w:tcW w:w="1198" w:type="dxa"/>
            <w:tcBorders>
              <w:top w:val="single" w:sz="4" w:space="0" w:color="auto"/>
              <w:left w:val="nil"/>
              <w:bottom w:val="single" w:sz="4" w:space="0" w:color="auto"/>
              <w:right w:val="single" w:sz="4" w:space="0" w:color="auto"/>
            </w:tcBorders>
            <w:shd w:val="clear" w:color="000000" w:fill="FFFFFF"/>
            <w:noWrap/>
            <w:vAlign w:val="center"/>
          </w:tcPr>
          <w:p w:rsidR="00FD1BD6" w:rsidRPr="00FD1BD6" w:rsidRDefault="00FD1BD6" w:rsidP="00E15E84">
            <w:pPr>
              <w:spacing w:after="0"/>
              <w:rPr>
                <w:rFonts w:ascii="Arial" w:hAnsi="Arial" w:cs="Arial"/>
              </w:rPr>
            </w:pPr>
          </w:p>
        </w:tc>
        <w:tc>
          <w:tcPr>
            <w:tcW w:w="1198" w:type="dxa"/>
            <w:tcBorders>
              <w:top w:val="single" w:sz="4" w:space="0" w:color="auto"/>
              <w:left w:val="nil"/>
              <w:bottom w:val="single" w:sz="4" w:space="0" w:color="auto"/>
              <w:right w:val="single" w:sz="4" w:space="0" w:color="auto"/>
            </w:tcBorders>
            <w:shd w:val="clear" w:color="000000" w:fill="FFFFFF"/>
            <w:vAlign w:val="center"/>
          </w:tcPr>
          <w:p w:rsidR="00FD1BD6" w:rsidRPr="00FD1BD6" w:rsidRDefault="00FD1BD6" w:rsidP="00E15E84">
            <w:pPr>
              <w:spacing w:after="0"/>
              <w:rPr>
                <w:rFonts w:ascii="Arial" w:hAnsi="Arial" w:cs="Arial"/>
              </w:rPr>
            </w:pPr>
          </w:p>
        </w:tc>
      </w:tr>
    </w:tbl>
    <w:p w:rsidR="008E1F90" w:rsidRDefault="0080201D" w:rsidP="00C716CB">
      <w:pPr>
        <w:spacing w:before="120" w:after="240"/>
        <w:rPr>
          <w:rFonts w:cstheme="minorHAnsi"/>
        </w:rPr>
      </w:pPr>
      <w:r>
        <w:rPr>
          <w:rFonts w:cstheme="minorHAnsi"/>
        </w:rPr>
        <w:t>Footnote 1</w:t>
      </w:r>
      <w:r w:rsidR="008E1F90">
        <w:rPr>
          <w:rFonts w:cstheme="minorHAnsi"/>
        </w:rPr>
        <w:t xml:space="preserve">: </w:t>
      </w:r>
      <w:r w:rsidR="008E1F90" w:rsidRPr="008E1F90">
        <w:rPr>
          <w:rFonts w:cstheme="minorHAnsi"/>
        </w:rPr>
        <w:t>Population benchmark figures are from the Australian Bureau of Statistics (ABS), General Social Survey (GSS) 2020, standardised for NDIS participa</w:t>
      </w:r>
      <w:r w:rsidR="008E1F90">
        <w:rPr>
          <w:rFonts w:cstheme="minorHAnsi"/>
        </w:rPr>
        <w:t xml:space="preserve">nt age and gender distribution. </w:t>
      </w:r>
      <w:r w:rsidR="008E1F90" w:rsidRPr="008E1F90">
        <w:rPr>
          <w:rFonts w:cstheme="minorHAnsi"/>
        </w:rPr>
        <w:t>GSS item “Has been involved in groups in the last 12 months” including social groups, community support groups, and civic and political groups.</w:t>
      </w:r>
    </w:p>
    <w:p w:rsidR="00B83265" w:rsidRPr="002817DE" w:rsidRDefault="00B83265" w:rsidP="002817DE">
      <w:pPr>
        <w:pStyle w:val="Heading2"/>
      </w:pPr>
      <w:bookmarkStart w:id="69" w:name="_Toc121151441"/>
      <w:r w:rsidRPr="002817DE">
        <w:t>Slide 59: Participants aged 15 and over – Social, community and civic participation</w:t>
      </w:r>
      <w:bookmarkEnd w:id="69"/>
    </w:p>
    <w:p w:rsidR="00B83265" w:rsidRPr="00AF6AB4" w:rsidRDefault="00B83265" w:rsidP="00B83265">
      <w:pPr>
        <w:spacing w:after="240"/>
        <w:rPr>
          <w:b/>
        </w:rPr>
      </w:pPr>
      <w:r>
        <w:rPr>
          <w:b/>
        </w:rPr>
        <w:t>Do you know people in your community?</w:t>
      </w:r>
    </w:p>
    <w:p w:rsidR="00B83265" w:rsidRDefault="00B83265" w:rsidP="00B83265">
      <w:pPr>
        <w:spacing w:after="240"/>
      </w:pPr>
      <w:r>
        <w:t>The percentage of participants who know people in their community has increased between baseline and latest review for all cohorts. An increase of 6.3 percentage points is evident in cohort 5, while increases of 3.2, 4.1, 4.5 and 5.0 percentage points can be seen for cohorts 1, 2, 3 and 4.</w:t>
      </w:r>
    </w:p>
    <w:p w:rsidR="00B83265" w:rsidRDefault="00B83265" w:rsidP="00B83265">
      <w:pPr>
        <w:spacing w:after="240"/>
      </w:pPr>
      <w:r>
        <w:t>Some age group differences are:</w:t>
      </w:r>
    </w:p>
    <w:p w:rsidR="00B83265" w:rsidRDefault="00B83265" w:rsidP="00B83265">
      <w:pPr>
        <w:pStyle w:val="ListParagraph"/>
        <w:numPr>
          <w:ilvl w:val="0"/>
          <w:numId w:val="29"/>
        </w:numPr>
        <w:spacing w:after="240"/>
      </w:pPr>
      <w:r>
        <w:t>There are smaller increases for the S-14/15-24 age group within cohorts 3 and 4 – 2.6 and 1.8 percentage points</w:t>
      </w:r>
    </w:p>
    <w:p w:rsidR="00B83265" w:rsidRDefault="00B83265" w:rsidP="00B83265">
      <w:pPr>
        <w:pStyle w:val="ListParagraph"/>
        <w:numPr>
          <w:ilvl w:val="0"/>
          <w:numId w:val="29"/>
        </w:numPr>
        <w:spacing w:after="240"/>
      </w:pPr>
      <w:r>
        <w:t>Participants in the 15-24/25+ age group show a slight declining trend for cohorts 3, 4 and 5 – 0.4, 1.2 and 1.8 percentage points, respectively</w:t>
      </w:r>
    </w:p>
    <w:p w:rsidR="00B83265" w:rsidRDefault="00B83265" w:rsidP="00B83265">
      <w:pPr>
        <w:pStyle w:val="ListParagraph"/>
        <w:numPr>
          <w:ilvl w:val="0"/>
          <w:numId w:val="29"/>
        </w:numPr>
        <w:spacing w:after="240"/>
      </w:pPr>
      <w:r>
        <w:t>A higher percentage of participants in the 25+ age group know people in their community – 68.2% at fifth review, compared to 60.3% at baseline. By comparison, 59.1% of the 15-24 age group and 53.9% of the 15-24/25+ age group know people in their community at fifth review.</w:t>
      </w:r>
    </w:p>
    <w:p w:rsidR="00412BE9" w:rsidRDefault="00B83265" w:rsidP="00412BE9">
      <w:pPr>
        <w:spacing w:after="240"/>
        <w:rPr>
          <w:rFonts w:cstheme="minorHAnsi"/>
        </w:rPr>
      </w:pPr>
      <w:r>
        <w:rPr>
          <w:rFonts w:cstheme="minorHAnsi"/>
        </w:rPr>
        <w:t xml:space="preserve">Five charts shows </w:t>
      </w:r>
      <w:r w:rsidRPr="00AD4C8D">
        <w:rPr>
          <w:rFonts w:cstheme="minorHAnsi"/>
        </w:rPr>
        <w:t xml:space="preserve">the percentage </w:t>
      </w:r>
      <w:r w:rsidRPr="00AF6AB4">
        <w:rPr>
          <w:rFonts w:cstheme="minorHAnsi"/>
        </w:rPr>
        <w:t xml:space="preserve">who </w:t>
      </w:r>
      <w:r>
        <w:rPr>
          <w:rFonts w:cstheme="minorHAnsi"/>
        </w:rPr>
        <w:t>know people in their</w:t>
      </w:r>
      <w:r w:rsidRPr="00AF6AB4">
        <w:rPr>
          <w:rFonts w:cstheme="minorHAnsi"/>
        </w:rPr>
        <w:t xml:space="preserve"> community </w:t>
      </w:r>
      <w:r w:rsidRPr="00AD4C8D">
        <w:rPr>
          <w:rFonts w:cstheme="minorHAnsi"/>
        </w:rPr>
        <w:t>at baseline and at subsequent reviews</w:t>
      </w:r>
      <w:r w:rsidR="00412BE9" w:rsidRPr="00715092">
        <w:rPr>
          <w:rFonts w:cstheme="minorHAnsi"/>
        </w:rPr>
        <w:t xml:space="preserve">, separately for participants in the </w:t>
      </w:r>
      <w:r w:rsidR="00412BE9">
        <w:rPr>
          <w:rFonts w:cstheme="minorHAnsi"/>
        </w:rPr>
        <w:t xml:space="preserve">five years, </w:t>
      </w:r>
      <w:r w:rsidR="00412BE9" w:rsidRPr="00715092">
        <w:rPr>
          <w:rFonts w:cstheme="minorHAnsi"/>
        </w:rPr>
        <w:t>four years, three years, two years or one year</w:t>
      </w:r>
      <w:r w:rsidR="00412BE9">
        <w:rPr>
          <w:rFonts w:cstheme="minorHAnsi"/>
        </w:rPr>
        <w:t xml:space="preserve"> cohorts</w:t>
      </w:r>
      <w:r w:rsidR="00412BE9" w:rsidRPr="00715092">
        <w:rPr>
          <w:rFonts w:cstheme="minorHAnsi"/>
        </w:rPr>
        <w:t>.</w:t>
      </w:r>
      <w:r w:rsidR="00412BE9">
        <w:rPr>
          <w:rFonts w:cstheme="minorHAnsi"/>
        </w:rPr>
        <w:t xml:space="preserve"> Separate lines on each chart show results for all participants, and for participants in the S-14/15-24, 15-24, 15-24/25+ and 25+ age groups.</w:t>
      </w:r>
    </w:p>
    <w:p w:rsidR="00412BE9" w:rsidRDefault="00412BE9" w:rsidP="00412BE9">
      <w:pPr>
        <w:spacing w:after="240"/>
        <w:rPr>
          <w:rFonts w:cstheme="minorHAnsi"/>
        </w:rPr>
      </w:pPr>
      <w:r>
        <w:rPr>
          <w:rFonts w:cstheme="minorHAnsi"/>
        </w:rPr>
        <w:t>For PSto14, analysed by time since first in P15to24, otherwise by time in Scheme.</w:t>
      </w:r>
    </w:p>
    <w:p w:rsidR="00412BE9" w:rsidRDefault="00412BE9" w:rsidP="00412BE9">
      <w:pPr>
        <w:spacing w:after="240"/>
        <w:rPr>
          <w:rFonts w:cstheme="minorHAnsi"/>
        </w:rPr>
      </w:pPr>
      <w:r>
        <w:rPr>
          <w:rFonts w:cstheme="minorHAnsi"/>
        </w:rPr>
        <w:t>This indicator improved.</w:t>
      </w:r>
    </w:p>
    <w:p w:rsidR="00412BE9" w:rsidRDefault="00412BE9" w:rsidP="00412BE9">
      <w:pPr>
        <w:spacing w:after="240"/>
        <w:rPr>
          <w:rFonts w:cstheme="minorHAnsi"/>
        </w:rPr>
      </w:pPr>
      <w:r>
        <w:rPr>
          <w:rFonts w:cstheme="minorHAnsi"/>
        </w:rPr>
        <w:lastRenderedPageBreak/>
        <w:t>Results for all participants are labelled on the charts:</w:t>
      </w:r>
    </w:p>
    <w:tbl>
      <w:tblPr>
        <w:tblW w:w="9204" w:type="dxa"/>
        <w:tblLook w:val="04A0" w:firstRow="1" w:lastRow="0" w:firstColumn="1" w:lastColumn="0" w:noHBand="0" w:noVBand="1"/>
      </w:tblPr>
      <w:tblGrid>
        <w:gridCol w:w="1500"/>
        <w:gridCol w:w="1325"/>
        <w:gridCol w:w="1276"/>
        <w:gridCol w:w="1276"/>
        <w:gridCol w:w="1276"/>
        <w:gridCol w:w="1275"/>
        <w:gridCol w:w="1276"/>
      </w:tblGrid>
      <w:tr w:rsidR="00550D6D" w:rsidRPr="00AD165E" w:rsidTr="00632614">
        <w:trPr>
          <w:trHeight w:val="285"/>
        </w:trPr>
        <w:tc>
          <w:tcPr>
            <w:tcW w:w="1500" w:type="dxa"/>
            <w:tcBorders>
              <w:top w:val="single" w:sz="8" w:space="0" w:color="auto"/>
              <w:left w:val="single" w:sz="8" w:space="0" w:color="auto"/>
              <w:bottom w:val="single" w:sz="8" w:space="0" w:color="auto"/>
              <w:right w:val="nil"/>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Cohort</w:t>
            </w:r>
          </w:p>
        </w:tc>
        <w:tc>
          <w:tcPr>
            <w:tcW w:w="13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B</w:t>
            </w:r>
            <w:r>
              <w:rPr>
                <w:rFonts w:ascii="Arial" w:eastAsia="Times New Roman" w:hAnsi="Arial" w:cs="Arial"/>
                <w:b/>
                <w:bCs/>
                <w:color w:val="000000"/>
                <w:lang w:eastAsia="en-AU"/>
              </w:rPr>
              <w:t>aseline</w:t>
            </w:r>
          </w:p>
        </w:tc>
        <w:tc>
          <w:tcPr>
            <w:tcW w:w="1276" w:type="dxa"/>
            <w:tcBorders>
              <w:top w:val="single" w:sz="8" w:space="0" w:color="auto"/>
              <w:left w:val="nil"/>
              <w:bottom w:val="single" w:sz="8" w:space="0" w:color="auto"/>
              <w:right w:val="nil"/>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1</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2</w:t>
            </w:r>
          </w:p>
        </w:tc>
        <w:tc>
          <w:tcPr>
            <w:tcW w:w="1276" w:type="dxa"/>
            <w:tcBorders>
              <w:top w:val="single" w:sz="8" w:space="0" w:color="auto"/>
              <w:left w:val="nil"/>
              <w:bottom w:val="single" w:sz="8" w:space="0" w:color="auto"/>
              <w:right w:val="nil"/>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3</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4</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5</w:t>
            </w:r>
          </w:p>
        </w:tc>
      </w:tr>
      <w:tr w:rsidR="00511322"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511322" w:rsidRPr="00AD165E" w:rsidRDefault="00511322" w:rsidP="00511322">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5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511322" w:rsidRPr="00511322" w:rsidRDefault="00511322" w:rsidP="00511322">
            <w:pPr>
              <w:spacing w:after="0"/>
              <w:rPr>
                <w:rFonts w:ascii="Arial" w:hAnsi="Arial" w:cs="Arial"/>
              </w:rPr>
            </w:pPr>
            <w:r w:rsidRPr="00511322">
              <w:rPr>
                <w:rFonts w:ascii="Arial" w:hAnsi="Arial" w:cs="Arial"/>
              </w:rPr>
              <w:t>58%</w:t>
            </w:r>
          </w:p>
        </w:tc>
        <w:tc>
          <w:tcPr>
            <w:tcW w:w="1276" w:type="dxa"/>
            <w:tcBorders>
              <w:top w:val="nil"/>
              <w:left w:val="nil"/>
              <w:bottom w:val="single" w:sz="4" w:space="0" w:color="auto"/>
              <w:right w:val="nil"/>
            </w:tcBorders>
            <w:shd w:val="clear" w:color="auto" w:fill="auto"/>
            <w:noWrap/>
            <w:vAlign w:val="center"/>
            <w:hideMark/>
          </w:tcPr>
          <w:p w:rsidR="00511322" w:rsidRPr="00511322" w:rsidRDefault="00511322" w:rsidP="00511322">
            <w:pPr>
              <w:spacing w:after="0"/>
              <w:rPr>
                <w:rFonts w:ascii="Arial" w:hAnsi="Arial" w:cs="Arial"/>
              </w:rPr>
            </w:pPr>
            <w:r w:rsidRPr="00511322">
              <w:rPr>
                <w:rFonts w:ascii="Arial" w:hAnsi="Arial" w:cs="Arial"/>
              </w:rPr>
              <w:t>64%</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511322" w:rsidRPr="00511322" w:rsidRDefault="00511322" w:rsidP="00511322">
            <w:pPr>
              <w:spacing w:after="0"/>
              <w:rPr>
                <w:rFonts w:ascii="Arial" w:hAnsi="Arial" w:cs="Arial"/>
              </w:rPr>
            </w:pPr>
            <w:r w:rsidRPr="00511322">
              <w:rPr>
                <w:rFonts w:ascii="Arial" w:hAnsi="Arial" w:cs="Arial"/>
              </w:rPr>
              <w:t>64%</w:t>
            </w:r>
          </w:p>
        </w:tc>
        <w:tc>
          <w:tcPr>
            <w:tcW w:w="1276" w:type="dxa"/>
            <w:tcBorders>
              <w:top w:val="nil"/>
              <w:left w:val="nil"/>
              <w:bottom w:val="single" w:sz="4" w:space="0" w:color="auto"/>
              <w:right w:val="nil"/>
            </w:tcBorders>
            <w:shd w:val="clear" w:color="auto" w:fill="auto"/>
            <w:noWrap/>
            <w:vAlign w:val="center"/>
            <w:hideMark/>
          </w:tcPr>
          <w:p w:rsidR="00511322" w:rsidRPr="00511322" w:rsidRDefault="00511322" w:rsidP="00511322">
            <w:pPr>
              <w:spacing w:after="0"/>
              <w:rPr>
                <w:rFonts w:ascii="Arial" w:hAnsi="Arial" w:cs="Arial"/>
              </w:rPr>
            </w:pPr>
            <w:r w:rsidRPr="00511322">
              <w:rPr>
                <w:rFonts w:ascii="Arial" w:hAnsi="Arial" w:cs="Arial"/>
              </w:rPr>
              <w:t>65%</w:t>
            </w: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511322" w:rsidRPr="00511322" w:rsidRDefault="00511322" w:rsidP="00511322">
            <w:pPr>
              <w:spacing w:after="0"/>
              <w:rPr>
                <w:rFonts w:ascii="Arial" w:hAnsi="Arial" w:cs="Arial"/>
              </w:rPr>
            </w:pPr>
            <w:r w:rsidRPr="00511322">
              <w:rPr>
                <w:rFonts w:ascii="Arial" w:hAnsi="Arial" w:cs="Arial"/>
              </w:rPr>
              <w:t>64%</w:t>
            </w:r>
          </w:p>
        </w:tc>
        <w:tc>
          <w:tcPr>
            <w:tcW w:w="1276" w:type="dxa"/>
            <w:tcBorders>
              <w:top w:val="nil"/>
              <w:left w:val="nil"/>
              <w:bottom w:val="single" w:sz="4" w:space="0" w:color="auto"/>
              <w:right w:val="single" w:sz="8" w:space="0" w:color="auto"/>
            </w:tcBorders>
            <w:shd w:val="clear" w:color="auto" w:fill="auto"/>
            <w:noWrap/>
            <w:vAlign w:val="center"/>
            <w:hideMark/>
          </w:tcPr>
          <w:p w:rsidR="00511322" w:rsidRPr="00511322" w:rsidRDefault="00511322" w:rsidP="00511322">
            <w:pPr>
              <w:spacing w:after="0"/>
              <w:rPr>
                <w:rFonts w:ascii="Arial" w:hAnsi="Arial" w:cs="Arial"/>
              </w:rPr>
            </w:pPr>
            <w:r w:rsidRPr="00511322">
              <w:rPr>
                <w:rFonts w:ascii="Arial" w:hAnsi="Arial" w:cs="Arial"/>
              </w:rPr>
              <w:t>65%</w:t>
            </w:r>
          </w:p>
        </w:tc>
      </w:tr>
      <w:tr w:rsidR="00511322"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511322" w:rsidRPr="00AD165E" w:rsidRDefault="00511322" w:rsidP="00511322">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4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511322" w:rsidRPr="00511322" w:rsidRDefault="00511322" w:rsidP="00511322">
            <w:pPr>
              <w:spacing w:after="0"/>
              <w:rPr>
                <w:rFonts w:ascii="Arial" w:hAnsi="Arial" w:cs="Arial"/>
              </w:rPr>
            </w:pPr>
            <w:r w:rsidRPr="00511322">
              <w:rPr>
                <w:rFonts w:ascii="Arial" w:hAnsi="Arial" w:cs="Arial"/>
              </w:rPr>
              <w:t>60%</w:t>
            </w:r>
          </w:p>
        </w:tc>
        <w:tc>
          <w:tcPr>
            <w:tcW w:w="1276" w:type="dxa"/>
            <w:tcBorders>
              <w:top w:val="nil"/>
              <w:left w:val="nil"/>
              <w:bottom w:val="single" w:sz="4" w:space="0" w:color="auto"/>
              <w:right w:val="nil"/>
            </w:tcBorders>
            <w:shd w:val="clear" w:color="auto" w:fill="auto"/>
            <w:noWrap/>
            <w:vAlign w:val="center"/>
            <w:hideMark/>
          </w:tcPr>
          <w:p w:rsidR="00511322" w:rsidRPr="00511322" w:rsidRDefault="00511322" w:rsidP="00511322">
            <w:pPr>
              <w:spacing w:after="0"/>
              <w:rPr>
                <w:rFonts w:ascii="Arial" w:hAnsi="Arial" w:cs="Arial"/>
              </w:rPr>
            </w:pPr>
            <w:r w:rsidRPr="00511322">
              <w:rPr>
                <w:rFonts w:ascii="Arial" w:hAnsi="Arial" w:cs="Arial"/>
              </w:rPr>
              <w:t>64%</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511322" w:rsidRPr="00511322" w:rsidRDefault="00511322" w:rsidP="00511322">
            <w:pPr>
              <w:spacing w:after="0"/>
              <w:rPr>
                <w:rFonts w:ascii="Arial" w:hAnsi="Arial" w:cs="Arial"/>
              </w:rPr>
            </w:pPr>
            <w:r w:rsidRPr="00511322">
              <w:rPr>
                <w:rFonts w:ascii="Arial" w:hAnsi="Arial" w:cs="Arial"/>
              </w:rPr>
              <w:t>65%</w:t>
            </w:r>
          </w:p>
        </w:tc>
        <w:tc>
          <w:tcPr>
            <w:tcW w:w="1276" w:type="dxa"/>
            <w:tcBorders>
              <w:top w:val="nil"/>
              <w:left w:val="nil"/>
              <w:bottom w:val="single" w:sz="4" w:space="0" w:color="auto"/>
              <w:right w:val="nil"/>
            </w:tcBorders>
            <w:shd w:val="clear" w:color="auto" w:fill="auto"/>
            <w:noWrap/>
            <w:vAlign w:val="center"/>
            <w:hideMark/>
          </w:tcPr>
          <w:p w:rsidR="00511322" w:rsidRPr="00511322" w:rsidRDefault="00511322" w:rsidP="00511322">
            <w:pPr>
              <w:spacing w:after="0"/>
              <w:rPr>
                <w:rFonts w:ascii="Arial" w:hAnsi="Arial" w:cs="Arial"/>
              </w:rPr>
            </w:pPr>
            <w:r w:rsidRPr="00511322">
              <w:rPr>
                <w:rFonts w:ascii="Arial" w:hAnsi="Arial" w:cs="Arial"/>
              </w:rPr>
              <w:t>64%</w:t>
            </w: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511322" w:rsidRPr="00511322" w:rsidRDefault="00511322" w:rsidP="00511322">
            <w:pPr>
              <w:spacing w:after="0"/>
              <w:rPr>
                <w:rFonts w:ascii="Arial" w:hAnsi="Arial" w:cs="Arial"/>
              </w:rPr>
            </w:pPr>
            <w:r w:rsidRPr="00511322">
              <w:rPr>
                <w:rFonts w:ascii="Arial" w:hAnsi="Arial" w:cs="Arial"/>
              </w:rPr>
              <w:t>65%</w:t>
            </w:r>
          </w:p>
        </w:tc>
        <w:tc>
          <w:tcPr>
            <w:tcW w:w="1276" w:type="dxa"/>
            <w:tcBorders>
              <w:top w:val="nil"/>
              <w:left w:val="nil"/>
              <w:bottom w:val="single" w:sz="4" w:space="0" w:color="auto"/>
              <w:right w:val="single" w:sz="8" w:space="0" w:color="auto"/>
            </w:tcBorders>
            <w:shd w:val="clear" w:color="auto" w:fill="auto"/>
            <w:noWrap/>
            <w:hideMark/>
          </w:tcPr>
          <w:p w:rsidR="00511322" w:rsidRPr="00511322" w:rsidRDefault="00511322" w:rsidP="00511322">
            <w:pPr>
              <w:spacing w:after="0" w:line="240" w:lineRule="auto"/>
              <w:rPr>
                <w:rFonts w:ascii="Arial" w:eastAsia="Times New Roman" w:hAnsi="Arial" w:cs="Arial"/>
                <w:color w:val="000000"/>
                <w:lang w:eastAsia="en-AU"/>
              </w:rPr>
            </w:pPr>
          </w:p>
        </w:tc>
      </w:tr>
      <w:tr w:rsidR="00511322"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511322" w:rsidRPr="00AD165E" w:rsidRDefault="00511322" w:rsidP="00511322">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3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511322" w:rsidRPr="00511322" w:rsidRDefault="00511322" w:rsidP="00511322">
            <w:pPr>
              <w:spacing w:after="0"/>
              <w:rPr>
                <w:rFonts w:ascii="Arial" w:hAnsi="Arial" w:cs="Arial"/>
              </w:rPr>
            </w:pPr>
            <w:r w:rsidRPr="00511322">
              <w:rPr>
                <w:rFonts w:ascii="Arial" w:hAnsi="Arial" w:cs="Arial"/>
              </w:rPr>
              <w:t>57%</w:t>
            </w:r>
          </w:p>
        </w:tc>
        <w:tc>
          <w:tcPr>
            <w:tcW w:w="1276" w:type="dxa"/>
            <w:tcBorders>
              <w:top w:val="nil"/>
              <w:left w:val="nil"/>
              <w:bottom w:val="single" w:sz="4" w:space="0" w:color="auto"/>
              <w:right w:val="nil"/>
            </w:tcBorders>
            <w:shd w:val="clear" w:color="auto" w:fill="auto"/>
            <w:noWrap/>
            <w:vAlign w:val="center"/>
            <w:hideMark/>
          </w:tcPr>
          <w:p w:rsidR="00511322" w:rsidRPr="00511322" w:rsidRDefault="00511322" w:rsidP="00511322">
            <w:pPr>
              <w:spacing w:after="0"/>
              <w:rPr>
                <w:rFonts w:ascii="Arial" w:hAnsi="Arial" w:cs="Arial"/>
              </w:rPr>
            </w:pPr>
            <w:r w:rsidRPr="00511322">
              <w:rPr>
                <w:rFonts w:ascii="Arial" w:hAnsi="Arial" w:cs="Arial"/>
              </w:rPr>
              <w:t>60%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511322" w:rsidRPr="00511322" w:rsidRDefault="00511322" w:rsidP="00511322">
            <w:pPr>
              <w:spacing w:after="0"/>
              <w:rPr>
                <w:rFonts w:ascii="Arial" w:hAnsi="Arial" w:cs="Arial"/>
              </w:rPr>
            </w:pPr>
            <w:r w:rsidRPr="00511322">
              <w:rPr>
                <w:rFonts w:ascii="Arial" w:hAnsi="Arial" w:cs="Arial"/>
              </w:rPr>
              <w:t>60%</w:t>
            </w:r>
          </w:p>
        </w:tc>
        <w:tc>
          <w:tcPr>
            <w:tcW w:w="1276" w:type="dxa"/>
            <w:tcBorders>
              <w:top w:val="nil"/>
              <w:left w:val="nil"/>
              <w:bottom w:val="single" w:sz="4" w:space="0" w:color="auto"/>
              <w:right w:val="nil"/>
            </w:tcBorders>
            <w:shd w:val="clear" w:color="auto" w:fill="auto"/>
            <w:noWrap/>
            <w:vAlign w:val="center"/>
            <w:hideMark/>
          </w:tcPr>
          <w:p w:rsidR="00511322" w:rsidRPr="00511322" w:rsidRDefault="00511322" w:rsidP="00511322">
            <w:pPr>
              <w:spacing w:after="0"/>
              <w:rPr>
                <w:rFonts w:ascii="Arial" w:hAnsi="Arial" w:cs="Arial"/>
              </w:rPr>
            </w:pPr>
            <w:r w:rsidRPr="00511322">
              <w:rPr>
                <w:rFonts w:ascii="Arial" w:hAnsi="Arial" w:cs="Arial"/>
              </w:rPr>
              <w:t>61%</w:t>
            </w:r>
          </w:p>
        </w:tc>
        <w:tc>
          <w:tcPr>
            <w:tcW w:w="1275" w:type="dxa"/>
            <w:tcBorders>
              <w:top w:val="nil"/>
              <w:left w:val="single" w:sz="8" w:space="0" w:color="auto"/>
              <w:bottom w:val="single" w:sz="4" w:space="0" w:color="auto"/>
              <w:right w:val="single" w:sz="8" w:space="0" w:color="auto"/>
            </w:tcBorders>
            <w:shd w:val="clear" w:color="auto" w:fill="auto"/>
            <w:noWrap/>
            <w:hideMark/>
          </w:tcPr>
          <w:p w:rsidR="00511322" w:rsidRPr="00511322" w:rsidRDefault="00511322" w:rsidP="00511322">
            <w:pPr>
              <w:spacing w:after="0" w:line="240" w:lineRule="auto"/>
              <w:rPr>
                <w:rFonts w:ascii="Arial" w:eastAsia="Times New Roman" w:hAnsi="Arial" w:cs="Arial"/>
                <w:color w:val="000000"/>
                <w:lang w:eastAsia="en-AU"/>
              </w:rPr>
            </w:pPr>
          </w:p>
        </w:tc>
        <w:tc>
          <w:tcPr>
            <w:tcW w:w="1276" w:type="dxa"/>
            <w:tcBorders>
              <w:top w:val="nil"/>
              <w:left w:val="nil"/>
              <w:bottom w:val="single" w:sz="4" w:space="0" w:color="auto"/>
              <w:right w:val="single" w:sz="8" w:space="0" w:color="auto"/>
            </w:tcBorders>
            <w:shd w:val="clear" w:color="auto" w:fill="auto"/>
            <w:noWrap/>
            <w:vAlign w:val="bottom"/>
            <w:hideMark/>
          </w:tcPr>
          <w:p w:rsidR="00511322" w:rsidRPr="00511322" w:rsidRDefault="00511322" w:rsidP="00511322">
            <w:pPr>
              <w:spacing w:after="0" w:line="240" w:lineRule="auto"/>
              <w:rPr>
                <w:rFonts w:ascii="Arial" w:eastAsia="Times New Roman" w:hAnsi="Arial" w:cs="Arial"/>
                <w:color w:val="000000"/>
                <w:lang w:eastAsia="en-AU"/>
              </w:rPr>
            </w:pPr>
          </w:p>
        </w:tc>
      </w:tr>
      <w:tr w:rsidR="00511322"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511322" w:rsidRPr="00AD165E" w:rsidRDefault="00511322" w:rsidP="00511322">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2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511322" w:rsidRPr="00511322" w:rsidRDefault="00511322" w:rsidP="00511322">
            <w:pPr>
              <w:spacing w:after="0"/>
              <w:rPr>
                <w:rFonts w:ascii="Arial" w:hAnsi="Arial" w:cs="Arial"/>
              </w:rPr>
            </w:pPr>
            <w:r w:rsidRPr="00511322">
              <w:rPr>
                <w:rFonts w:ascii="Arial" w:hAnsi="Arial" w:cs="Arial"/>
              </w:rPr>
              <w:t>52%</w:t>
            </w:r>
          </w:p>
        </w:tc>
        <w:tc>
          <w:tcPr>
            <w:tcW w:w="1276" w:type="dxa"/>
            <w:tcBorders>
              <w:top w:val="nil"/>
              <w:left w:val="nil"/>
              <w:bottom w:val="single" w:sz="4" w:space="0" w:color="auto"/>
              <w:right w:val="nil"/>
            </w:tcBorders>
            <w:shd w:val="clear" w:color="auto" w:fill="auto"/>
            <w:noWrap/>
            <w:vAlign w:val="center"/>
            <w:hideMark/>
          </w:tcPr>
          <w:p w:rsidR="00511322" w:rsidRPr="00511322" w:rsidRDefault="00511322" w:rsidP="00511322">
            <w:pPr>
              <w:spacing w:after="0"/>
              <w:rPr>
                <w:rFonts w:ascii="Arial" w:hAnsi="Arial" w:cs="Arial"/>
              </w:rPr>
            </w:pPr>
            <w:r w:rsidRPr="00511322">
              <w:rPr>
                <w:rFonts w:ascii="Arial" w:hAnsi="Arial" w:cs="Arial"/>
              </w:rPr>
              <w:t>56%</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511322" w:rsidRPr="00511322" w:rsidRDefault="00511322" w:rsidP="00511322">
            <w:pPr>
              <w:spacing w:after="0"/>
              <w:rPr>
                <w:rFonts w:ascii="Arial" w:hAnsi="Arial" w:cs="Arial"/>
              </w:rPr>
            </w:pPr>
            <w:r w:rsidRPr="00511322">
              <w:rPr>
                <w:rFonts w:ascii="Arial" w:hAnsi="Arial" w:cs="Arial"/>
              </w:rPr>
              <w:t>56%</w:t>
            </w:r>
          </w:p>
        </w:tc>
        <w:tc>
          <w:tcPr>
            <w:tcW w:w="1276" w:type="dxa"/>
            <w:tcBorders>
              <w:top w:val="nil"/>
              <w:left w:val="nil"/>
              <w:bottom w:val="single" w:sz="4" w:space="0" w:color="auto"/>
              <w:right w:val="nil"/>
            </w:tcBorders>
            <w:shd w:val="clear" w:color="auto" w:fill="auto"/>
            <w:noWrap/>
            <w:hideMark/>
          </w:tcPr>
          <w:p w:rsidR="00511322" w:rsidRPr="00511322" w:rsidRDefault="00511322" w:rsidP="00511322">
            <w:pPr>
              <w:spacing w:after="0" w:line="240" w:lineRule="auto"/>
              <w:rPr>
                <w:rFonts w:ascii="Arial" w:eastAsia="Times New Roman" w:hAnsi="Arial" w:cs="Arial"/>
                <w:color w:val="000000"/>
                <w:lang w:eastAsia="en-AU"/>
              </w:rPr>
            </w:pP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511322" w:rsidRPr="00511322" w:rsidRDefault="00511322" w:rsidP="00511322">
            <w:pPr>
              <w:spacing w:after="0" w:line="240" w:lineRule="auto"/>
              <w:rPr>
                <w:rFonts w:ascii="Arial" w:eastAsia="Times New Roman" w:hAnsi="Arial" w:cs="Arial"/>
                <w:color w:val="000000"/>
                <w:lang w:eastAsia="en-AU"/>
              </w:rPr>
            </w:pPr>
          </w:p>
        </w:tc>
        <w:tc>
          <w:tcPr>
            <w:tcW w:w="1276" w:type="dxa"/>
            <w:tcBorders>
              <w:top w:val="nil"/>
              <w:left w:val="nil"/>
              <w:bottom w:val="single" w:sz="4" w:space="0" w:color="auto"/>
              <w:right w:val="single" w:sz="8" w:space="0" w:color="auto"/>
            </w:tcBorders>
            <w:shd w:val="clear" w:color="auto" w:fill="auto"/>
            <w:noWrap/>
            <w:vAlign w:val="center"/>
            <w:hideMark/>
          </w:tcPr>
          <w:p w:rsidR="00511322" w:rsidRPr="00511322" w:rsidRDefault="00511322" w:rsidP="00511322">
            <w:pPr>
              <w:spacing w:after="0" w:line="240" w:lineRule="auto"/>
              <w:rPr>
                <w:rFonts w:ascii="Arial" w:eastAsia="Times New Roman" w:hAnsi="Arial" w:cs="Arial"/>
                <w:color w:val="000000"/>
                <w:lang w:eastAsia="en-AU"/>
              </w:rPr>
            </w:pPr>
          </w:p>
        </w:tc>
      </w:tr>
      <w:tr w:rsidR="00511322" w:rsidRPr="00AD165E" w:rsidTr="00632614">
        <w:trPr>
          <w:trHeight w:val="285"/>
        </w:trPr>
        <w:tc>
          <w:tcPr>
            <w:tcW w:w="1500" w:type="dxa"/>
            <w:tcBorders>
              <w:top w:val="nil"/>
              <w:left w:val="single" w:sz="8" w:space="0" w:color="auto"/>
              <w:bottom w:val="single" w:sz="8" w:space="0" w:color="auto"/>
              <w:right w:val="nil"/>
            </w:tcBorders>
            <w:shd w:val="clear" w:color="auto" w:fill="auto"/>
            <w:noWrap/>
            <w:vAlign w:val="bottom"/>
            <w:hideMark/>
          </w:tcPr>
          <w:p w:rsidR="00511322" w:rsidRPr="00AD165E" w:rsidRDefault="00511322" w:rsidP="00511322">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1 year</w:t>
            </w:r>
          </w:p>
        </w:tc>
        <w:tc>
          <w:tcPr>
            <w:tcW w:w="1325" w:type="dxa"/>
            <w:tcBorders>
              <w:top w:val="nil"/>
              <w:left w:val="single" w:sz="8" w:space="0" w:color="auto"/>
              <w:bottom w:val="single" w:sz="8" w:space="0" w:color="auto"/>
              <w:right w:val="single" w:sz="8" w:space="0" w:color="auto"/>
            </w:tcBorders>
            <w:shd w:val="clear" w:color="auto" w:fill="auto"/>
            <w:noWrap/>
            <w:vAlign w:val="center"/>
            <w:hideMark/>
          </w:tcPr>
          <w:p w:rsidR="00511322" w:rsidRPr="00511322" w:rsidRDefault="00511322" w:rsidP="00511322">
            <w:pPr>
              <w:spacing w:after="0"/>
              <w:rPr>
                <w:rFonts w:ascii="Arial" w:hAnsi="Arial" w:cs="Arial"/>
              </w:rPr>
            </w:pPr>
            <w:r w:rsidRPr="00511322">
              <w:rPr>
                <w:rFonts w:ascii="Arial" w:hAnsi="Arial" w:cs="Arial"/>
              </w:rPr>
              <w:t>49%</w:t>
            </w:r>
          </w:p>
        </w:tc>
        <w:tc>
          <w:tcPr>
            <w:tcW w:w="1276" w:type="dxa"/>
            <w:tcBorders>
              <w:top w:val="nil"/>
              <w:left w:val="nil"/>
              <w:bottom w:val="single" w:sz="8" w:space="0" w:color="auto"/>
              <w:right w:val="nil"/>
            </w:tcBorders>
            <w:shd w:val="clear" w:color="auto" w:fill="auto"/>
            <w:noWrap/>
            <w:vAlign w:val="center"/>
            <w:hideMark/>
          </w:tcPr>
          <w:p w:rsidR="00511322" w:rsidRPr="00511322" w:rsidRDefault="00511322" w:rsidP="00511322">
            <w:pPr>
              <w:spacing w:after="0"/>
              <w:rPr>
                <w:rFonts w:ascii="Arial" w:hAnsi="Arial" w:cs="Arial"/>
              </w:rPr>
            </w:pPr>
            <w:r w:rsidRPr="00511322">
              <w:rPr>
                <w:rFonts w:ascii="Arial" w:hAnsi="Arial" w:cs="Arial"/>
              </w:rPr>
              <w:t>52%</w:t>
            </w:r>
          </w:p>
        </w:tc>
        <w:tc>
          <w:tcPr>
            <w:tcW w:w="1276" w:type="dxa"/>
            <w:tcBorders>
              <w:top w:val="nil"/>
              <w:left w:val="single" w:sz="8" w:space="0" w:color="auto"/>
              <w:bottom w:val="single" w:sz="8" w:space="0" w:color="auto"/>
              <w:right w:val="single" w:sz="8" w:space="0" w:color="auto"/>
            </w:tcBorders>
            <w:shd w:val="clear" w:color="auto" w:fill="auto"/>
            <w:noWrap/>
            <w:hideMark/>
          </w:tcPr>
          <w:p w:rsidR="00511322" w:rsidRPr="00511322" w:rsidRDefault="00511322" w:rsidP="00511322">
            <w:pPr>
              <w:spacing w:after="0" w:line="240" w:lineRule="auto"/>
              <w:rPr>
                <w:rFonts w:ascii="Arial" w:eastAsia="Times New Roman" w:hAnsi="Arial" w:cs="Arial"/>
                <w:color w:val="000000"/>
                <w:lang w:eastAsia="en-AU"/>
              </w:rPr>
            </w:pPr>
          </w:p>
        </w:tc>
        <w:tc>
          <w:tcPr>
            <w:tcW w:w="1276" w:type="dxa"/>
            <w:tcBorders>
              <w:top w:val="nil"/>
              <w:left w:val="nil"/>
              <w:bottom w:val="single" w:sz="8" w:space="0" w:color="auto"/>
              <w:right w:val="nil"/>
            </w:tcBorders>
            <w:shd w:val="clear" w:color="auto" w:fill="auto"/>
            <w:noWrap/>
            <w:vAlign w:val="center"/>
            <w:hideMark/>
          </w:tcPr>
          <w:p w:rsidR="00511322" w:rsidRPr="00511322" w:rsidRDefault="00511322" w:rsidP="00511322">
            <w:pPr>
              <w:spacing w:after="0" w:line="240" w:lineRule="auto"/>
              <w:rPr>
                <w:rFonts w:ascii="Arial" w:eastAsia="Times New Roman" w:hAnsi="Arial" w:cs="Arial"/>
                <w:color w:val="000000"/>
                <w:lang w:eastAsia="en-AU"/>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rsidR="00511322" w:rsidRPr="00511322" w:rsidRDefault="00511322" w:rsidP="00511322">
            <w:pPr>
              <w:spacing w:after="0" w:line="240" w:lineRule="auto"/>
              <w:rPr>
                <w:rFonts w:ascii="Arial" w:eastAsia="Times New Roman" w:hAnsi="Arial" w:cs="Arial"/>
                <w:color w:val="000000"/>
                <w:lang w:eastAsia="en-AU"/>
              </w:rPr>
            </w:pPr>
          </w:p>
        </w:tc>
        <w:tc>
          <w:tcPr>
            <w:tcW w:w="1276" w:type="dxa"/>
            <w:tcBorders>
              <w:top w:val="nil"/>
              <w:left w:val="nil"/>
              <w:bottom w:val="single" w:sz="8" w:space="0" w:color="auto"/>
              <w:right w:val="single" w:sz="8" w:space="0" w:color="auto"/>
            </w:tcBorders>
            <w:shd w:val="clear" w:color="auto" w:fill="auto"/>
            <w:noWrap/>
            <w:hideMark/>
          </w:tcPr>
          <w:p w:rsidR="00511322" w:rsidRPr="00511322" w:rsidRDefault="00511322" w:rsidP="00511322">
            <w:pPr>
              <w:spacing w:after="0" w:line="240" w:lineRule="auto"/>
              <w:rPr>
                <w:rFonts w:ascii="Arial" w:eastAsia="Times New Roman" w:hAnsi="Arial" w:cs="Arial"/>
                <w:color w:val="000000"/>
                <w:lang w:eastAsia="en-AU"/>
              </w:rPr>
            </w:pPr>
          </w:p>
        </w:tc>
      </w:tr>
    </w:tbl>
    <w:p w:rsidR="00550D6D" w:rsidRDefault="00550D6D" w:rsidP="00412BE9">
      <w:pPr>
        <w:spacing w:after="240"/>
        <w:rPr>
          <w:rFonts w:cstheme="minorHAnsi"/>
        </w:rPr>
      </w:pPr>
    </w:p>
    <w:p w:rsidR="00B83265" w:rsidRPr="002817DE" w:rsidRDefault="00B83265" w:rsidP="002817DE">
      <w:pPr>
        <w:pStyle w:val="Heading2"/>
      </w:pPr>
      <w:bookmarkStart w:id="70" w:name="_Toc121151442"/>
      <w:r w:rsidRPr="002817DE">
        <w:t>Slide 60: Participants aged 15 and over – Social, community and civic participation: Leisure activities and trying new things</w:t>
      </w:r>
      <w:bookmarkEnd w:id="70"/>
    </w:p>
    <w:p w:rsidR="00B83265" w:rsidRPr="009925C7" w:rsidRDefault="00B83265" w:rsidP="00B83265">
      <w:pPr>
        <w:spacing w:after="240"/>
        <w:rPr>
          <w:rFonts w:cstheme="minorHAnsi"/>
        </w:rPr>
      </w:pPr>
      <w:r w:rsidRPr="009925C7">
        <w:rPr>
          <w:rFonts w:cstheme="minorHAnsi"/>
        </w:rPr>
        <w:t>Long form survey results for participants aged 15 and over show positive changes in key social and community participation indicators.</w:t>
      </w:r>
    </w:p>
    <w:p w:rsidR="00B83265" w:rsidRPr="009925C7" w:rsidRDefault="00B83265" w:rsidP="00B83265">
      <w:pPr>
        <w:spacing w:after="240"/>
        <w:rPr>
          <w:rFonts w:cstheme="minorHAnsi"/>
        </w:rPr>
      </w:pPr>
      <w:r w:rsidRPr="009925C7">
        <w:rPr>
          <w:rFonts w:cstheme="minorHAnsi"/>
        </w:rPr>
        <w:t>Over five years, participants have reported a 27.6 percentage point increase in their leisure activity participation – 97.4% at fifth review compared to 69.7% at baseline. This includes a very large increase at fourth review (25 percentage points). Similar improvements are seen across all other cohorts.</w:t>
      </w:r>
    </w:p>
    <w:p w:rsidR="00B83265" w:rsidRDefault="00B83265" w:rsidP="00B83265">
      <w:pPr>
        <w:spacing w:after="240"/>
        <w:rPr>
          <w:rFonts w:cstheme="minorHAnsi"/>
        </w:rPr>
      </w:pPr>
      <w:r w:rsidRPr="009925C7">
        <w:rPr>
          <w:rFonts w:cstheme="minorHAnsi"/>
        </w:rPr>
        <w:t>A higher percentage of participants are indicating that they have opportunities to try new things and have new experiences. While there is a large increase for cohort five (52.6% to 77.6%), this is mainly due to large increases in the first couple of years (28.2 percentage points) and a stabilisation between second and fifth review. For other cohorts, the general increasing trend appears to be flatter, with improvements across cohorts one to four of 0.9, 2.9, 7.6 and 3.4 percentage points, respectively.</w:t>
      </w:r>
    </w:p>
    <w:p w:rsidR="00B83265" w:rsidRDefault="00B83265" w:rsidP="00B83265">
      <w:pPr>
        <w:spacing w:after="240"/>
        <w:rPr>
          <w:rFonts w:cstheme="minorHAnsi"/>
        </w:rPr>
      </w:pPr>
      <w:r>
        <w:rPr>
          <w:rFonts w:cstheme="minorHAnsi"/>
        </w:rPr>
        <w:t xml:space="preserve">Two charts show </w:t>
      </w:r>
      <w:r w:rsidRPr="00AD4C8D">
        <w:rPr>
          <w:rFonts w:cstheme="minorHAnsi"/>
        </w:rPr>
        <w:t xml:space="preserve">the percentage </w:t>
      </w:r>
      <w:r w:rsidRPr="00BE65DB">
        <w:rPr>
          <w:rFonts w:cstheme="minorHAnsi"/>
        </w:rPr>
        <w:t xml:space="preserve">who </w:t>
      </w:r>
      <w:r>
        <w:rPr>
          <w:rFonts w:cstheme="minorHAnsi"/>
        </w:rPr>
        <w:t xml:space="preserve">have taken part in leisure activities in the past 12 months and who have opportunity to try new things and have new experiences </w:t>
      </w:r>
      <w:r w:rsidRPr="00AD4C8D">
        <w:rPr>
          <w:rFonts w:cstheme="minorHAnsi"/>
        </w:rPr>
        <w:t xml:space="preserve">at baseline and at subsequent reviews, separately for participants </w:t>
      </w:r>
      <w:r>
        <w:rPr>
          <w:rFonts w:cstheme="minorHAnsi"/>
        </w:rPr>
        <w:t xml:space="preserve">in the one </w:t>
      </w:r>
      <w:r w:rsidR="006B5314">
        <w:rPr>
          <w:rFonts w:cstheme="minorHAnsi"/>
        </w:rPr>
        <w:t>to</w:t>
      </w:r>
      <w:r>
        <w:rPr>
          <w:rFonts w:cstheme="minorHAnsi"/>
        </w:rPr>
        <w:t xml:space="preserve"> five years</w:t>
      </w:r>
      <w:r w:rsidR="006B5314">
        <w:rPr>
          <w:rFonts w:cstheme="minorHAnsi"/>
        </w:rPr>
        <w:t xml:space="preserve"> cohorts</w:t>
      </w:r>
      <w:r>
        <w:rPr>
          <w:rFonts w:cstheme="minorHAnsi"/>
        </w:rPr>
        <w:t>.</w:t>
      </w:r>
    </w:p>
    <w:p w:rsidR="006B5314" w:rsidRDefault="006B5314" w:rsidP="006B5314">
      <w:pPr>
        <w:spacing w:after="240"/>
        <w:rPr>
          <w:rFonts w:cstheme="minorHAnsi"/>
        </w:rPr>
      </w:pPr>
      <w:r>
        <w:rPr>
          <w:rFonts w:cstheme="minorHAnsi"/>
        </w:rPr>
        <w:t>For PSto14, analysed by time since first in P15to24, otherwise by time in Scheme.</w:t>
      </w:r>
    </w:p>
    <w:p w:rsidR="006B5314" w:rsidRDefault="006B5314" w:rsidP="006B5314">
      <w:pPr>
        <w:spacing w:after="240"/>
        <w:rPr>
          <w:rFonts w:cstheme="minorHAnsi"/>
        </w:rPr>
      </w:pPr>
      <w:r>
        <w:rPr>
          <w:rFonts w:cstheme="minorHAnsi"/>
        </w:rPr>
        <w:t>These indicators improved.</w:t>
      </w:r>
    </w:p>
    <w:p w:rsidR="00B83265" w:rsidRDefault="00B83265" w:rsidP="00B83265">
      <w:pPr>
        <w:spacing w:after="240"/>
        <w:rPr>
          <w:rFonts w:cstheme="minorHAnsi"/>
        </w:rPr>
      </w:pPr>
      <w:r w:rsidRPr="00BE65DB">
        <w:rPr>
          <w:rFonts w:cstheme="minorHAnsi"/>
        </w:rPr>
        <w:t xml:space="preserve">% who </w:t>
      </w:r>
      <w:r>
        <w:rPr>
          <w:rFonts w:cstheme="minorHAnsi"/>
        </w:rPr>
        <w:t>have taken part in leisure activities in the past 12 months</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97"/>
        <w:gridCol w:w="1197"/>
        <w:gridCol w:w="1197"/>
        <w:gridCol w:w="1197"/>
        <w:gridCol w:w="1197"/>
        <w:gridCol w:w="1197"/>
      </w:tblGrid>
      <w:tr w:rsidR="00B83265" w:rsidRPr="00E15E84" w:rsidTr="00E15E84">
        <w:trPr>
          <w:trHeight w:val="264"/>
        </w:trPr>
        <w:tc>
          <w:tcPr>
            <w:tcW w:w="2689" w:type="dxa"/>
            <w:noWrap/>
            <w:vAlign w:val="center"/>
            <w:hideMark/>
          </w:tcPr>
          <w:p w:rsidR="00B83265" w:rsidRPr="00E15E84" w:rsidRDefault="00B83265" w:rsidP="00E15E84">
            <w:pPr>
              <w:spacing w:after="0"/>
              <w:rPr>
                <w:rFonts w:ascii="Arial" w:eastAsia="Times New Roman" w:hAnsi="Arial" w:cs="Arial"/>
                <w:b/>
                <w:bCs/>
                <w:color w:val="000000"/>
                <w:lang w:eastAsia="zh-CN"/>
              </w:rPr>
            </w:pPr>
            <w:r w:rsidRPr="00E15E84">
              <w:rPr>
                <w:rFonts w:ascii="Arial" w:eastAsia="Times New Roman" w:hAnsi="Arial" w:cs="Arial"/>
                <w:b/>
                <w:bCs/>
                <w:color w:val="000000"/>
                <w:lang w:eastAsia="zh-CN"/>
              </w:rPr>
              <w:t>Cohort</w:t>
            </w:r>
          </w:p>
        </w:tc>
        <w:tc>
          <w:tcPr>
            <w:tcW w:w="1197" w:type="dxa"/>
            <w:noWrap/>
            <w:vAlign w:val="center"/>
            <w:hideMark/>
          </w:tcPr>
          <w:p w:rsidR="00B83265" w:rsidRPr="00E15E84" w:rsidRDefault="00B83265" w:rsidP="00E15E84">
            <w:pPr>
              <w:spacing w:after="0"/>
              <w:rPr>
                <w:rFonts w:ascii="Arial" w:eastAsia="Times New Roman" w:hAnsi="Arial" w:cs="Arial"/>
                <w:b/>
                <w:bCs/>
                <w:color w:val="000000"/>
                <w:lang w:eastAsia="zh-CN"/>
              </w:rPr>
            </w:pPr>
            <w:r w:rsidRPr="00E15E84">
              <w:rPr>
                <w:rFonts w:ascii="Arial" w:eastAsia="Times New Roman" w:hAnsi="Arial" w:cs="Arial"/>
                <w:b/>
                <w:bCs/>
                <w:color w:val="000000"/>
                <w:lang w:eastAsia="zh-CN"/>
              </w:rPr>
              <w:t>Baseline</w:t>
            </w:r>
          </w:p>
        </w:tc>
        <w:tc>
          <w:tcPr>
            <w:tcW w:w="1197" w:type="dxa"/>
            <w:noWrap/>
            <w:vAlign w:val="center"/>
            <w:hideMark/>
          </w:tcPr>
          <w:p w:rsidR="00B83265" w:rsidRPr="00E15E84" w:rsidRDefault="00B83265" w:rsidP="00E15E84">
            <w:pPr>
              <w:spacing w:after="0"/>
              <w:rPr>
                <w:rFonts w:ascii="Arial" w:eastAsia="Times New Roman" w:hAnsi="Arial" w:cs="Arial"/>
                <w:b/>
                <w:bCs/>
                <w:color w:val="000000"/>
                <w:lang w:eastAsia="zh-CN"/>
              </w:rPr>
            </w:pPr>
            <w:r w:rsidRPr="00E15E84">
              <w:rPr>
                <w:rFonts w:ascii="Arial" w:eastAsia="Times New Roman" w:hAnsi="Arial" w:cs="Arial"/>
                <w:b/>
                <w:bCs/>
                <w:color w:val="000000"/>
                <w:lang w:eastAsia="zh-CN"/>
              </w:rPr>
              <w:t>Review 1</w:t>
            </w:r>
          </w:p>
        </w:tc>
        <w:tc>
          <w:tcPr>
            <w:tcW w:w="1197" w:type="dxa"/>
            <w:noWrap/>
            <w:vAlign w:val="center"/>
            <w:hideMark/>
          </w:tcPr>
          <w:p w:rsidR="00B83265" w:rsidRPr="00E15E84" w:rsidRDefault="00B83265" w:rsidP="00E15E84">
            <w:pPr>
              <w:spacing w:after="0"/>
              <w:rPr>
                <w:rFonts w:ascii="Arial" w:eastAsia="Times New Roman" w:hAnsi="Arial" w:cs="Arial"/>
                <w:b/>
                <w:bCs/>
                <w:color w:val="000000"/>
                <w:lang w:eastAsia="zh-CN"/>
              </w:rPr>
            </w:pPr>
            <w:r w:rsidRPr="00E15E84">
              <w:rPr>
                <w:rFonts w:ascii="Arial" w:eastAsia="Times New Roman" w:hAnsi="Arial" w:cs="Arial"/>
                <w:b/>
                <w:bCs/>
                <w:color w:val="000000"/>
                <w:lang w:eastAsia="zh-CN"/>
              </w:rPr>
              <w:t>Review 2</w:t>
            </w:r>
          </w:p>
        </w:tc>
        <w:tc>
          <w:tcPr>
            <w:tcW w:w="1197" w:type="dxa"/>
            <w:noWrap/>
            <w:vAlign w:val="center"/>
            <w:hideMark/>
          </w:tcPr>
          <w:p w:rsidR="00B83265" w:rsidRPr="00E15E84" w:rsidRDefault="00B83265" w:rsidP="00E15E84">
            <w:pPr>
              <w:spacing w:after="0"/>
              <w:rPr>
                <w:rFonts w:ascii="Arial" w:eastAsia="Times New Roman" w:hAnsi="Arial" w:cs="Arial"/>
                <w:b/>
                <w:bCs/>
                <w:color w:val="000000"/>
                <w:lang w:eastAsia="zh-CN"/>
              </w:rPr>
            </w:pPr>
            <w:r w:rsidRPr="00E15E84">
              <w:rPr>
                <w:rFonts w:ascii="Arial" w:eastAsia="Times New Roman" w:hAnsi="Arial" w:cs="Arial"/>
                <w:b/>
                <w:bCs/>
                <w:color w:val="000000"/>
                <w:lang w:eastAsia="zh-CN"/>
              </w:rPr>
              <w:t>Review 3</w:t>
            </w:r>
          </w:p>
        </w:tc>
        <w:tc>
          <w:tcPr>
            <w:tcW w:w="1197" w:type="dxa"/>
            <w:noWrap/>
            <w:vAlign w:val="center"/>
            <w:hideMark/>
          </w:tcPr>
          <w:p w:rsidR="00B83265" w:rsidRPr="00E15E84" w:rsidRDefault="00B83265" w:rsidP="00E15E84">
            <w:pPr>
              <w:spacing w:after="0"/>
              <w:rPr>
                <w:rFonts w:ascii="Arial" w:eastAsia="Times New Roman" w:hAnsi="Arial" w:cs="Arial"/>
                <w:b/>
                <w:bCs/>
                <w:color w:val="000000"/>
                <w:lang w:eastAsia="zh-CN"/>
              </w:rPr>
            </w:pPr>
            <w:r w:rsidRPr="00E15E84">
              <w:rPr>
                <w:rFonts w:ascii="Arial" w:eastAsia="Times New Roman" w:hAnsi="Arial" w:cs="Arial"/>
                <w:b/>
                <w:bCs/>
                <w:color w:val="000000"/>
                <w:lang w:eastAsia="zh-CN"/>
              </w:rPr>
              <w:t>Review 4</w:t>
            </w:r>
          </w:p>
        </w:tc>
        <w:tc>
          <w:tcPr>
            <w:tcW w:w="1197" w:type="dxa"/>
            <w:vAlign w:val="center"/>
          </w:tcPr>
          <w:p w:rsidR="00B83265" w:rsidRPr="00E15E84" w:rsidRDefault="00B83265" w:rsidP="00E15E84">
            <w:pPr>
              <w:spacing w:after="0"/>
              <w:rPr>
                <w:rFonts w:ascii="Arial" w:eastAsia="Times New Roman" w:hAnsi="Arial" w:cs="Arial"/>
                <w:b/>
                <w:bCs/>
                <w:color w:val="000000"/>
                <w:lang w:eastAsia="zh-CN"/>
              </w:rPr>
            </w:pPr>
            <w:r w:rsidRPr="00E15E84">
              <w:rPr>
                <w:rFonts w:ascii="Arial" w:eastAsia="Times New Roman" w:hAnsi="Arial" w:cs="Arial"/>
                <w:b/>
                <w:bCs/>
                <w:color w:val="000000"/>
                <w:lang w:eastAsia="zh-CN"/>
              </w:rPr>
              <w:t>Review 5</w:t>
            </w:r>
          </w:p>
        </w:tc>
      </w:tr>
      <w:tr w:rsidR="00B83265" w:rsidRPr="00E15E84" w:rsidTr="00E15E84">
        <w:trPr>
          <w:trHeight w:val="264"/>
        </w:trPr>
        <w:tc>
          <w:tcPr>
            <w:tcW w:w="2689" w:type="dxa"/>
            <w:noWrap/>
            <w:vAlign w:val="center"/>
          </w:tcPr>
          <w:p w:rsidR="00B83265" w:rsidRPr="00E15E84" w:rsidRDefault="00B83265" w:rsidP="00E15E84">
            <w:pPr>
              <w:spacing w:after="0"/>
              <w:rPr>
                <w:rFonts w:ascii="Arial" w:hAnsi="Arial" w:cs="Arial"/>
                <w:color w:val="000000"/>
              </w:rPr>
            </w:pPr>
            <w:r w:rsidRPr="00E15E84">
              <w:rPr>
                <w:rFonts w:ascii="Arial" w:hAnsi="Arial" w:cs="Arial"/>
              </w:rPr>
              <w:t>5 year</w:t>
            </w:r>
            <w:r w:rsidR="00E15E84" w:rsidRPr="00E15E84">
              <w:rPr>
                <w:rFonts w:ascii="Arial" w:hAnsi="Arial" w:cs="Arial"/>
              </w:rPr>
              <w:t>s</w:t>
            </w:r>
          </w:p>
        </w:tc>
        <w:tc>
          <w:tcPr>
            <w:tcW w:w="1197" w:type="dxa"/>
            <w:noWrap/>
            <w:vAlign w:val="center"/>
          </w:tcPr>
          <w:p w:rsidR="00B83265" w:rsidRPr="00E15E84" w:rsidRDefault="00B83265" w:rsidP="00E15E84">
            <w:pPr>
              <w:spacing w:after="0"/>
              <w:rPr>
                <w:rFonts w:ascii="Arial" w:hAnsi="Arial" w:cs="Arial"/>
              </w:rPr>
            </w:pPr>
            <w:r w:rsidRPr="00E15E84">
              <w:rPr>
                <w:rFonts w:ascii="Arial" w:hAnsi="Arial" w:cs="Arial"/>
              </w:rPr>
              <w:t>69.7%</w:t>
            </w:r>
          </w:p>
        </w:tc>
        <w:tc>
          <w:tcPr>
            <w:tcW w:w="1197" w:type="dxa"/>
            <w:noWrap/>
            <w:vAlign w:val="center"/>
          </w:tcPr>
          <w:p w:rsidR="00B83265" w:rsidRPr="00E15E84" w:rsidRDefault="00B83265" w:rsidP="00E15E84">
            <w:pPr>
              <w:spacing w:after="0"/>
              <w:rPr>
                <w:rFonts w:ascii="Arial" w:hAnsi="Arial" w:cs="Arial"/>
              </w:rPr>
            </w:pPr>
            <w:r w:rsidRPr="00E15E84">
              <w:rPr>
                <w:rFonts w:ascii="Arial" w:hAnsi="Arial" w:cs="Arial"/>
              </w:rPr>
              <w:t>66.7%</w:t>
            </w:r>
          </w:p>
        </w:tc>
        <w:tc>
          <w:tcPr>
            <w:tcW w:w="1197" w:type="dxa"/>
            <w:noWrap/>
            <w:vAlign w:val="center"/>
          </w:tcPr>
          <w:p w:rsidR="00B83265" w:rsidRPr="00E15E84" w:rsidRDefault="00B83265" w:rsidP="00E15E84">
            <w:pPr>
              <w:spacing w:after="0"/>
              <w:rPr>
                <w:rFonts w:ascii="Arial" w:hAnsi="Arial" w:cs="Arial"/>
              </w:rPr>
            </w:pPr>
            <w:r w:rsidRPr="00E15E84">
              <w:rPr>
                <w:rFonts w:ascii="Arial" w:hAnsi="Arial" w:cs="Arial"/>
              </w:rPr>
              <w:t>70.7%</w:t>
            </w:r>
          </w:p>
        </w:tc>
        <w:tc>
          <w:tcPr>
            <w:tcW w:w="1197" w:type="dxa"/>
            <w:noWrap/>
            <w:vAlign w:val="center"/>
          </w:tcPr>
          <w:p w:rsidR="00B83265" w:rsidRPr="00E15E84" w:rsidRDefault="00B83265" w:rsidP="00E15E84">
            <w:pPr>
              <w:spacing w:after="0"/>
              <w:rPr>
                <w:rFonts w:ascii="Arial" w:hAnsi="Arial" w:cs="Arial"/>
              </w:rPr>
            </w:pPr>
            <w:r w:rsidRPr="00E15E84">
              <w:rPr>
                <w:rFonts w:ascii="Arial" w:hAnsi="Arial" w:cs="Arial"/>
              </w:rPr>
              <w:t>71.1%</w:t>
            </w:r>
          </w:p>
        </w:tc>
        <w:tc>
          <w:tcPr>
            <w:tcW w:w="1197" w:type="dxa"/>
            <w:noWrap/>
            <w:vAlign w:val="center"/>
          </w:tcPr>
          <w:p w:rsidR="00B83265" w:rsidRPr="00E15E84" w:rsidRDefault="00B83265" w:rsidP="00E15E84">
            <w:pPr>
              <w:spacing w:after="0"/>
              <w:rPr>
                <w:rFonts w:ascii="Arial" w:hAnsi="Arial" w:cs="Arial"/>
              </w:rPr>
            </w:pPr>
            <w:r w:rsidRPr="00E15E84">
              <w:rPr>
                <w:rFonts w:ascii="Arial" w:hAnsi="Arial" w:cs="Arial"/>
              </w:rPr>
              <w:t>96.1%</w:t>
            </w:r>
          </w:p>
        </w:tc>
        <w:tc>
          <w:tcPr>
            <w:tcW w:w="1197" w:type="dxa"/>
            <w:vAlign w:val="center"/>
          </w:tcPr>
          <w:p w:rsidR="00B83265" w:rsidRPr="00E15E84" w:rsidRDefault="00B83265" w:rsidP="00E15E84">
            <w:pPr>
              <w:spacing w:after="0"/>
              <w:rPr>
                <w:rFonts w:ascii="Arial" w:hAnsi="Arial" w:cs="Arial"/>
              </w:rPr>
            </w:pPr>
            <w:r w:rsidRPr="00E15E84">
              <w:rPr>
                <w:rFonts w:ascii="Arial" w:hAnsi="Arial" w:cs="Arial"/>
              </w:rPr>
              <w:t>97.4%</w:t>
            </w:r>
          </w:p>
        </w:tc>
      </w:tr>
      <w:tr w:rsidR="00B83265" w:rsidRPr="00E15E84" w:rsidTr="00E15E84">
        <w:trPr>
          <w:trHeight w:val="264"/>
        </w:trPr>
        <w:tc>
          <w:tcPr>
            <w:tcW w:w="2689" w:type="dxa"/>
            <w:noWrap/>
            <w:vAlign w:val="center"/>
          </w:tcPr>
          <w:p w:rsidR="00B83265" w:rsidRPr="00E15E84" w:rsidRDefault="00B83265" w:rsidP="00E15E84">
            <w:pPr>
              <w:spacing w:after="0"/>
              <w:rPr>
                <w:rFonts w:ascii="Arial" w:hAnsi="Arial" w:cs="Arial"/>
              </w:rPr>
            </w:pPr>
            <w:r w:rsidRPr="00E15E84">
              <w:rPr>
                <w:rFonts w:ascii="Arial" w:hAnsi="Arial" w:cs="Arial"/>
              </w:rPr>
              <w:t>4 year</w:t>
            </w:r>
            <w:r w:rsidR="00E15E84" w:rsidRPr="00E15E84">
              <w:rPr>
                <w:rFonts w:ascii="Arial" w:hAnsi="Arial" w:cs="Arial"/>
              </w:rPr>
              <w:t>s</w:t>
            </w:r>
          </w:p>
        </w:tc>
        <w:tc>
          <w:tcPr>
            <w:tcW w:w="1197" w:type="dxa"/>
            <w:noWrap/>
            <w:vAlign w:val="center"/>
          </w:tcPr>
          <w:p w:rsidR="00B83265" w:rsidRPr="00E15E84" w:rsidRDefault="00B83265" w:rsidP="00E15E84">
            <w:pPr>
              <w:spacing w:after="0"/>
              <w:rPr>
                <w:rFonts w:ascii="Arial" w:hAnsi="Arial" w:cs="Arial"/>
              </w:rPr>
            </w:pPr>
            <w:r w:rsidRPr="00E15E84">
              <w:rPr>
                <w:rFonts w:ascii="Arial" w:hAnsi="Arial" w:cs="Arial"/>
              </w:rPr>
              <w:t>70.1%</w:t>
            </w:r>
          </w:p>
        </w:tc>
        <w:tc>
          <w:tcPr>
            <w:tcW w:w="1197" w:type="dxa"/>
            <w:noWrap/>
            <w:vAlign w:val="center"/>
          </w:tcPr>
          <w:p w:rsidR="00B83265" w:rsidRPr="00E15E84" w:rsidRDefault="00B83265" w:rsidP="00E15E84">
            <w:pPr>
              <w:spacing w:after="0"/>
              <w:rPr>
                <w:rFonts w:ascii="Arial" w:hAnsi="Arial" w:cs="Arial"/>
              </w:rPr>
            </w:pPr>
            <w:r w:rsidRPr="00E15E84">
              <w:rPr>
                <w:rFonts w:ascii="Arial" w:hAnsi="Arial" w:cs="Arial"/>
              </w:rPr>
              <w:t>71.7%</w:t>
            </w:r>
          </w:p>
        </w:tc>
        <w:tc>
          <w:tcPr>
            <w:tcW w:w="1197" w:type="dxa"/>
            <w:noWrap/>
            <w:vAlign w:val="center"/>
          </w:tcPr>
          <w:p w:rsidR="00B83265" w:rsidRPr="00E15E84" w:rsidRDefault="00B83265" w:rsidP="00E15E84">
            <w:pPr>
              <w:spacing w:after="0"/>
              <w:rPr>
                <w:rFonts w:ascii="Arial" w:hAnsi="Arial" w:cs="Arial"/>
              </w:rPr>
            </w:pPr>
            <w:r w:rsidRPr="00E15E84">
              <w:rPr>
                <w:rFonts w:ascii="Arial" w:hAnsi="Arial" w:cs="Arial"/>
              </w:rPr>
              <w:t>70.1%</w:t>
            </w:r>
          </w:p>
        </w:tc>
        <w:tc>
          <w:tcPr>
            <w:tcW w:w="1197" w:type="dxa"/>
            <w:noWrap/>
            <w:vAlign w:val="center"/>
          </w:tcPr>
          <w:p w:rsidR="00B83265" w:rsidRPr="00E15E84" w:rsidRDefault="00B83265" w:rsidP="00E15E84">
            <w:pPr>
              <w:spacing w:after="0"/>
              <w:rPr>
                <w:rFonts w:ascii="Arial" w:hAnsi="Arial" w:cs="Arial"/>
              </w:rPr>
            </w:pPr>
            <w:r w:rsidRPr="00E15E84">
              <w:rPr>
                <w:rFonts w:ascii="Arial" w:hAnsi="Arial" w:cs="Arial"/>
              </w:rPr>
              <w:t>87.8%</w:t>
            </w:r>
          </w:p>
        </w:tc>
        <w:tc>
          <w:tcPr>
            <w:tcW w:w="1197" w:type="dxa"/>
            <w:noWrap/>
            <w:vAlign w:val="center"/>
          </w:tcPr>
          <w:p w:rsidR="00B83265" w:rsidRPr="00E15E84" w:rsidRDefault="00B83265" w:rsidP="00E15E84">
            <w:pPr>
              <w:spacing w:after="0"/>
              <w:rPr>
                <w:rFonts w:ascii="Arial" w:hAnsi="Arial" w:cs="Arial"/>
              </w:rPr>
            </w:pPr>
            <w:r w:rsidRPr="00E15E84">
              <w:rPr>
                <w:rFonts w:ascii="Arial" w:hAnsi="Arial" w:cs="Arial"/>
              </w:rPr>
              <w:t>90.2%</w:t>
            </w:r>
          </w:p>
        </w:tc>
        <w:tc>
          <w:tcPr>
            <w:tcW w:w="1197" w:type="dxa"/>
            <w:vAlign w:val="center"/>
          </w:tcPr>
          <w:p w:rsidR="00B83265" w:rsidRPr="00E15E84" w:rsidRDefault="00B83265" w:rsidP="00E15E84">
            <w:pPr>
              <w:spacing w:after="0"/>
              <w:rPr>
                <w:rFonts w:ascii="Arial" w:hAnsi="Arial" w:cs="Arial"/>
              </w:rPr>
            </w:pPr>
          </w:p>
        </w:tc>
      </w:tr>
      <w:tr w:rsidR="00B83265" w:rsidRPr="00E15E84" w:rsidTr="00E15E84">
        <w:trPr>
          <w:trHeight w:val="264"/>
        </w:trPr>
        <w:tc>
          <w:tcPr>
            <w:tcW w:w="2689" w:type="dxa"/>
            <w:noWrap/>
            <w:vAlign w:val="center"/>
          </w:tcPr>
          <w:p w:rsidR="00B83265" w:rsidRPr="00E15E84" w:rsidRDefault="00B83265" w:rsidP="00E15E84">
            <w:pPr>
              <w:spacing w:after="0"/>
              <w:rPr>
                <w:rFonts w:ascii="Arial" w:hAnsi="Arial" w:cs="Arial"/>
              </w:rPr>
            </w:pPr>
            <w:r w:rsidRPr="00E15E84">
              <w:rPr>
                <w:rFonts w:ascii="Arial" w:hAnsi="Arial" w:cs="Arial"/>
              </w:rPr>
              <w:t>3 years</w:t>
            </w:r>
          </w:p>
        </w:tc>
        <w:tc>
          <w:tcPr>
            <w:tcW w:w="1197" w:type="dxa"/>
            <w:noWrap/>
            <w:vAlign w:val="center"/>
          </w:tcPr>
          <w:p w:rsidR="00B83265" w:rsidRPr="00E15E84" w:rsidRDefault="00B83265" w:rsidP="00E15E84">
            <w:pPr>
              <w:spacing w:after="0"/>
              <w:rPr>
                <w:rFonts w:ascii="Arial" w:hAnsi="Arial" w:cs="Arial"/>
              </w:rPr>
            </w:pPr>
            <w:r w:rsidRPr="00E15E84">
              <w:rPr>
                <w:rFonts w:ascii="Arial" w:hAnsi="Arial" w:cs="Arial"/>
              </w:rPr>
              <w:t>67.1%</w:t>
            </w:r>
          </w:p>
        </w:tc>
        <w:tc>
          <w:tcPr>
            <w:tcW w:w="1197" w:type="dxa"/>
            <w:noWrap/>
            <w:vAlign w:val="center"/>
          </w:tcPr>
          <w:p w:rsidR="00B83265" w:rsidRPr="00E15E84" w:rsidRDefault="00B83265" w:rsidP="00E15E84">
            <w:pPr>
              <w:spacing w:after="0"/>
              <w:rPr>
                <w:rFonts w:ascii="Arial" w:hAnsi="Arial" w:cs="Arial"/>
              </w:rPr>
            </w:pPr>
            <w:r w:rsidRPr="00E15E84">
              <w:rPr>
                <w:rFonts w:ascii="Arial" w:hAnsi="Arial" w:cs="Arial"/>
              </w:rPr>
              <w:t>71.7%</w:t>
            </w:r>
          </w:p>
        </w:tc>
        <w:tc>
          <w:tcPr>
            <w:tcW w:w="1197" w:type="dxa"/>
            <w:noWrap/>
            <w:vAlign w:val="center"/>
          </w:tcPr>
          <w:p w:rsidR="00B83265" w:rsidRPr="00E15E84" w:rsidRDefault="00B83265" w:rsidP="00E15E84">
            <w:pPr>
              <w:spacing w:after="0"/>
              <w:rPr>
                <w:rFonts w:ascii="Arial" w:hAnsi="Arial" w:cs="Arial"/>
              </w:rPr>
            </w:pPr>
            <w:r w:rsidRPr="00E15E84">
              <w:rPr>
                <w:rFonts w:ascii="Arial" w:hAnsi="Arial" w:cs="Arial"/>
              </w:rPr>
              <w:t>87.3%</w:t>
            </w:r>
          </w:p>
        </w:tc>
        <w:tc>
          <w:tcPr>
            <w:tcW w:w="1197" w:type="dxa"/>
            <w:noWrap/>
            <w:vAlign w:val="center"/>
          </w:tcPr>
          <w:p w:rsidR="00B83265" w:rsidRPr="00E15E84" w:rsidRDefault="00B83265" w:rsidP="00E15E84">
            <w:pPr>
              <w:spacing w:after="0"/>
              <w:rPr>
                <w:rFonts w:ascii="Arial" w:hAnsi="Arial" w:cs="Arial"/>
              </w:rPr>
            </w:pPr>
            <w:r w:rsidRPr="00E15E84">
              <w:rPr>
                <w:rFonts w:ascii="Arial" w:hAnsi="Arial" w:cs="Arial"/>
              </w:rPr>
              <w:t>86.6%</w:t>
            </w:r>
          </w:p>
        </w:tc>
        <w:tc>
          <w:tcPr>
            <w:tcW w:w="1197" w:type="dxa"/>
            <w:noWrap/>
            <w:vAlign w:val="center"/>
          </w:tcPr>
          <w:p w:rsidR="00B83265" w:rsidRPr="00E15E84" w:rsidRDefault="00B83265" w:rsidP="00E15E84">
            <w:pPr>
              <w:spacing w:after="0"/>
              <w:rPr>
                <w:rFonts w:ascii="Arial" w:hAnsi="Arial" w:cs="Arial"/>
              </w:rPr>
            </w:pPr>
          </w:p>
        </w:tc>
        <w:tc>
          <w:tcPr>
            <w:tcW w:w="1197" w:type="dxa"/>
            <w:vAlign w:val="center"/>
          </w:tcPr>
          <w:p w:rsidR="00B83265" w:rsidRPr="00E15E84" w:rsidRDefault="00B83265" w:rsidP="00E15E84">
            <w:pPr>
              <w:spacing w:after="0"/>
              <w:rPr>
                <w:rFonts w:ascii="Arial" w:hAnsi="Arial" w:cs="Arial"/>
              </w:rPr>
            </w:pPr>
          </w:p>
        </w:tc>
      </w:tr>
      <w:tr w:rsidR="00B83265" w:rsidRPr="00E15E84" w:rsidTr="00E15E84">
        <w:trPr>
          <w:trHeight w:val="264"/>
        </w:trPr>
        <w:tc>
          <w:tcPr>
            <w:tcW w:w="2689" w:type="dxa"/>
            <w:noWrap/>
            <w:vAlign w:val="center"/>
          </w:tcPr>
          <w:p w:rsidR="00B83265" w:rsidRPr="00E15E84" w:rsidRDefault="00B83265" w:rsidP="00E15E84">
            <w:pPr>
              <w:spacing w:after="0"/>
              <w:rPr>
                <w:rFonts w:ascii="Arial" w:hAnsi="Arial" w:cs="Arial"/>
              </w:rPr>
            </w:pPr>
            <w:r w:rsidRPr="00E15E84">
              <w:rPr>
                <w:rFonts w:ascii="Arial" w:hAnsi="Arial" w:cs="Arial"/>
              </w:rPr>
              <w:t>2 years</w:t>
            </w:r>
          </w:p>
        </w:tc>
        <w:tc>
          <w:tcPr>
            <w:tcW w:w="1197" w:type="dxa"/>
            <w:noWrap/>
            <w:vAlign w:val="center"/>
          </w:tcPr>
          <w:p w:rsidR="00B83265" w:rsidRPr="00E15E84" w:rsidRDefault="00B83265" w:rsidP="00E15E84">
            <w:pPr>
              <w:spacing w:after="0"/>
              <w:rPr>
                <w:rFonts w:ascii="Arial" w:hAnsi="Arial" w:cs="Arial"/>
              </w:rPr>
            </w:pPr>
            <w:r w:rsidRPr="00E15E84">
              <w:rPr>
                <w:rFonts w:ascii="Arial" w:hAnsi="Arial" w:cs="Arial"/>
              </w:rPr>
              <w:t>63.1%</w:t>
            </w:r>
          </w:p>
        </w:tc>
        <w:tc>
          <w:tcPr>
            <w:tcW w:w="1197" w:type="dxa"/>
            <w:noWrap/>
            <w:vAlign w:val="center"/>
          </w:tcPr>
          <w:p w:rsidR="00B83265" w:rsidRPr="00E15E84" w:rsidRDefault="00B83265" w:rsidP="00E15E84">
            <w:pPr>
              <w:spacing w:after="0"/>
              <w:rPr>
                <w:rFonts w:ascii="Arial" w:hAnsi="Arial" w:cs="Arial"/>
              </w:rPr>
            </w:pPr>
            <w:r w:rsidRPr="00E15E84">
              <w:rPr>
                <w:rFonts w:ascii="Arial" w:hAnsi="Arial" w:cs="Arial"/>
              </w:rPr>
              <w:t>80.8%</w:t>
            </w:r>
          </w:p>
        </w:tc>
        <w:tc>
          <w:tcPr>
            <w:tcW w:w="1197" w:type="dxa"/>
            <w:noWrap/>
            <w:vAlign w:val="center"/>
          </w:tcPr>
          <w:p w:rsidR="00B83265" w:rsidRPr="00E15E84" w:rsidRDefault="00B83265" w:rsidP="00E15E84">
            <w:pPr>
              <w:spacing w:after="0"/>
              <w:rPr>
                <w:rFonts w:ascii="Arial" w:hAnsi="Arial" w:cs="Arial"/>
              </w:rPr>
            </w:pPr>
            <w:r w:rsidRPr="00E15E84">
              <w:rPr>
                <w:rFonts w:ascii="Arial" w:hAnsi="Arial" w:cs="Arial"/>
              </w:rPr>
              <w:t>85.3%</w:t>
            </w:r>
          </w:p>
        </w:tc>
        <w:tc>
          <w:tcPr>
            <w:tcW w:w="1197" w:type="dxa"/>
            <w:noWrap/>
            <w:vAlign w:val="center"/>
          </w:tcPr>
          <w:p w:rsidR="00B83265" w:rsidRPr="00E15E84" w:rsidRDefault="00B83265" w:rsidP="00E15E84">
            <w:pPr>
              <w:spacing w:after="0"/>
              <w:rPr>
                <w:rFonts w:ascii="Arial" w:hAnsi="Arial" w:cs="Arial"/>
              </w:rPr>
            </w:pPr>
          </w:p>
        </w:tc>
        <w:tc>
          <w:tcPr>
            <w:tcW w:w="1197" w:type="dxa"/>
            <w:noWrap/>
            <w:vAlign w:val="center"/>
          </w:tcPr>
          <w:p w:rsidR="00B83265" w:rsidRPr="00E15E84" w:rsidRDefault="00B83265" w:rsidP="00E15E84">
            <w:pPr>
              <w:spacing w:after="0"/>
              <w:rPr>
                <w:rFonts w:ascii="Arial" w:hAnsi="Arial" w:cs="Arial"/>
              </w:rPr>
            </w:pPr>
          </w:p>
        </w:tc>
        <w:tc>
          <w:tcPr>
            <w:tcW w:w="1197" w:type="dxa"/>
            <w:vAlign w:val="center"/>
          </w:tcPr>
          <w:p w:rsidR="00B83265" w:rsidRPr="00E15E84" w:rsidRDefault="00B83265" w:rsidP="00E15E84">
            <w:pPr>
              <w:spacing w:after="0"/>
              <w:rPr>
                <w:rFonts w:ascii="Arial" w:hAnsi="Arial" w:cs="Arial"/>
              </w:rPr>
            </w:pPr>
          </w:p>
        </w:tc>
      </w:tr>
      <w:tr w:rsidR="00B83265" w:rsidRPr="00E15E84" w:rsidTr="00E15E84">
        <w:trPr>
          <w:trHeight w:val="264"/>
        </w:trPr>
        <w:tc>
          <w:tcPr>
            <w:tcW w:w="2689" w:type="dxa"/>
            <w:noWrap/>
            <w:vAlign w:val="center"/>
          </w:tcPr>
          <w:p w:rsidR="00B83265" w:rsidRPr="00E15E84" w:rsidRDefault="00B83265" w:rsidP="00E15E84">
            <w:pPr>
              <w:spacing w:after="0"/>
              <w:rPr>
                <w:rFonts w:ascii="Arial" w:hAnsi="Arial" w:cs="Arial"/>
              </w:rPr>
            </w:pPr>
            <w:r w:rsidRPr="00E15E84">
              <w:rPr>
                <w:rFonts w:ascii="Arial" w:hAnsi="Arial" w:cs="Arial"/>
              </w:rPr>
              <w:t>1 year</w:t>
            </w:r>
          </w:p>
        </w:tc>
        <w:tc>
          <w:tcPr>
            <w:tcW w:w="1197" w:type="dxa"/>
            <w:noWrap/>
            <w:vAlign w:val="center"/>
          </w:tcPr>
          <w:p w:rsidR="00B83265" w:rsidRPr="00E15E84" w:rsidRDefault="00B83265" w:rsidP="00E15E84">
            <w:pPr>
              <w:spacing w:after="0"/>
              <w:rPr>
                <w:rFonts w:ascii="Arial" w:hAnsi="Arial" w:cs="Arial"/>
              </w:rPr>
            </w:pPr>
            <w:r w:rsidRPr="00E15E84">
              <w:rPr>
                <w:rFonts w:ascii="Arial" w:hAnsi="Arial" w:cs="Arial"/>
              </w:rPr>
              <w:t>74.3%</w:t>
            </w:r>
          </w:p>
        </w:tc>
        <w:tc>
          <w:tcPr>
            <w:tcW w:w="1197" w:type="dxa"/>
            <w:noWrap/>
            <w:vAlign w:val="center"/>
          </w:tcPr>
          <w:p w:rsidR="00B83265" w:rsidRPr="00E15E84" w:rsidRDefault="00B83265" w:rsidP="00E15E84">
            <w:pPr>
              <w:spacing w:after="0"/>
              <w:rPr>
                <w:rFonts w:ascii="Arial" w:hAnsi="Arial" w:cs="Arial"/>
              </w:rPr>
            </w:pPr>
            <w:r w:rsidRPr="00E15E84">
              <w:rPr>
                <w:rFonts w:ascii="Arial" w:hAnsi="Arial" w:cs="Arial"/>
              </w:rPr>
              <w:t>82.9%</w:t>
            </w:r>
          </w:p>
        </w:tc>
        <w:tc>
          <w:tcPr>
            <w:tcW w:w="1197" w:type="dxa"/>
            <w:noWrap/>
            <w:vAlign w:val="center"/>
          </w:tcPr>
          <w:p w:rsidR="00B83265" w:rsidRPr="00E15E84" w:rsidRDefault="00B83265" w:rsidP="00E15E84">
            <w:pPr>
              <w:spacing w:after="0"/>
              <w:rPr>
                <w:rFonts w:ascii="Arial" w:hAnsi="Arial" w:cs="Arial"/>
              </w:rPr>
            </w:pPr>
          </w:p>
        </w:tc>
        <w:tc>
          <w:tcPr>
            <w:tcW w:w="1197" w:type="dxa"/>
            <w:noWrap/>
            <w:vAlign w:val="center"/>
          </w:tcPr>
          <w:p w:rsidR="00B83265" w:rsidRPr="00E15E84" w:rsidRDefault="00B83265" w:rsidP="00E15E84">
            <w:pPr>
              <w:spacing w:after="0"/>
              <w:rPr>
                <w:rFonts w:ascii="Arial" w:hAnsi="Arial" w:cs="Arial"/>
              </w:rPr>
            </w:pPr>
          </w:p>
        </w:tc>
        <w:tc>
          <w:tcPr>
            <w:tcW w:w="1197" w:type="dxa"/>
            <w:noWrap/>
            <w:vAlign w:val="center"/>
          </w:tcPr>
          <w:p w:rsidR="00B83265" w:rsidRPr="00E15E84" w:rsidRDefault="00B83265" w:rsidP="00E15E84">
            <w:pPr>
              <w:spacing w:after="0"/>
              <w:rPr>
                <w:rFonts w:ascii="Arial" w:hAnsi="Arial" w:cs="Arial"/>
              </w:rPr>
            </w:pPr>
          </w:p>
        </w:tc>
        <w:tc>
          <w:tcPr>
            <w:tcW w:w="1197" w:type="dxa"/>
            <w:vAlign w:val="center"/>
          </w:tcPr>
          <w:p w:rsidR="00B83265" w:rsidRPr="00E15E84" w:rsidRDefault="00B83265" w:rsidP="00E15E84">
            <w:pPr>
              <w:spacing w:after="0"/>
              <w:rPr>
                <w:rFonts w:ascii="Arial" w:hAnsi="Arial" w:cs="Arial"/>
              </w:rPr>
            </w:pPr>
          </w:p>
        </w:tc>
      </w:tr>
    </w:tbl>
    <w:p w:rsidR="00B83265" w:rsidRDefault="00B83265" w:rsidP="00B83265">
      <w:pPr>
        <w:spacing w:after="240"/>
        <w:rPr>
          <w:rFonts w:cstheme="minorHAnsi"/>
        </w:rPr>
      </w:pPr>
    </w:p>
    <w:p w:rsidR="00B83265" w:rsidRDefault="00B83265" w:rsidP="00B83265">
      <w:pPr>
        <w:spacing w:after="240"/>
        <w:rPr>
          <w:rFonts w:cstheme="minorHAnsi"/>
        </w:rPr>
      </w:pPr>
      <w:r w:rsidRPr="00BE65DB">
        <w:rPr>
          <w:rFonts w:cstheme="minorHAnsi"/>
        </w:rPr>
        <w:t xml:space="preserve">% </w:t>
      </w:r>
      <w:r>
        <w:rPr>
          <w:rFonts w:cstheme="minorHAnsi"/>
        </w:rPr>
        <w:t>who have opportunity to try new things and have new experiences</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220"/>
        <w:gridCol w:w="1221"/>
        <w:gridCol w:w="1221"/>
        <w:gridCol w:w="1220"/>
        <w:gridCol w:w="1221"/>
        <w:gridCol w:w="1221"/>
      </w:tblGrid>
      <w:tr w:rsidR="00B83265" w:rsidRPr="00E15E84" w:rsidTr="00E15E84">
        <w:trPr>
          <w:trHeight w:val="264"/>
        </w:trPr>
        <w:tc>
          <w:tcPr>
            <w:tcW w:w="2547" w:type="dxa"/>
            <w:noWrap/>
            <w:vAlign w:val="center"/>
            <w:hideMark/>
          </w:tcPr>
          <w:p w:rsidR="00B83265" w:rsidRPr="00E15E84" w:rsidRDefault="00B83265" w:rsidP="00E15E84">
            <w:pPr>
              <w:spacing w:after="0"/>
              <w:rPr>
                <w:rFonts w:ascii="Arial" w:eastAsia="Times New Roman" w:hAnsi="Arial" w:cs="Arial"/>
                <w:b/>
                <w:bCs/>
                <w:color w:val="000000"/>
                <w:lang w:eastAsia="zh-CN"/>
              </w:rPr>
            </w:pPr>
            <w:r w:rsidRPr="00E15E84">
              <w:rPr>
                <w:rFonts w:ascii="Arial" w:eastAsia="Times New Roman" w:hAnsi="Arial" w:cs="Arial"/>
                <w:b/>
                <w:bCs/>
                <w:color w:val="000000"/>
                <w:lang w:eastAsia="zh-CN"/>
              </w:rPr>
              <w:t>Cohort</w:t>
            </w:r>
          </w:p>
        </w:tc>
        <w:tc>
          <w:tcPr>
            <w:tcW w:w="1220" w:type="dxa"/>
            <w:noWrap/>
            <w:vAlign w:val="center"/>
            <w:hideMark/>
          </w:tcPr>
          <w:p w:rsidR="00B83265" w:rsidRPr="00E15E84" w:rsidRDefault="00B83265" w:rsidP="00E15E84">
            <w:pPr>
              <w:spacing w:after="0"/>
              <w:rPr>
                <w:rFonts w:ascii="Arial" w:eastAsia="Times New Roman" w:hAnsi="Arial" w:cs="Arial"/>
                <w:b/>
                <w:bCs/>
                <w:color w:val="000000"/>
                <w:lang w:eastAsia="zh-CN"/>
              </w:rPr>
            </w:pPr>
            <w:r w:rsidRPr="00E15E84">
              <w:rPr>
                <w:rFonts w:ascii="Arial" w:eastAsia="Times New Roman" w:hAnsi="Arial" w:cs="Arial"/>
                <w:b/>
                <w:bCs/>
                <w:color w:val="000000"/>
                <w:lang w:eastAsia="zh-CN"/>
              </w:rPr>
              <w:t>Baseline</w:t>
            </w:r>
          </w:p>
        </w:tc>
        <w:tc>
          <w:tcPr>
            <w:tcW w:w="1221" w:type="dxa"/>
            <w:noWrap/>
            <w:vAlign w:val="center"/>
            <w:hideMark/>
          </w:tcPr>
          <w:p w:rsidR="00B83265" w:rsidRPr="00E15E84" w:rsidRDefault="00B83265" w:rsidP="00E15E84">
            <w:pPr>
              <w:spacing w:after="0"/>
              <w:rPr>
                <w:rFonts w:ascii="Arial" w:eastAsia="Times New Roman" w:hAnsi="Arial" w:cs="Arial"/>
                <w:b/>
                <w:bCs/>
                <w:color w:val="000000"/>
                <w:lang w:eastAsia="zh-CN"/>
              </w:rPr>
            </w:pPr>
            <w:r w:rsidRPr="00E15E84">
              <w:rPr>
                <w:rFonts w:ascii="Arial" w:eastAsia="Times New Roman" w:hAnsi="Arial" w:cs="Arial"/>
                <w:b/>
                <w:bCs/>
                <w:color w:val="000000"/>
                <w:lang w:eastAsia="zh-CN"/>
              </w:rPr>
              <w:t>Review 1</w:t>
            </w:r>
          </w:p>
        </w:tc>
        <w:tc>
          <w:tcPr>
            <w:tcW w:w="1221" w:type="dxa"/>
            <w:noWrap/>
            <w:vAlign w:val="center"/>
            <w:hideMark/>
          </w:tcPr>
          <w:p w:rsidR="00B83265" w:rsidRPr="00E15E84" w:rsidRDefault="00B83265" w:rsidP="00E15E84">
            <w:pPr>
              <w:spacing w:after="0"/>
              <w:rPr>
                <w:rFonts w:ascii="Arial" w:eastAsia="Times New Roman" w:hAnsi="Arial" w:cs="Arial"/>
                <w:b/>
                <w:bCs/>
                <w:color w:val="000000"/>
                <w:lang w:eastAsia="zh-CN"/>
              </w:rPr>
            </w:pPr>
            <w:r w:rsidRPr="00E15E84">
              <w:rPr>
                <w:rFonts w:ascii="Arial" w:eastAsia="Times New Roman" w:hAnsi="Arial" w:cs="Arial"/>
                <w:b/>
                <w:bCs/>
                <w:color w:val="000000"/>
                <w:lang w:eastAsia="zh-CN"/>
              </w:rPr>
              <w:t>Review 2</w:t>
            </w:r>
          </w:p>
        </w:tc>
        <w:tc>
          <w:tcPr>
            <w:tcW w:w="1220" w:type="dxa"/>
            <w:noWrap/>
            <w:vAlign w:val="center"/>
            <w:hideMark/>
          </w:tcPr>
          <w:p w:rsidR="00B83265" w:rsidRPr="00E15E84" w:rsidRDefault="00B83265" w:rsidP="00E15E84">
            <w:pPr>
              <w:spacing w:after="0"/>
              <w:rPr>
                <w:rFonts w:ascii="Arial" w:eastAsia="Times New Roman" w:hAnsi="Arial" w:cs="Arial"/>
                <w:b/>
                <w:bCs/>
                <w:color w:val="000000"/>
                <w:lang w:eastAsia="zh-CN"/>
              </w:rPr>
            </w:pPr>
            <w:r w:rsidRPr="00E15E84">
              <w:rPr>
                <w:rFonts w:ascii="Arial" w:eastAsia="Times New Roman" w:hAnsi="Arial" w:cs="Arial"/>
                <w:b/>
                <w:bCs/>
                <w:color w:val="000000"/>
                <w:lang w:eastAsia="zh-CN"/>
              </w:rPr>
              <w:t>Review 3</w:t>
            </w:r>
          </w:p>
        </w:tc>
        <w:tc>
          <w:tcPr>
            <w:tcW w:w="1221" w:type="dxa"/>
            <w:noWrap/>
            <w:vAlign w:val="center"/>
            <w:hideMark/>
          </w:tcPr>
          <w:p w:rsidR="00B83265" w:rsidRPr="00E15E84" w:rsidRDefault="00B83265" w:rsidP="00E15E84">
            <w:pPr>
              <w:spacing w:after="0"/>
              <w:rPr>
                <w:rFonts w:ascii="Arial" w:eastAsia="Times New Roman" w:hAnsi="Arial" w:cs="Arial"/>
                <w:b/>
                <w:bCs/>
                <w:color w:val="000000"/>
                <w:lang w:eastAsia="zh-CN"/>
              </w:rPr>
            </w:pPr>
            <w:r w:rsidRPr="00E15E84">
              <w:rPr>
                <w:rFonts w:ascii="Arial" w:eastAsia="Times New Roman" w:hAnsi="Arial" w:cs="Arial"/>
                <w:b/>
                <w:bCs/>
                <w:color w:val="000000"/>
                <w:lang w:eastAsia="zh-CN"/>
              </w:rPr>
              <w:t>Review 4</w:t>
            </w:r>
          </w:p>
        </w:tc>
        <w:tc>
          <w:tcPr>
            <w:tcW w:w="1221" w:type="dxa"/>
            <w:vAlign w:val="center"/>
          </w:tcPr>
          <w:p w:rsidR="00B83265" w:rsidRPr="00E15E84" w:rsidRDefault="00B83265" w:rsidP="00E15E84">
            <w:pPr>
              <w:spacing w:after="0"/>
              <w:rPr>
                <w:rFonts w:ascii="Arial" w:eastAsia="Times New Roman" w:hAnsi="Arial" w:cs="Arial"/>
                <w:b/>
                <w:bCs/>
                <w:color w:val="000000"/>
                <w:lang w:eastAsia="zh-CN"/>
              </w:rPr>
            </w:pPr>
            <w:r w:rsidRPr="00E15E84">
              <w:rPr>
                <w:rFonts w:ascii="Arial" w:eastAsia="Times New Roman" w:hAnsi="Arial" w:cs="Arial"/>
                <w:b/>
                <w:bCs/>
                <w:color w:val="000000"/>
                <w:lang w:eastAsia="zh-CN"/>
              </w:rPr>
              <w:t>Review 5</w:t>
            </w:r>
          </w:p>
        </w:tc>
      </w:tr>
      <w:tr w:rsidR="00B83265" w:rsidRPr="00E15E84" w:rsidTr="00E15E84">
        <w:trPr>
          <w:trHeight w:val="264"/>
        </w:trPr>
        <w:tc>
          <w:tcPr>
            <w:tcW w:w="2547" w:type="dxa"/>
            <w:noWrap/>
            <w:vAlign w:val="center"/>
          </w:tcPr>
          <w:p w:rsidR="00B83265" w:rsidRPr="00E15E84" w:rsidRDefault="00B83265" w:rsidP="00E15E84">
            <w:pPr>
              <w:spacing w:after="0"/>
              <w:rPr>
                <w:rFonts w:ascii="Arial" w:hAnsi="Arial" w:cs="Arial"/>
                <w:color w:val="000000"/>
              </w:rPr>
            </w:pPr>
            <w:r w:rsidRPr="00E15E84">
              <w:rPr>
                <w:rFonts w:ascii="Arial" w:hAnsi="Arial" w:cs="Arial"/>
              </w:rPr>
              <w:t>5 year</w:t>
            </w:r>
            <w:r w:rsidR="00E15E84" w:rsidRPr="00E15E84">
              <w:rPr>
                <w:rFonts w:ascii="Arial" w:hAnsi="Arial" w:cs="Arial"/>
              </w:rPr>
              <w:t>s</w:t>
            </w:r>
          </w:p>
        </w:tc>
        <w:tc>
          <w:tcPr>
            <w:tcW w:w="1220" w:type="dxa"/>
            <w:noWrap/>
            <w:vAlign w:val="center"/>
          </w:tcPr>
          <w:p w:rsidR="00B83265" w:rsidRPr="00E15E84" w:rsidRDefault="00B83265" w:rsidP="00E15E84">
            <w:pPr>
              <w:spacing w:after="0"/>
              <w:rPr>
                <w:rFonts w:ascii="Arial" w:hAnsi="Arial" w:cs="Arial"/>
              </w:rPr>
            </w:pPr>
            <w:r w:rsidRPr="00E15E84">
              <w:rPr>
                <w:rFonts w:ascii="Arial" w:hAnsi="Arial" w:cs="Arial"/>
              </w:rPr>
              <w:t>52.6%</w:t>
            </w:r>
          </w:p>
        </w:tc>
        <w:tc>
          <w:tcPr>
            <w:tcW w:w="1221" w:type="dxa"/>
            <w:noWrap/>
            <w:vAlign w:val="center"/>
          </w:tcPr>
          <w:p w:rsidR="00B83265" w:rsidRPr="00E15E84" w:rsidRDefault="00B83265" w:rsidP="00E15E84">
            <w:pPr>
              <w:spacing w:after="0"/>
              <w:rPr>
                <w:rFonts w:ascii="Arial" w:hAnsi="Arial" w:cs="Arial"/>
              </w:rPr>
            </w:pPr>
            <w:r w:rsidRPr="00E15E84">
              <w:rPr>
                <w:rFonts w:ascii="Arial" w:hAnsi="Arial" w:cs="Arial"/>
              </w:rPr>
              <w:t>70.7%</w:t>
            </w:r>
          </w:p>
        </w:tc>
        <w:tc>
          <w:tcPr>
            <w:tcW w:w="1221" w:type="dxa"/>
            <w:noWrap/>
            <w:vAlign w:val="center"/>
          </w:tcPr>
          <w:p w:rsidR="00B83265" w:rsidRPr="00E15E84" w:rsidRDefault="00B83265" w:rsidP="00E15E84">
            <w:pPr>
              <w:spacing w:after="0"/>
              <w:rPr>
                <w:rFonts w:ascii="Arial" w:hAnsi="Arial" w:cs="Arial"/>
              </w:rPr>
            </w:pPr>
            <w:r w:rsidRPr="00E15E84">
              <w:rPr>
                <w:rFonts w:ascii="Arial" w:hAnsi="Arial" w:cs="Arial"/>
              </w:rPr>
              <w:t>81.3%</w:t>
            </w:r>
          </w:p>
        </w:tc>
        <w:tc>
          <w:tcPr>
            <w:tcW w:w="1220" w:type="dxa"/>
            <w:noWrap/>
            <w:vAlign w:val="center"/>
          </w:tcPr>
          <w:p w:rsidR="00B83265" w:rsidRPr="00E15E84" w:rsidRDefault="00B83265" w:rsidP="00E15E84">
            <w:pPr>
              <w:spacing w:after="0"/>
              <w:rPr>
                <w:rFonts w:ascii="Arial" w:hAnsi="Arial" w:cs="Arial"/>
              </w:rPr>
            </w:pPr>
            <w:r w:rsidRPr="00E15E84">
              <w:rPr>
                <w:rFonts w:ascii="Arial" w:hAnsi="Arial" w:cs="Arial"/>
              </w:rPr>
              <w:t>77.6%</w:t>
            </w:r>
          </w:p>
        </w:tc>
        <w:tc>
          <w:tcPr>
            <w:tcW w:w="1221" w:type="dxa"/>
            <w:noWrap/>
            <w:vAlign w:val="center"/>
          </w:tcPr>
          <w:p w:rsidR="00B83265" w:rsidRPr="00E15E84" w:rsidRDefault="00B83265" w:rsidP="00E15E84">
            <w:pPr>
              <w:spacing w:after="0"/>
              <w:rPr>
                <w:rFonts w:ascii="Arial" w:hAnsi="Arial" w:cs="Arial"/>
              </w:rPr>
            </w:pPr>
            <w:r w:rsidRPr="00E15E84">
              <w:rPr>
                <w:rFonts w:ascii="Arial" w:hAnsi="Arial" w:cs="Arial"/>
              </w:rPr>
              <w:t>78.9%</w:t>
            </w:r>
          </w:p>
        </w:tc>
        <w:tc>
          <w:tcPr>
            <w:tcW w:w="1221" w:type="dxa"/>
            <w:vAlign w:val="center"/>
          </w:tcPr>
          <w:p w:rsidR="00B83265" w:rsidRPr="00E15E84" w:rsidRDefault="00B83265" w:rsidP="00E15E84">
            <w:pPr>
              <w:spacing w:after="0"/>
              <w:rPr>
                <w:rFonts w:ascii="Arial" w:hAnsi="Arial" w:cs="Arial"/>
              </w:rPr>
            </w:pPr>
            <w:r w:rsidRPr="00E15E84">
              <w:rPr>
                <w:rFonts w:ascii="Arial" w:hAnsi="Arial" w:cs="Arial"/>
              </w:rPr>
              <w:t>77.6%</w:t>
            </w:r>
          </w:p>
        </w:tc>
      </w:tr>
      <w:tr w:rsidR="00B83265" w:rsidRPr="00E15E84" w:rsidTr="00E15E84">
        <w:trPr>
          <w:trHeight w:val="264"/>
        </w:trPr>
        <w:tc>
          <w:tcPr>
            <w:tcW w:w="2547" w:type="dxa"/>
            <w:noWrap/>
            <w:vAlign w:val="center"/>
          </w:tcPr>
          <w:p w:rsidR="00B83265" w:rsidRPr="00E15E84" w:rsidRDefault="00B83265" w:rsidP="00E15E84">
            <w:pPr>
              <w:spacing w:after="0"/>
              <w:rPr>
                <w:rFonts w:ascii="Arial" w:hAnsi="Arial" w:cs="Arial"/>
              </w:rPr>
            </w:pPr>
            <w:r w:rsidRPr="00E15E84">
              <w:rPr>
                <w:rFonts w:ascii="Arial" w:hAnsi="Arial" w:cs="Arial"/>
              </w:rPr>
              <w:lastRenderedPageBreak/>
              <w:t>4 year</w:t>
            </w:r>
            <w:r w:rsidR="00E15E84" w:rsidRPr="00E15E84">
              <w:rPr>
                <w:rFonts w:ascii="Arial" w:hAnsi="Arial" w:cs="Arial"/>
              </w:rPr>
              <w:t>s</w:t>
            </w:r>
          </w:p>
        </w:tc>
        <w:tc>
          <w:tcPr>
            <w:tcW w:w="1220" w:type="dxa"/>
            <w:noWrap/>
            <w:vAlign w:val="center"/>
          </w:tcPr>
          <w:p w:rsidR="00B83265" w:rsidRPr="00E15E84" w:rsidRDefault="00B83265" w:rsidP="00E15E84">
            <w:pPr>
              <w:spacing w:after="0"/>
              <w:rPr>
                <w:rFonts w:ascii="Arial" w:hAnsi="Arial" w:cs="Arial"/>
              </w:rPr>
            </w:pPr>
            <w:r w:rsidRPr="00E15E84">
              <w:rPr>
                <w:rFonts w:ascii="Arial" w:hAnsi="Arial" w:cs="Arial"/>
              </w:rPr>
              <w:t>76.4%</w:t>
            </w:r>
          </w:p>
        </w:tc>
        <w:tc>
          <w:tcPr>
            <w:tcW w:w="1221" w:type="dxa"/>
            <w:noWrap/>
            <w:vAlign w:val="center"/>
          </w:tcPr>
          <w:p w:rsidR="00B83265" w:rsidRPr="00E15E84" w:rsidRDefault="00B83265" w:rsidP="00E15E84">
            <w:pPr>
              <w:spacing w:after="0"/>
              <w:rPr>
                <w:rFonts w:ascii="Arial" w:hAnsi="Arial" w:cs="Arial"/>
              </w:rPr>
            </w:pPr>
            <w:r w:rsidRPr="00E15E84">
              <w:rPr>
                <w:rFonts w:ascii="Arial" w:hAnsi="Arial" w:cs="Arial"/>
              </w:rPr>
              <w:t>84.4%</w:t>
            </w:r>
          </w:p>
        </w:tc>
        <w:tc>
          <w:tcPr>
            <w:tcW w:w="1221" w:type="dxa"/>
            <w:noWrap/>
            <w:vAlign w:val="center"/>
          </w:tcPr>
          <w:p w:rsidR="00B83265" w:rsidRPr="00E15E84" w:rsidRDefault="00B83265" w:rsidP="00E15E84">
            <w:pPr>
              <w:spacing w:after="0"/>
              <w:rPr>
                <w:rFonts w:ascii="Arial" w:hAnsi="Arial" w:cs="Arial"/>
              </w:rPr>
            </w:pPr>
            <w:r w:rsidRPr="00E15E84">
              <w:rPr>
                <w:rFonts w:ascii="Arial" w:hAnsi="Arial" w:cs="Arial"/>
              </w:rPr>
              <w:t>82.9%</w:t>
            </w:r>
          </w:p>
        </w:tc>
        <w:tc>
          <w:tcPr>
            <w:tcW w:w="1220" w:type="dxa"/>
            <w:noWrap/>
            <w:vAlign w:val="center"/>
          </w:tcPr>
          <w:p w:rsidR="00B83265" w:rsidRPr="00E15E84" w:rsidRDefault="00B83265" w:rsidP="00E15E84">
            <w:pPr>
              <w:spacing w:after="0"/>
              <w:rPr>
                <w:rFonts w:ascii="Arial" w:hAnsi="Arial" w:cs="Arial"/>
              </w:rPr>
            </w:pPr>
            <w:r w:rsidRPr="00E15E84">
              <w:rPr>
                <w:rFonts w:ascii="Arial" w:hAnsi="Arial" w:cs="Arial"/>
              </w:rPr>
              <w:t>74.0%</w:t>
            </w:r>
          </w:p>
        </w:tc>
        <w:tc>
          <w:tcPr>
            <w:tcW w:w="1221" w:type="dxa"/>
            <w:noWrap/>
            <w:vAlign w:val="center"/>
          </w:tcPr>
          <w:p w:rsidR="00B83265" w:rsidRPr="00E15E84" w:rsidRDefault="00B83265" w:rsidP="00E15E84">
            <w:pPr>
              <w:spacing w:after="0"/>
              <w:rPr>
                <w:rFonts w:ascii="Arial" w:hAnsi="Arial" w:cs="Arial"/>
              </w:rPr>
            </w:pPr>
            <w:r w:rsidRPr="00E15E84">
              <w:rPr>
                <w:rFonts w:ascii="Arial" w:hAnsi="Arial" w:cs="Arial"/>
              </w:rPr>
              <w:t>79.8%</w:t>
            </w:r>
          </w:p>
        </w:tc>
        <w:tc>
          <w:tcPr>
            <w:tcW w:w="1221" w:type="dxa"/>
            <w:vAlign w:val="center"/>
          </w:tcPr>
          <w:p w:rsidR="00B83265" w:rsidRPr="00E15E84" w:rsidRDefault="00B83265" w:rsidP="00E15E84">
            <w:pPr>
              <w:spacing w:after="0"/>
              <w:rPr>
                <w:rFonts w:ascii="Arial" w:hAnsi="Arial" w:cs="Arial"/>
              </w:rPr>
            </w:pPr>
          </w:p>
        </w:tc>
      </w:tr>
      <w:tr w:rsidR="00B83265" w:rsidRPr="00E15E84" w:rsidTr="00E15E84">
        <w:trPr>
          <w:trHeight w:val="264"/>
        </w:trPr>
        <w:tc>
          <w:tcPr>
            <w:tcW w:w="2547" w:type="dxa"/>
            <w:noWrap/>
            <w:vAlign w:val="center"/>
          </w:tcPr>
          <w:p w:rsidR="00B83265" w:rsidRPr="00E15E84" w:rsidRDefault="00B83265" w:rsidP="00E15E84">
            <w:pPr>
              <w:spacing w:after="0"/>
              <w:rPr>
                <w:rFonts w:ascii="Arial" w:hAnsi="Arial" w:cs="Arial"/>
              </w:rPr>
            </w:pPr>
            <w:r w:rsidRPr="00E15E84">
              <w:rPr>
                <w:rFonts w:ascii="Arial" w:hAnsi="Arial" w:cs="Arial"/>
              </w:rPr>
              <w:t>3 years</w:t>
            </w:r>
          </w:p>
        </w:tc>
        <w:tc>
          <w:tcPr>
            <w:tcW w:w="1220" w:type="dxa"/>
            <w:noWrap/>
            <w:vAlign w:val="center"/>
          </w:tcPr>
          <w:p w:rsidR="00B83265" w:rsidRPr="00E15E84" w:rsidRDefault="00B83265" w:rsidP="00E15E84">
            <w:pPr>
              <w:spacing w:after="0"/>
              <w:rPr>
                <w:rFonts w:ascii="Arial" w:hAnsi="Arial" w:cs="Arial"/>
              </w:rPr>
            </w:pPr>
            <w:r w:rsidRPr="00E15E84">
              <w:rPr>
                <w:rFonts w:ascii="Arial" w:hAnsi="Arial" w:cs="Arial"/>
              </w:rPr>
              <w:t>68.7%</w:t>
            </w:r>
          </w:p>
        </w:tc>
        <w:tc>
          <w:tcPr>
            <w:tcW w:w="1221" w:type="dxa"/>
            <w:noWrap/>
            <w:vAlign w:val="center"/>
          </w:tcPr>
          <w:p w:rsidR="00B83265" w:rsidRPr="00E15E84" w:rsidRDefault="00B83265" w:rsidP="00E15E84">
            <w:pPr>
              <w:spacing w:after="0"/>
              <w:rPr>
                <w:rFonts w:ascii="Arial" w:hAnsi="Arial" w:cs="Arial"/>
              </w:rPr>
            </w:pPr>
            <w:r w:rsidRPr="00E15E84">
              <w:rPr>
                <w:rFonts w:ascii="Arial" w:hAnsi="Arial" w:cs="Arial"/>
              </w:rPr>
              <w:t>78.5%</w:t>
            </w:r>
          </w:p>
        </w:tc>
        <w:tc>
          <w:tcPr>
            <w:tcW w:w="1221" w:type="dxa"/>
            <w:noWrap/>
            <w:vAlign w:val="center"/>
          </w:tcPr>
          <w:p w:rsidR="00B83265" w:rsidRPr="00E15E84" w:rsidRDefault="00B83265" w:rsidP="00E15E84">
            <w:pPr>
              <w:spacing w:after="0"/>
              <w:rPr>
                <w:rFonts w:ascii="Arial" w:hAnsi="Arial" w:cs="Arial"/>
              </w:rPr>
            </w:pPr>
            <w:r w:rsidRPr="00E15E84">
              <w:rPr>
                <w:rFonts w:ascii="Arial" w:hAnsi="Arial" w:cs="Arial"/>
              </w:rPr>
              <w:t>77.0%</w:t>
            </w:r>
          </w:p>
        </w:tc>
        <w:tc>
          <w:tcPr>
            <w:tcW w:w="1220" w:type="dxa"/>
            <w:noWrap/>
            <w:vAlign w:val="center"/>
          </w:tcPr>
          <w:p w:rsidR="00B83265" w:rsidRPr="00E15E84" w:rsidRDefault="00B83265" w:rsidP="00E15E84">
            <w:pPr>
              <w:spacing w:after="0"/>
              <w:rPr>
                <w:rFonts w:ascii="Arial" w:hAnsi="Arial" w:cs="Arial"/>
              </w:rPr>
            </w:pPr>
            <w:r w:rsidRPr="00E15E84">
              <w:rPr>
                <w:rFonts w:ascii="Arial" w:hAnsi="Arial" w:cs="Arial"/>
              </w:rPr>
              <w:t>76.4%</w:t>
            </w:r>
          </w:p>
        </w:tc>
        <w:tc>
          <w:tcPr>
            <w:tcW w:w="1221" w:type="dxa"/>
            <w:noWrap/>
            <w:vAlign w:val="center"/>
          </w:tcPr>
          <w:p w:rsidR="00B83265" w:rsidRPr="00E15E84" w:rsidRDefault="00B83265" w:rsidP="00E15E84">
            <w:pPr>
              <w:spacing w:after="0"/>
              <w:rPr>
                <w:rFonts w:ascii="Arial" w:hAnsi="Arial" w:cs="Arial"/>
              </w:rPr>
            </w:pPr>
          </w:p>
        </w:tc>
        <w:tc>
          <w:tcPr>
            <w:tcW w:w="1221" w:type="dxa"/>
            <w:vAlign w:val="center"/>
          </w:tcPr>
          <w:p w:rsidR="00B83265" w:rsidRPr="00E15E84" w:rsidRDefault="00B83265" w:rsidP="00E15E84">
            <w:pPr>
              <w:spacing w:after="0"/>
              <w:rPr>
                <w:rFonts w:ascii="Arial" w:hAnsi="Arial" w:cs="Arial"/>
              </w:rPr>
            </w:pPr>
          </w:p>
        </w:tc>
      </w:tr>
      <w:tr w:rsidR="00B83265" w:rsidRPr="00E15E84" w:rsidTr="00E15E84">
        <w:trPr>
          <w:trHeight w:val="264"/>
        </w:trPr>
        <w:tc>
          <w:tcPr>
            <w:tcW w:w="2547" w:type="dxa"/>
            <w:noWrap/>
            <w:vAlign w:val="center"/>
          </w:tcPr>
          <w:p w:rsidR="00B83265" w:rsidRPr="00E15E84" w:rsidRDefault="00B83265" w:rsidP="00E15E84">
            <w:pPr>
              <w:spacing w:after="0"/>
              <w:rPr>
                <w:rFonts w:ascii="Arial" w:hAnsi="Arial" w:cs="Arial"/>
              </w:rPr>
            </w:pPr>
            <w:r w:rsidRPr="00E15E84">
              <w:rPr>
                <w:rFonts w:ascii="Arial" w:hAnsi="Arial" w:cs="Arial"/>
              </w:rPr>
              <w:t>2 years</w:t>
            </w:r>
          </w:p>
        </w:tc>
        <w:tc>
          <w:tcPr>
            <w:tcW w:w="1220" w:type="dxa"/>
            <w:noWrap/>
            <w:vAlign w:val="center"/>
          </w:tcPr>
          <w:p w:rsidR="00B83265" w:rsidRPr="00E15E84" w:rsidRDefault="00B83265" w:rsidP="00E15E84">
            <w:pPr>
              <w:spacing w:after="0"/>
              <w:rPr>
                <w:rFonts w:ascii="Arial" w:hAnsi="Arial" w:cs="Arial"/>
              </w:rPr>
            </w:pPr>
            <w:r w:rsidRPr="00E15E84">
              <w:rPr>
                <w:rFonts w:ascii="Arial" w:hAnsi="Arial" w:cs="Arial"/>
              </w:rPr>
              <w:t>70.8%</w:t>
            </w:r>
          </w:p>
        </w:tc>
        <w:tc>
          <w:tcPr>
            <w:tcW w:w="1221" w:type="dxa"/>
            <w:noWrap/>
            <w:vAlign w:val="center"/>
          </w:tcPr>
          <w:p w:rsidR="00B83265" w:rsidRPr="00E15E84" w:rsidRDefault="00B83265" w:rsidP="00E15E84">
            <w:pPr>
              <w:spacing w:after="0"/>
              <w:rPr>
                <w:rFonts w:ascii="Arial" w:hAnsi="Arial" w:cs="Arial"/>
              </w:rPr>
            </w:pPr>
            <w:r w:rsidRPr="00E15E84">
              <w:rPr>
                <w:rFonts w:ascii="Arial" w:hAnsi="Arial" w:cs="Arial"/>
              </w:rPr>
              <w:t>75.8%</w:t>
            </w:r>
          </w:p>
        </w:tc>
        <w:tc>
          <w:tcPr>
            <w:tcW w:w="1221" w:type="dxa"/>
            <w:noWrap/>
            <w:vAlign w:val="center"/>
          </w:tcPr>
          <w:p w:rsidR="00B83265" w:rsidRPr="00E15E84" w:rsidRDefault="00B83265" w:rsidP="00E15E84">
            <w:pPr>
              <w:spacing w:after="0"/>
              <w:rPr>
                <w:rFonts w:ascii="Arial" w:hAnsi="Arial" w:cs="Arial"/>
              </w:rPr>
            </w:pPr>
            <w:r w:rsidRPr="00E15E84">
              <w:rPr>
                <w:rFonts w:ascii="Arial" w:hAnsi="Arial" w:cs="Arial"/>
              </w:rPr>
              <w:t>73.7%</w:t>
            </w:r>
          </w:p>
        </w:tc>
        <w:tc>
          <w:tcPr>
            <w:tcW w:w="1220" w:type="dxa"/>
            <w:noWrap/>
            <w:vAlign w:val="center"/>
          </w:tcPr>
          <w:p w:rsidR="00B83265" w:rsidRPr="00E15E84" w:rsidRDefault="00B83265" w:rsidP="00E15E84">
            <w:pPr>
              <w:spacing w:after="0"/>
              <w:rPr>
                <w:rFonts w:ascii="Arial" w:hAnsi="Arial" w:cs="Arial"/>
              </w:rPr>
            </w:pPr>
          </w:p>
        </w:tc>
        <w:tc>
          <w:tcPr>
            <w:tcW w:w="1221" w:type="dxa"/>
            <w:noWrap/>
            <w:vAlign w:val="center"/>
          </w:tcPr>
          <w:p w:rsidR="00B83265" w:rsidRPr="00E15E84" w:rsidRDefault="00B83265" w:rsidP="00E15E84">
            <w:pPr>
              <w:spacing w:after="0"/>
              <w:rPr>
                <w:rFonts w:ascii="Arial" w:hAnsi="Arial" w:cs="Arial"/>
              </w:rPr>
            </w:pPr>
          </w:p>
        </w:tc>
        <w:tc>
          <w:tcPr>
            <w:tcW w:w="1221" w:type="dxa"/>
            <w:vAlign w:val="center"/>
          </w:tcPr>
          <w:p w:rsidR="00B83265" w:rsidRPr="00E15E84" w:rsidRDefault="00B83265" w:rsidP="00E15E84">
            <w:pPr>
              <w:spacing w:after="0"/>
              <w:rPr>
                <w:rFonts w:ascii="Arial" w:hAnsi="Arial" w:cs="Arial"/>
              </w:rPr>
            </w:pPr>
          </w:p>
        </w:tc>
      </w:tr>
      <w:tr w:rsidR="00B83265" w:rsidRPr="00E15E84" w:rsidTr="00E15E84">
        <w:trPr>
          <w:trHeight w:val="264"/>
        </w:trPr>
        <w:tc>
          <w:tcPr>
            <w:tcW w:w="2547" w:type="dxa"/>
            <w:noWrap/>
            <w:vAlign w:val="center"/>
          </w:tcPr>
          <w:p w:rsidR="00B83265" w:rsidRPr="00E15E84" w:rsidRDefault="00B83265" w:rsidP="00E15E84">
            <w:pPr>
              <w:spacing w:after="0"/>
              <w:rPr>
                <w:rFonts w:ascii="Arial" w:hAnsi="Arial" w:cs="Arial"/>
              </w:rPr>
            </w:pPr>
            <w:r w:rsidRPr="00E15E84">
              <w:rPr>
                <w:rFonts w:ascii="Arial" w:hAnsi="Arial" w:cs="Arial"/>
              </w:rPr>
              <w:t>1 year</w:t>
            </w:r>
          </w:p>
        </w:tc>
        <w:tc>
          <w:tcPr>
            <w:tcW w:w="1220" w:type="dxa"/>
            <w:noWrap/>
            <w:vAlign w:val="center"/>
          </w:tcPr>
          <w:p w:rsidR="00B83265" w:rsidRPr="00E15E84" w:rsidRDefault="00B83265" w:rsidP="00E15E84">
            <w:pPr>
              <w:spacing w:after="0"/>
              <w:rPr>
                <w:rFonts w:ascii="Arial" w:hAnsi="Arial" w:cs="Arial"/>
              </w:rPr>
            </w:pPr>
            <w:r w:rsidRPr="00E15E84">
              <w:rPr>
                <w:rFonts w:ascii="Arial" w:hAnsi="Arial" w:cs="Arial"/>
              </w:rPr>
              <w:t>70.1%</w:t>
            </w:r>
          </w:p>
        </w:tc>
        <w:tc>
          <w:tcPr>
            <w:tcW w:w="1221" w:type="dxa"/>
            <w:noWrap/>
            <w:vAlign w:val="center"/>
          </w:tcPr>
          <w:p w:rsidR="00B83265" w:rsidRPr="00E15E84" w:rsidRDefault="00B83265" w:rsidP="00E15E84">
            <w:pPr>
              <w:spacing w:after="0"/>
              <w:rPr>
                <w:rFonts w:ascii="Arial" w:hAnsi="Arial" w:cs="Arial"/>
              </w:rPr>
            </w:pPr>
            <w:r w:rsidRPr="00E15E84">
              <w:rPr>
                <w:rFonts w:ascii="Arial" w:hAnsi="Arial" w:cs="Arial"/>
              </w:rPr>
              <w:t>71.0%</w:t>
            </w:r>
          </w:p>
        </w:tc>
        <w:tc>
          <w:tcPr>
            <w:tcW w:w="1221" w:type="dxa"/>
            <w:noWrap/>
            <w:vAlign w:val="center"/>
          </w:tcPr>
          <w:p w:rsidR="00B83265" w:rsidRPr="00E15E84" w:rsidRDefault="00B83265" w:rsidP="00E15E84">
            <w:pPr>
              <w:spacing w:after="0"/>
              <w:rPr>
                <w:rFonts w:ascii="Arial" w:hAnsi="Arial" w:cs="Arial"/>
              </w:rPr>
            </w:pPr>
          </w:p>
        </w:tc>
        <w:tc>
          <w:tcPr>
            <w:tcW w:w="1220" w:type="dxa"/>
            <w:noWrap/>
            <w:vAlign w:val="center"/>
          </w:tcPr>
          <w:p w:rsidR="00B83265" w:rsidRPr="00E15E84" w:rsidRDefault="00B83265" w:rsidP="00E15E84">
            <w:pPr>
              <w:spacing w:after="0"/>
              <w:rPr>
                <w:rFonts w:ascii="Arial" w:hAnsi="Arial" w:cs="Arial"/>
              </w:rPr>
            </w:pPr>
          </w:p>
        </w:tc>
        <w:tc>
          <w:tcPr>
            <w:tcW w:w="1221" w:type="dxa"/>
            <w:noWrap/>
            <w:vAlign w:val="center"/>
          </w:tcPr>
          <w:p w:rsidR="00B83265" w:rsidRPr="00E15E84" w:rsidRDefault="00B83265" w:rsidP="00E15E84">
            <w:pPr>
              <w:spacing w:after="0"/>
              <w:rPr>
                <w:rFonts w:ascii="Arial" w:hAnsi="Arial" w:cs="Arial"/>
              </w:rPr>
            </w:pPr>
          </w:p>
        </w:tc>
        <w:tc>
          <w:tcPr>
            <w:tcW w:w="1221" w:type="dxa"/>
            <w:vAlign w:val="center"/>
          </w:tcPr>
          <w:p w:rsidR="00B83265" w:rsidRPr="00E15E84" w:rsidRDefault="00B83265" w:rsidP="00E15E84">
            <w:pPr>
              <w:spacing w:after="0"/>
              <w:rPr>
                <w:rFonts w:ascii="Arial" w:hAnsi="Arial" w:cs="Arial"/>
              </w:rPr>
            </w:pPr>
          </w:p>
        </w:tc>
      </w:tr>
    </w:tbl>
    <w:p w:rsidR="00B83265" w:rsidRDefault="00B83265" w:rsidP="00B83265">
      <w:pPr>
        <w:spacing w:after="240"/>
        <w:rPr>
          <w:rFonts w:cstheme="minorHAnsi"/>
        </w:rPr>
      </w:pPr>
    </w:p>
    <w:p w:rsidR="00B83265" w:rsidRPr="002817DE" w:rsidRDefault="00B83265" w:rsidP="002817DE">
      <w:pPr>
        <w:pStyle w:val="Heading2"/>
      </w:pPr>
      <w:bookmarkStart w:id="71" w:name="_Toc121151443"/>
      <w:r w:rsidRPr="002817DE">
        <w:t>Slide 61: Participants aged 15 and over – Social, community and civic participation: Safety and having a say (benchmark)</w:t>
      </w:r>
      <w:bookmarkEnd w:id="71"/>
    </w:p>
    <w:p w:rsidR="00B83265" w:rsidRPr="00715092" w:rsidRDefault="00B83265" w:rsidP="00B83265">
      <w:pPr>
        <w:spacing w:after="240"/>
        <w:rPr>
          <w:rFonts w:cstheme="minorHAnsi"/>
        </w:rPr>
      </w:pPr>
      <w:r w:rsidRPr="00715092">
        <w:rPr>
          <w:rFonts w:cstheme="minorHAnsi"/>
        </w:rPr>
        <w:t xml:space="preserve">This slide benchmarks participants’ </w:t>
      </w:r>
      <w:r>
        <w:rPr>
          <w:rFonts w:cstheme="minorHAnsi"/>
        </w:rPr>
        <w:t xml:space="preserve">outcomes in safety and having a say </w:t>
      </w:r>
      <w:r w:rsidRPr="00715092">
        <w:rPr>
          <w:rFonts w:cstheme="minorHAnsi"/>
        </w:rPr>
        <w:t>relative to those of the Australian population.</w:t>
      </w:r>
    </w:p>
    <w:p w:rsidR="00B83265" w:rsidRDefault="00B83265" w:rsidP="00B83265">
      <w:pPr>
        <w:spacing w:after="240"/>
      </w:pPr>
      <w:r>
        <w:t>Key long form survey indicators relating to feeling safe walking alone in their local area after dark, and having a say within the general community on issues that are important to them, are improving over time within the Scheme for participants aged 15 and over.</w:t>
      </w:r>
    </w:p>
    <w:p w:rsidR="00B83265" w:rsidRDefault="00B83265" w:rsidP="00B83265">
      <w:pPr>
        <w:spacing w:after="240"/>
      </w:pPr>
      <w:r>
        <w:t>Over five years, there was a 15.8 percentage point increase in feelings of safety, with 35.5% responding positively at fifth review compared to 19.7% at baseline, which includes a 9.2 percentage point increase in the latest year. While improving, performance against this indicator is below that of the general Australian population</w:t>
      </w:r>
      <w:r w:rsidR="008E1F90">
        <w:t xml:space="preserve"> (</w:t>
      </w:r>
      <w:r w:rsidR="0080201D">
        <w:t>Footnote 1</w:t>
      </w:r>
      <w:r w:rsidR="008E1F90">
        <w:t>)</w:t>
      </w:r>
      <w:r>
        <w:t xml:space="preserve"> (48.5%).</w:t>
      </w:r>
    </w:p>
    <w:p w:rsidR="00B83265" w:rsidRDefault="00B83265" w:rsidP="00B83265">
      <w:pPr>
        <w:spacing w:after="240"/>
      </w:pPr>
      <w:r>
        <w:t>Compared to the general Australian population1 (58.4%), a substantially lower percentage of NDIS participants aged 15 and over feel that they are able to have a say within the general community on matters that are important to them. Over five years, the percentage reporting positively has increased by 3.9 percentage points to 26.3%, although there is some volatility for intermediate time points due to small numbers.</w:t>
      </w:r>
    </w:p>
    <w:p w:rsidR="00B83265" w:rsidRDefault="00B83265" w:rsidP="00B83265">
      <w:pPr>
        <w:spacing w:after="240"/>
      </w:pPr>
      <w:r>
        <w:t>Cohorts one to four showed increases of 1.3, 4.4, 5.7 and 2.7 percentage points, respectively.</w:t>
      </w:r>
    </w:p>
    <w:p w:rsidR="00B83265" w:rsidRDefault="00B83265" w:rsidP="00B83265">
      <w:pPr>
        <w:spacing w:after="240"/>
        <w:rPr>
          <w:rFonts w:cstheme="minorHAnsi"/>
        </w:rPr>
      </w:pPr>
      <w:r>
        <w:rPr>
          <w:rFonts w:cstheme="minorHAnsi"/>
        </w:rPr>
        <w:t xml:space="preserve">Two charts shows </w:t>
      </w:r>
      <w:r w:rsidRPr="00AD4C8D">
        <w:rPr>
          <w:rFonts w:cstheme="minorHAnsi"/>
        </w:rPr>
        <w:t xml:space="preserve">the percentage </w:t>
      </w:r>
      <w:r w:rsidRPr="00AF6AB4">
        <w:rPr>
          <w:rFonts w:cstheme="minorHAnsi"/>
        </w:rPr>
        <w:t xml:space="preserve">who </w:t>
      </w:r>
      <w:r>
        <w:rPr>
          <w:rFonts w:cstheme="minorHAnsi"/>
        </w:rPr>
        <w:t xml:space="preserve">feel safe walking alone in their local area after dark and who have a say within the general community </w:t>
      </w:r>
      <w:r w:rsidRPr="00AD4C8D">
        <w:rPr>
          <w:rFonts w:cstheme="minorHAnsi"/>
        </w:rPr>
        <w:t>at baseline and at subsequent reviews, separately for participants in the five years, four years, three years, two years or one year</w:t>
      </w:r>
      <w:r w:rsidR="00A83BFC">
        <w:rPr>
          <w:rFonts w:cstheme="minorHAnsi"/>
        </w:rPr>
        <w:t xml:space="preserve"> cohorts</w:t>
      </w:r>
      <w:r w:rsidRPr="00AD4C8D">
        <w:rPr>
          <w:rFonts w:cstheme="minorHAnsi"/>
        </w:rPr>
        <w:t>.</w:t>
      </w:r>
      <w:r>
        <w:rPr>
          <w:rFonts w:cstheme="minorHAnsi"/>
        </w:rPr>
        <w:t xml:space="preserve"> </w:t>
      </w:r>
      <w:r w:rsidRPr="00715092">
        <w:rPr>
          <w:rFonts w:cstheme="minorHAnsi"/>
        </w:rPr>
        <w:t>Benchmarks for the Australian population are also shown.</w:t>
      </w:r>
    </w:p>
    <w:p w:rsidR="00A83BFC" w:rsidRPr="00AD4C8D" w:rsidRDefault="00A83BFC" w:rsidP="00B83265">
      <w:pPr>
        <w:spacing w:after="240"/>
        <w:rPr>
          <w:rFonts w:cstheme="minorHAnsi"/>
        </w:rPr>
      </w:pPr>
      <w:r>
        <w:rPr>
          <w:rFonts w:cstheme="minorHAnsi"/>
        </w:rPr>
        <w:t>For PSto14, analysed by time since first in P15to24, otherwise by time in Scheme.</w:t>
      </w:r>
    </w:p>
    <w:p w:rsidR="00B83265" w:rsidRDefault="00B83265" w:rsidP="00B83265">
      <w:pPr>
        <w:spacing w:after="240"/>
        <w:rPr>
          <w:rFonts w:cstheme="minorHAnsi"/>
        </w:rPr>
      </w:pPr>
      <w:r>
        <w:rPr>
          <w:rFonts w:cstheme="minorHAnsi"/>
        </w:rPr>
        <w:t>Feel safe walking alone in their local area after dark</w:t>
      </w:r>
    </w:p>
    <w:tbl>
      <w:tblPr>
        <w:tblpPr w:leftFromText="180" w:rightFromText="180" w:vertAnchor="text" w:tblpY="1"/>
        <w:tblOverlap w:val="never"/>
        <w:tblW w:w="9384" w:type="dxa"/>
        <w:tblLayout w:type="fixed"/>
        <w:tblLook w:val="04A0" w:firstRow="1" w:lastRow="0" w:firstColumn="1" w:lastColumn="0" w:noHBand="0" w:noVBand="1"/>
      </w:tblPr>
      <w:tblGrid>
        <w:gridCol w:w="2197"/>
        <w:gridCol w:w="1197"/>
        <w:gridCol w:w="1198"/>
        <w:gridCol w:w="1198"/>
        <w:gridCol w:w="1198"/>
        <w:gridCol w:w="1198"/>
        <w:gridCol w:w="1198"/>
      </w:tblGrid>
      <w:tr w:rsidR="00B83265" w:rsidRPr="00E15E84" w:rsidTr="00E15E84">
        <w:trPr>
          <w:trHeight w:val="282"/>
        </w:trPr>
        <w:tc>
          <w:tcPr>
            <w:tcW w:w="21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83265" w:rsidRPr="00E15E84" w:rsidRDefault="00B83265" w:rsidP="00E15E84">
            <w:pPr>
              <w:spacing w:after="0" w:line="240" w:lineRule="auto"/>
              <w:rPr>
                <w:rFonts w:ascii="Arial" w:eastAsia="Times New Roman" w:hAnsi="Arial" w:cs="Arial"/>
                <w:b/>
                <w:bCs/>
                <w:color w:val="000000"/>
                <w:lang w:eastAsia="zh-CN"/>
              </w:rPr>
            </w:pPr>
            <w:r w:rsidRPr="00E15E84">
              <w:rPr>
                <w:rFonts w:ascii="Arial" w:eastAsia="Times New Roman" w:hAnsi="Arial" w:cs="Arial"/>
                <w:b/>
                <w:bCs/>
                <w:color w:val="000000"/>
                <w:lang w:eastAsia="zh-CN"/>
              </w:rPr>
              <w:t>Cohort</w:t>
            </w:r>
            <w:r w:rsidR="00E15E84">
              <w:rPr>
                <w:rFonts w:ascii="Arial" w:eastAsia="Times New Roman" w:hAnsi="Arial" w:cs="Arial"/>
                <w:b/>
                <w:bCs/>
                <w:color w:val="000000"/>
                <w:lang w:eastAsia="zh-CN"/>
              </w:rPr>
              <w:t>/Benchmark</w:t>
            </w:r>
          </w:p>
        </w:tc>
        <w:tc>
          <w:tcPr>
            <w:tcW w:w="1197" w:type="dxa"/>
            <w:tcBorders>
              <w:top w:val="single" w:sz="4" w:space="0" w:color="auto"/>
              <w:left w:val="nil"/>
              <w:bottom w:val="single" w:sz="4" w:space="0" w:color="auto"/>
              <w:right w:val="single" w:sz="4" w:space="0" w:color="auto"/>
            </w:tcBorders>
            <w:shd w:val="clear" w:color="000000" w:fill="FFFFFF"/>
            <w:noWrap/>
            <w:vAlign w:val="center"/>
            <w:hideMark/>
          </w:tcPr>
          <w:p w:rsidR="00B83265" w:rsidRPr="00E15E84" w:rsidRDefault="00B83265" w:rsidP="00E15E84">
            <w:pPr>
              <w:spacing w:after="0" w:line="240" w:lineRule="auto"/>
              <w:rPr>
                <w:rFonts w:ascii="Arial" w:eastAsia="Times New Roman" w:hAnsi="Arial" w:cs="Arial"/>
                <w:b/>
                <w:bCs/>
                <w:color w:val="000000"/>
                <w:lang w:eastAsia="zh-CN"/>
              </w:rPr>
            </w:pPr>
            <w:r w:rsidRPr="00E15E84">
              <w:rPr>
                <w:rFonts w:ascii="Arial" w:eastAsia="Times New Roman" w:hAnsi="Arial" w:cs="Arial"/>
                <w:b/>
                <w:bCs/>
                <w:color w:val="000000"/>
                <w:lang w:eastAsia="zh-CN"/>
              </w:rPr>
              <w:t>Baseline</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B83265" w:rsidRPr="00E15E84" w:rsidRDefault="00B83265" w:rsidP="00E15E84">
            <w:pPr>
              <w:spacing w:after="0" w:line="240" w:lineRule="auto"/>
              <w:rPr>
                <w:rFonts w:ascii="Arial" w:eastAsia="Times New Roman" w:hAnsi="Arial" w:cs="Arial"/>
                <w:b/>
                <w:bCs/>
                <w:color w:val="000000"/>
                <w:lang w:eastAsia="zh-CN"/>
              </w:rPr>
            </w:pPr>
            <w:r w:rsidRPr="00E15E84">
              <w:rPr>
                <w:rFonts w:ascii="Arial" w:eastAsia="Times New Roman" w:hAnsi="Arial" w:cs="Arial"/>
                <w:b/>
                <w:bCs/>
                <w:color w:val="000000"/>
                <w:lang w:eastAsia="zh-CN"/>
              </w:rPr>
              <w:t>Review 1</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B83265" w:rsidRPr="00E15E84" w:rsidRDefault="00B83265" w:rsidP="00E15E84">
            <w:pPr>
              <w:spacing w:after="0" w:line="240" w:lineRule="auto"/>
              <w:rPr>
                <w:rFonts w:ascii="Arial" w:eastAsia="Times New Roman" w:hAnsi="Arial" w:cs="Arial"/>
                <w:b/>
                <w:bCs/>
                <w:color w:val="000000"/>
                <w:lang w:eastAsia="zh-CN"/>
              </w:rPr>
            </w:pPr>
            <w:r w:rsidRPr="00E15E84">
              <w:rPr>
                <w:rFonts w:ascii="Arial" w:eastAsia="Times New Roman" w:hAnsi="Arial" w:cs="Arial"/>
                <w:b/>
                <w:bCs/>
                <w:color w:val="000000"/>
                <w:lang w:eastAsia="zh-CN"/>
              </w:rPr>
              <w:t>Review 2</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B83265" w:rsidRPr="00E15E84" w:rsidRDefault="00B83265" w:rsidP="00E15E84">
            <w:pPr>
              <w:spacing w:after="0" w:line="240" w:lineRule="auto"/>
              <w:rPr>
                <w:rFonts w:ascii="Arial" w:eastAsia="Times New Roman" w:hAnsi="Arial" w:cs="Arial"/>
                <w:b/>
                <w:bCs/>
                <w:color w:val="000000"/>
                <w:lang w:eastAsia="zh-CN"/>
              </w:rPr>
            </w:pPr>
            <w:r w:rsidRPr="00E15E84">
              <w:rPr>
                <w:rFonts w:ascii="Arial" w:eastAsia="Times New Roman" w:hAnsi="Arial" w:cs="Arial"/>
                <w:b/>
                <w:bCs/>
                <w:color w:val="000000"/>
                <w:lang w:eastAsia="zh-CN"/>
              </w:rPr>
              <w:t>Review 3</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B83265" w:rsidRPr="00E15E84" w:rsidRDefault="00B83265" w:rsidP="00E15E84">
            <w:pPr>
              <w:spacing w:after="0" w:line="240" w:lineRule="auto"/>
              <w:rPr>
                <w:rFonts w:ascii="Arial" w:eastAsia="Times New Roman" w:hAnsi="Arial" w:cs="Arial"/>
                <w:b/>
                <w:bCs/>
                <w:color w:val="000000"/>
                <w:lang w:eastAsia="zh-CN"/>
              </w:rPr>
            </w:pPr>
            <w:r w:rsidRPr="00E15E84">
              <w:rPr>
                <w:rFonts w:ascii="Arial" w:eastAsia="Times New Roman" w:hAnsi="Arial" w:cs="Arial"/>
                <w:b/>
                <w:bCs/>
                <w:color w:val="000000"/>
                <w:lang w:eastAsia="zh-CN"/>
              </w:rPr>
              <w:t>Review 4</w:t>
            </w:r>
          </w:p>
        </w:tc>
        <w:tc>
          <w:tcPr>
            <w:tcW w:w="1198" w:type="dxa"/>
            <w:tcBorders>
              <w:top w:val="single" w:sz="4" w:space="0" w:color="auto"/>
              <w:left w:val="nil"/>
              <w:bottom w:val="single" w:sz="4" w:space="0" w:color="auto"/>
              <w:right w:val="single" w:sz="4" w:space="0" w:color="auto"/>
            </w:tcBorders>
            <w:shd w:val="clear" w:color="000000" w:fill="FFFFFF"/>
            <w:vAlign w:val="center"/>
          </w:tcPr>
          <w:p w:rsidR="00B83265" w:rsidRPr="00E15E84" w:rsidRDefault="00B83265" w:rsidP="00E15E84">
            <w:pPr>
              <w:spacing w:after="0" w:line="240" w:lineRule="auto"/>
              <w:rPr>
                <w:rFonts w:ascii="Arial" w:eastAsia="Times New Roman" w:hAnsi="Arial" w:cs="Arial"/>
                <w:b/>
                <w:bCs/>
                <w:color w:val="000000"/>
                <w:lang w:eastAsia="zh-CN"/>
              </w:rPr>
            </w:pPr>
            <w:r w:rsidRPr="00E15E84">
              <w:rPr>
                <w:rFonts w:ascii="Arial" w:eastAsia="Times New Roman" w:hAnsi="Arial" w:cs="Arial"/>
                <w:b/>
                <w:bCs/>
                <w:color w:val="000000"/>
                <w:lang w:eastAsia="zh-CN"/>
              </w:rPr>
              <w:t>Review 5</w:t>
            </w:r>
          </w:p>
        </w:tc>
      </w:tr>
      <w:tr w:rsidR="00B83265" w:rsidRPr="00E15E84" w:rsidTr="00E15E84">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center"/>
            <w:hideMark/>
          </w:tcPr>
          <w:p w:rsidR="00B83265" w:rsidRPr="00E15E84" w:rsidRDefault="00B83265" w:rsidP="00E15E84">
            <w:pPr>
              <w:spacing w:after="0"/>
              <w:rPr>
                <w:rFonts w:ascii="Arial" w:hAnsi="Arial" w:cs="Arial"/>
              </w:rPr>
            </w:pPr>
            <w:r w:rsidRPr="00E15E84">
              <w:rPr>
                <w:rFonts w:ascii="Arial" w:hAnsi="Arial" w:cs="Arial"/>
              </w:rPr>
              <w:t>Benchmark</w:t>
            </w:r>
          </w:p>
        </w:tc>
        <w:tc>
          <w:tcPr>
            <w:tcW w:w="1197" w:type="dxa"/>
            <w:tcBorders>
              <w:top w:val="nil"/>
              <w:left w:val="nil"/>
              <w:bottom w:val="single" w:sz="4" w:space="0" w:color="auto"/>
              <w:right w:val="single" w:sz="4" w:space="0" w:color="auto"/>
            </w:tcBorders>
            <w:shd w:val="clear" w:color="000000" w:fill="FFFFFF"/>
            <w:noWrap/>
            <w:vAlign w:val="center"/>
          </w:tcPr>
          <w:p w:rsidR="00B83265" w:rsidRPr="00E15E84" w:rsidRDefault="00B83265" w:rsidP="00E15E84">
            <w:pPr>
              <w:spacing w:after="0"/>
              <w:rPr>
                <w:rFonts w:ascii="Arial" w:hAnsi="Arial" w:cs="Arial"/>
              </w:rPr>
            </w:pPr>
            <w:r w:rsidRPr="00E15E84">
              <w:rPr>
                <w:rFonts w:ascii="Arial" w:hAnsi="Arial" w:cs="Arial"/>
              </w:rPr>
              <w:t>48.5%</w:t>
            </w:r>
          </w:p>
        </w:tc>
        <w:tc>
          <w:tcPr>
            <w:tcW w:w="1198" w:type="dxa"/>
            <w:tcBorders>
              <w:top w:val="nil"/>
              <w:left w:val="nil"/>
              <w:bottom w:val="single" w:sz="4" w:space="0" w:color="auto"/>
              <w:right w:val="single" w:sz="4" w:space="0" w:color="auto"/>
            </w:tcBorders>
            <w:shd w:val="clear" w:color="000000" w:fill="FFFFFF"/>
            <w:noWrap/>
            <w:vAlign w:val="center"/>
          </w:tcPr>
          <w:p w:rsidR="00B83265" w:rsidRPr="00E15E84" w:rsidRDefault="00B83265" w:rsidP="00E15E84">
            <w:pPr>
              <w:spacing w:after="0"/>
              <w:rPr>
                <w:rFonts w:ascii="Arial" w:hAnsi="Arial" w:cs="Arial"/>
              </w:rPr>
            </w:pPr>
            <w:r w:rsidRPr="00E15E84">
              <w:rPr>
                <w:rFonts w:ascii="Arial" w:hAnsi="Arial" w:cs="Arial"/>
              </w:rPr>
              <w:t>48.5%</w:t>
            </w:r>
          </w:p>
        </w:tc>
        <w:tc>
          <w:tcPr>
            <w:tcW w:w="1198" w:type="dxa"/>
            <w:tcBorders>
              <w:top w:val="nil"/>
              <w:left w:val="nil"/>
              <w:bottom w:val="single" w:sz="4" w:space="0" w:color="auto"/>
              <w:right w:val="single" w:sz="4" w:space="0" w:color="auto"/>
            </w:tcBorders>
            <w:shd w:val="clear" w:color="000000" w:fill="FFFFFF"/>
            <w:noWrap/>
            <w:vAlign w:val="center"/>
          </w:tcPr>
          <w:p w:rsidR="00B83265" w:rsidRPr="00E15E84" w:rsidRDefault="00B83265" w:rsidP="00E15E84">
            <w:pPr>
              <w:spacing w:after="0"/>
              <w:rPr>
                <w:rFonts w:ascii="Arial" w:hAnsi="Arial" w:cs="Arial"/>
              </w:rPr>
            </w:pPr>
            <w:r w:rsidRPr="00E15E84">
              <w:rPr>
                <w:rFonts w:ascii="Arial" w:hAnsi="Arial" w:cs="Arial"/>
              </w:rPr>
              <w:t>48.5%</w:t>
            </w:r>
          </w:p>
        </w:tc>
        <w:tc>
          <w:tcPr>
            <w:tcW w:w="1198" w:type="dxa"/>
            <w:tcBorders>
              <w:top w:val="nil"/>
              <w:left w:val="nil"/>
              <w:bottom w:val="single" w:sz="4" w:space="0" w:color="auto"/>
              <w:right w:val="single" w:sz="4" w:space="0" w:color="auto"/>
            </w:tcBorders>
            <w:shd w:val="clear" w:color="000000" w:fill="FFFFFF"/>
            <w:noWrap/>
            <w:vAlign w:val="center"/>
          </w:tcPr>
          <w:p w:rsidR="00B83265" w:rsidRPr="00E15E84" w:rsidRDefault="00B83265" w:rsidP="00E15E84">
            <w:pPr>
              <w:spacing w:after="0"/>
              <w:rPr>
                <w:rFonts w:ascii="Arial" w:hAnsi="Arial" w:cs="Arial"/>
              </w:rPr>
            </w:pPr>
            <w:r w:rsidRPr="00E15E84">
              <w:rPr>
                <w:rFonts w:ascii="Arial" w:hAnsi="Arial" w:cs="Arial"/>
              </w:rPr>
              <w:t>48.5%</w:t>
            </w:r>
          </w:p>
        </w:tc>
        <w:tc>
          <w:tcPr>
            <w:tcW w:w="1198" w:type="dxa"/>
            <w:tcBorders>
              <w:top w:val="nil"/>
              <w:left w:val="nil"/>
              <w:bottom w:val="single" w:sz="4" w:space="0" w:color="auto"/>
              <w:right w:val="single" w:sz="4" w:space="0" w:color="auto"/>
            </w:tcBorders>
            <w:shd w:val="clear" w:color="000000" w:fill="FFFFFF"/>
            <w:noWrap/>
            <w:vAlign w:val="center"/>
          </w:tcPr>
          <w:p w:rsidR="00B83265" w:rsidRPr="00E15E84" w:rsidRDefault="00B83265" w:rsidP="00E15E84">
            <w:pPr>
              <w:spacing w:after="0"/>
              <w:rPr>
                <w:rFonts w:ascii="Arial" w:hAnsi="Arial" w:cs="Arial"/>
              </w:rPr>
            </w:pPr>
            <w:r w:rsidRPr="00E15E84">
              <w:rPr>
                <w:rFonts w:ascii="Arial" w:hAnsi="Arial" w:cs="Arial"/>
              </w:rPr>
              <w:t>48.5%</w:t>
            </w:r>
          </w:p>
        </w:tc>
        <w:tc>
          <w:tcPr>
            <w:tcW w:w="1198" w:type="dxa"/>
            <w:tcBorders>
              <w:top w:val="nil"/>
              <w:left w:val="nil"/>
              <w:bottom w:val="single" w:sz="4" w:space="0" w:color="auto"/>
              <w:right w:val="single" w:sz="4" w:space="0" w:color="auto"/>
            </w:tcBorders>
            <w:shd w:val="clear" w:color="000000" w:fill="FFFFFF"/>
            <w:vAlign w:val="center"/>
          </w:tcPr>
          <w:p w:rsidR="00B83265" w:rsidRPr="00E15E84" w:rsidRDefault="00B83265" w:rsidP="00E15E84">
            <w:pPr>
              <w:spacing w:after="0"/>
              <w:rPr>
                <w:rFonts w:ascii="Arial" w:hAnsi="Arial" w:cs="Arial"/>
              </w:rPr>
            </w:pPr>
            <w:r w:rsidRPr="00E15E84">
              <w:rPr>
                <w:rFonts w:ascii="Arial" w:hAnsi="Arial" w:cs="Arial"/>
              </w:rPr>
              <w:t>48.5%</w:t>
            </w:r>
          </w:p>
        </w:tc>
      </w:tr>
      <w:tr w:rsidR="00E15E84" w:rsidRPr="00E15E84" w:rsidTr="00E15E84">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color w:val="000000"/>
              </w:rPr>
            </w:pPr>
            <w:r w:rsidRPr="00E15E84">
              <w:rPr>
                <w:rFonts w:ascii="Arial" w:hAnsi="Arial" w:cs="Arial"/>
              </w:rPr>
              <w:t>5 years</w:t>
            </w:r>
          </w:p>
        </w:tc>
        <w:tc>
          <w:tcPr>
            <w:tcW w:w="1197" w:type="dxa"/>
            <w:tcBorders>
              <w:top w:val="nil"/>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r w:rsidRPr="00E15E84">
              <w:rPr>
                <w:rFonts w:ascii="Arial" w:hAnsi="Arial" w:cs="Arial"/>
              </w:rPr>
              <w:t>19.7%</w:t>
            </w:r>
          </w:p>
        </w:tc>
        <w:tc>
          <w:tcPr>
            <w:tcW w:w="1198" w:type="dxa"/>
            <w:tcBorders>
              <w:top w:val="nil"/>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r w:rsidRPr="00E15E84">
              <w:rPr>
                <w:rFonts w:ascii="Arial" w:hAnsi="Arial" w:cs="Arial"/>
              </w:rPr>
              <w:t>21.3%</w:t>
            </w:r>
          </w:p>
        </w:tc>
        <w:tc>
          <w:tcPr>
            <w:tcW w:w="1198" w:type="dxa"/>
            <w:tcBorders>
              <w:top w:val="nil"/>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r w:rsidRPr="00E15E84">
              <w:rPr>
                <w:rFonts w:ascii="Arial" w:hAnsi="Arial" w:cs="Arial"/>
              </w:rPr>
              <w:t>22.7%</w:t>
            </w:r>
          </w:p>
        </w:tc>
        <w:tc>
          <w:tcPr>
            <w:tcW w:w="1198" w:type="dxa"/>
            <w:tcBorders>
              <w:top w:val="nil"/>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r w:rsidRPr="00E15E84">
              <w:rPr>
                <w:rFonts w:ascii="Arial" w:hAnsi="Arial" w:cs="Arial"/>
              </w:rPr>
              <w:t>28.9%</w:t>
            </w:r>
          </w:p>
        </w:tc>
        <w:tc>
          <w:tcPr>
            <w:tcW w:w="1198" w:type="dxa"/>
            <w:tcBorders>
              <w:top w:val="nil"/>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r w:rsidRPr="00E15E84">
              <w:rPr>
                <w:rFonts w:ascii="Arial" w:hAnsi="Arial" w:cs="Arial"/>
              </w:rPr>
              <w:t>26.3%</w:t>
            </w:r>
          </w:p>
        </w:tc>
        <w:tc>
          <w:tcPr>
            <w:tcW w:w="1198" w:type="dxa"/>
            <w:tcBorders>
              <w:top w:val="nil"/>
              <w:left w:val="nil"/>
              <w:bottom w:val="single" w:sz="4" w:space="0" w:color="auto"/>
              <w:right w:val="single" w:sz="4" w:space="0" w:color="auto"/>
            </w:tcBorders>
            <w:shd w:val="clear" w:color="000000" w:fill="FFFFFF"/>
            <w:vAlign w:val="center"/>
          </w:tcPr>
          <w:p w:rsidR="00E15E84" w:rsidRPr="00E15E84" w:rsidRDefault="00E15E84" w:rsidP="00E15E84">
            <w:pPr>
              <w:spacing w:after="0"/>
              <w:rPr>
                <w:rFonts w:ascii="Arial" w:hAnsi="Arial" w:cs="Arial"/>
              </w:rPr>
            </w:pPr>
            <w:r w:rsidRPr="00E15E84">
              <w:rPr>
                <w:rFonts w:ascii="Arial" w:hAnsi="Arial" w:cs="Arial"/>
              </w:rPr>
              <w:t>35.5%</w:t>
            </w:r>
          </w:p>
        </w:tc>
      </w:tr>
      <w:tr w:rsidR="00E15E84" w:rsidRPr="00E15E84" w:rsidTr="00E15E84">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center"/>
            <w:hideMark/>
          </w:tcPr>
          <w:p w:rsidR="00E15E84" w:rsidRPr="00E15E84" w:rsidRDefault="00E15E84" w:rsidP="00E15E84">
            <w:pPr>
              <w:spacing w:after="0"/>
              <w:rPr>
                <w:rFonts w:ascii="Arial" w:hAnsi="Arial" w:cs="Arial"/>
              </w:rPr>
            </w:pPr>
            <w:r w:rsidRPr="00E15E84">
              <w:rPr>
                <w:rFonts w:ascii="Arial" w:hAnsi="Arial" w:cs="Arial"/>
              </w:rPr>
              <w:t>4 years</w:t>
            </w:r>
          </w:p>
        </w:tc>
        <w:tc>
          <w:tcPr>
            <w:tcW w:w="1197" w:type="dxa"/>
            <w:tcBorders>
              <w:top w:val="nil"/>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r w:rsidRPr="00E15E84">
              <w:rPr>
                <w:rFonts w:ascii="Arial" w:hAnsi="Arial" w:cs="Arial"/>
              </w:rPr>
              <w:t>13.3%</w:t>
            </w:r>
          </w:p>
        </w:tc>
        <w:tc>
          <w:tcPr>
            <w:tcW w:w="1198" w:type="dxa"/>
            <w:tcBorders>
              <w:top w:val="nil"/>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r w:rsidRPr="00E15E84">
              <w:rPr>
                <w:rFonts w:ascii="Arial" w:hAnsi="Arial" w:cs="Arial"/>
              </w:rPr>
              <w:t>19.5%</w:t>
            </w:r>
          </w:p>
        </w:tc>
        <w:tc>
          <w:tcPr>
            <w:tcW w:w="1198" w:type="dxa"/>
            <w:tcBorders>
              <w:top w:val="nil"/>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r w:rsidRPr="00E15E84">
              <w:rPr>
                <w:rFonts w:ascii="Arial" w:hAnsi="Arial" w:cs="Arial"/>
              </w:rPr>
              <w:t>14.4%</w:t>
            </w:r>
          </w:p>
        </w:tc>
        <w:tc>
          <w:tcPr>
            <w:tcW w:w="1198" w:type="dxa"/>
            <w:tcBorders>
              <w:top w:val="nil"/>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r w:rsidRPr="00E15E84">
              <w:rPr>
                <w:rFonts w:ascii="Arial" w:hAnsi="Arial" w:cs="Arial"/>
              </w:rPr>
              <w:t>14.9%</w:t>
            </w:r>
          </w:p>
        </w:tc>
        <w:tc>
          <w:tcPr>
            <w:tcW w:w="1198" w:type="dxa"/>
            <w:tcBorders>
              <w:top w:val="nil"/>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r w:rsidRPr="00E15E84">
              <w:rPr>
                <w:rFonts w:ascii="Arial" w:hAnsi="Arial" w:cs="Arial"/>
              </w:rPr>
              <w:t>22.8%</w:t>
            </w:r>
          </w:p>
        </w:tc>
        <w:tc>
          <w:tcPr>
            <w:tcW w:w="1198" w:type="dxa"/>
            <w:tcBorders>
              <w:top w:val="nil"/>
              <w:left w:val="nil"/>
              <w:bottom w:val="single" w:sz="4" w:space="0" w:color="auto"/>
              <w:right w:val="single" w:sz="4" w:space="0" w:color="auto"/>
            </w:tcBorders>
            <w:shd w:val="clear" w:color="000000" w:fill="FFFFFF"/>
            <w:vAlign w:val="center"/>
          </w:tcPr>
          <w:p w:rsidR="00E15E84" w:rsidRPr="00E15E84" w:rsidRDefault="00E15E84" w:rsidP="00E15E84">
            <w:pPr>
              <w:spacing w:after="0"/>
              <w:rPr>
                <w:rFonts w:ascii="Arial" w:hAnsi="Arial" w:cs="Arial"/>
              </w:rPr>
            </w:pPr>
          </w:p>
        </w:tc>
      </w:tr>
      <w:tr w:rsidR="00E15E84" w:rsidRPr="00E15E84" w:rsidTr="00E15E84">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center"/>
            <w:hideMark/>
          </w:tcPr>
          <w:p w:rsidR="00E15E84" w:rsidRPr="00E15E84" w:rsidRDefault="00E15E84" w:rsidP="00E15E84">
            <w:pPr>
              <w:spacing w:after="0"/>
              <w:rPr>
                <w:rFonts w:ascii="Arial" w:hAnsi="Arial" w:cs="Arial"/>
              </w:rPr>
            </w:pPr>
            <w:r w:rsidRPr="00E15E84">
              <w:rPr>
                <w:rFonts w:ascii="Arial" w:hAnsi="Arial" w:cs="Arial"/>
              </w:rPr>
              <w:t>3 years</w:t>
            </w:r>
          </w:p>
        </w:tc>
        <w:tc>
          <w:tcPr>
            <w:tcW w:w="1197" w:type="dxa"/>
            <w:tcBorders>
              <w:top w:val="nil"/>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r w:rsidRPr="00E15E84">
              <w:rPr>
                <w:rFonts w:ascii="Arial" w:hAnsi="Arial" w:cs="Arial"/>
              </w:rPr>
              <w:t>21.5%</w:t>
            </w:r>
          </w:p>
        </w:tc>
        <w:tc>
          <w:tcPr>
            <w:tcW w:w="1198" w:type="dxa"/>
            <w:tcBorders>
              <w:top w:val="nil"/>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r w:rsidRPr="00E15E84">
              <w:rPr>
                <w:rFonts w:ascii="Arial" w:hAnsi="Arial" w:cs="Arial"/>
              </w:rPr>
              <w:t>24.2%</w:t>
            </w:r>
          </w:p>
        </w:tc>
        <w:tc>
          <w:tcPr>
            <w:tcW w:w="1198" w:type="dxa"/>
            <w:tcBorders>
              <w:top w:val="nil"/>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r w:rsidRPr="00E15E84">
              <w:rPr>
                <w:rFonts w:ascii="Arial" w:hAnsi="Arial" w:cs="Arial"/>
              </w:rPr>
              <w:t>25.1%</w:t>
            </w:r>
          </w:p>
        </w:tc>
        <w:tc>
          <w:tcPr>
            <w:tcW w:w="1198" w:type="dxa"/>
            <w:tcBorders>
              <w:top w:val="nil"/>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r w:rsidRPr="00E15E84">
              <w:rPr>
                <w:rFonts w:ascii="Arial" w:hAnsi="Arial" w:cs="Arial"/>
              </w:rPr>
              <w:t>29.7%</w:t>
            </w:r>
          </w:p>
        </w:tc>
        <w:tc>
          <w:tcPr>
            <w:tcW w:w="1198" w:type="dxa"/>
            <w:tcBorders>
              <w:top w:val="nil"/>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p>
        </w:tc>
        <w:tc>
          <w:tcPr>
            <w:tcW w:w="1198" w:type="dxa"/>
            <w:tcBorders>
              <w:top w:val="nil"/>
              <w:left w:val="nil"/>
              <w:bottom w:val="single" w:sz="4" w:space="0" w:color="auto"/>
              <w:right w:val="single" w:sz="4" w:space="0" w:color="auto"/>
            </w:tcBorders>
            <w:shd w:val="clear" w:color="000000" w:fill="FFFFFF"/>
            <w:vAlign w:val="center"/>
          </w:tcPr>
          <w:p w:rsidR="00E15E84" w:rsidRPr="00E15E84" w:rsidRDefault="00E15E84" w:rsidP="00E15E84">
            <w:pPr>
              <w:spacing w:after="0"/>
              <w:rPr>
                <w:rFonts w:ascii="Arial" w:hAnsi="Arial" w:cs="Arial"/>
              </w:rPr>
            </w:pPr>
          </w:p>
        </w:tc>
      </w:tr>
      <w:tr w:rsidR="00E15E84" w:rsidRPr="00E15E84" w:rsidTr="00E15E84">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center"/>
            <w:hideMark/>
          </w:tcPr>
          <w:p w:rsidR="00E15E84" w:rsidRPr="00E15E84" w:rsidRDefault="00E15E84" w:rsidP="00E15E84">
            <w:pPr>
              <w:spacing w:after="0"/>
              <w:rPr>
                <w:rFonts w:ascii="Arial" w:hAnsi="Arial" w:cs="Arial"/>
              </w:rPr>
            </w:pPr>
            <w:r w:rsidRPr="00E15E84">
              <w:rPr>
                <w:rFonts w:ascii="Arial" w:hAnsi="Arial" w:cs="Arial"/>
              </w:rPr>
              <w:t>2 years</w:t>
            </w:r>
          </w:p>
        </w:tc>
        <w:tc>
          <w:tcPr>
            <w:tcW w:w="1197" w:type="dxa"/>
            <w:tcBorders>
              <w:top w:val="nil"/>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r w:rsidRPr="00E15E84">
              <w:rPr>
                <w:rFonts w:ascii="Arial" w:hAnsi="Arial" w:cs="Arial"/>
              </w:rPr>
              <w:t>18.7%</w:t>
            </w:r>
          </w:p>
        </w:tc>
        <w:tc>
          <w:tcPr>
            <w:tcW w:w="1198" w:type="dxa"/>
            <w:tcBorders>
              <w:top w:val="nil"/>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r w:rsidRPr="00E15E84">
              <w:rPr>
                <w:rFonts w:ascii="Arial" w:hAnsi="Arial" w:cs="Arial"/>
              </w:rPr>
              <w:t>23.2%</w:t>
            </w:r>
          </w:p>
        </w:tc>
        <w:tc>
          <w:tcPr>
            <w:tcW w:w="1198" w:type="dxa"/>
            <w:tcBorders>
              <w:top w:val="nil"/>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r w:rsidRPr="00E15E84">
              <w:rPr>
                <w:rFonts w:ascii="Arial" w:hAnsi="Arial" w:cs="Arial"/>
              </w:rPr>
              <w:t>26.8%</w:t>
            </w:r>
          </w:p>
        </w:tc>
        <w:tc>
          <w:tcPr>
            <w:tcW w:w="1198" w:type="dxa"/>
            <w:tcBorders>
              <w:top w:val="nil"/>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p>
        </w:tc>
        <w:tc>
          <w:tcPr>
            <w:tcW w:w="1198" w:type="dxa"/>
            <w:tcBorders>
              <w:top w:val="nil"/>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p>
        </w:tc>
        <w:tc>
          <w:tcPr>
            <w:tcW w:w="1198" w:type="dxa"/>
            <w:tcBorders>
              <w:top w:val="nil"/>
              <w:left w:val="nil"/>
              <w:bottom w:val="single" w:sz="4" w:space="0" w:color="auto"/>
              <w:right w:val="single" w:sz="4" w:space="0" w:color="auto"/>
            </w:tcBorders>
            <w:shd w:val="clear" w:color="000000" w:fill="FFFFFF"/>
            <w:vAlign w:val="center"/>
          </w:tcPr>
          <w:p w:rsidR="00E15E84" w:rsidRPr="00E15E84" w:rsidRDefault="00E15E84" w:rsidP="00E15E84">
            <w:pPr>
              <w:spacing w:after="0"/>
              <w:rPr>
                <w:rFonts w:ascii="Arial" w:hAnsi="Arial" w:cs="Arial"/>
              </w:rPr>
            </w:pPr>
          </w:p>
        </w:tc>
      </w:tr>
      <w:tr w:rsidR="00E15E84" w:rsidRPr="00E15E84" w:rsidTr="00E15E84">
        <w:trPr>
          <w:trHeight w:val="282"/>
        </w:trPr>
        <w:tc>
          <w:tcPr>
            <w:tcW w:w="219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r w:rsidRPr="00E15E84">
              <w:rPr>
                <w:rFonts w:ascii="Arial" w:hAnsi="Arial" w:cs="Arial"/>
              </w:rPr>
              <w:t>1 year</w:t>
            </w:r>
          </w:p>
        </w:tc>
        <w:tc>
          <w:tcPr>
            <w:tcW w:w="1197" w:type="dxa"/>
            <w:tcBorders>
              <w:top w:val="single" w:sz="4" w:space="0" w:color="auto"/>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r w:rsidRPr="00E15E84">
              <w:rPr>
                <w:rFonts w:ascii="Arial" w:hAnsi="Arial" w:cs="Arial"/>
              </w:rPr>
              <w:t>24.6%</w:t>
            </w:r>
          </w:p>
        </w:tc>
        <w:tc>
          <w:tcPr>
            <w:tcW w:w="1198" w:type="dxa"/>
            <w:tcBorders>
              <w:top w:val="single" w:sz="4" w:space="0" w:color="auto"/>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r w:rsidRPr="00E15E84">
              <w:rPr>
                <w:rFonts w:ascii="Arial" w:hAnsi="Arial" w:cs="Arial"/>
              </w:rPr>
              <w:t>28.0%</w:t>
            </w:r>
          </w:p>
        </w:tc>
        <w:tc>
          <w:tcPr>
            <w:tcW w:w="1198" w:type="dxa"/>
            <w:tcBorders>
              <w:top w:val="single" w:sz="4" w:space="0" w:color="auto"/>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p>
        </w:tc>
        <w:tc>
          <w:tcPr>
            <w:tcW w:w="1198" w:type="dxa"/>
            <w:tcBorders>
              <w:top w:val="single" w:sz="4" w:space="0" w:color="auto"/>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p>
        </w:tc>
        <w:tc>
          <w:tcPr>
            <w:tcW w:w="1198" w:type="dxa"/>
            <w:tcBorders>
              <w:top w:val="single" w:sz="4" w:space="0" w:color="auto"/>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p>
        </w:tc>
        <w:tc>
          <w:tcPr>
            <w:tcW w:w="1198" w:type="dxa"/>
            <w:tcBorders>
              <w:top w:val="single" w:sz="4" w:space="0" w:color="auto"/>
              <w:left w:val="nil"/>
              <w:bottom w:val="single" w:sz="4" w:space="0" w:color="auto"/>
              <w:right w:val="single" w:sz="4" w:space="0" w:color="auto"/>
            </w:tcBorders>
            <w:shd w:val="clear" w:color="000000" w:fill="FFFFFF"/>
            <w:vAlign w:val="center"/>
          </w:tcPr>
          <w:p w:rsidR="00E15E84" w:rsidRPr="00E15E84" w:rsidRDefault="00E15E84" w:rsidP="00E15E84">
            <w:pPr>
              <w:spacing w:after="0"/>
              <w:rPr>
                <w:rFonts w:ascii="Arial" w:hAnsi="Arial" w:cs="Arial"/>
              </w:rPr>
            </w:pPr>
          </w:p>
        </w:tc>
      </w:tr>
    </w:tbl>
    <w:p w:rsidR="00B83265" w:rsidRDefault="00B83265" w:rsidP="00B83265">
      <w:pPr>
        <w:spacing w:after="240"/>
        <w:rPr>
          <w:rFonts w:cstheme="minorHAnsi"/>
        </w:rPr>
      </w:pPr>
    </w:p>
    <w:p w:rsidR="00B83265" w:rsidRDefault="00B83265" w:rsidP="00B83265">
      <w:pPr>
        <w:spacing w:after="240"/>
        <w:rPr>
          <w:rFonts w:cstheme="minorHAnsi"/>
        </w:rPr>
      </w:pPr>
      <w:r>
        <w:rPr>
          <w:rFonts w:cstheme="minorHAnsi"/>
        </w:rPr>
        <w:t>Have a say within the general community</w:t>
      </w:r>
    </w:p>
    <w:tbl>
      <w:tblPr>
        <w:tblpPr w:leftFromText="180" w:rightFromText="180" w:vertAnchor="text" w:tblpY="1"/>
        <w:tblOverlap w:val="never"/>
        <w:tblW w:w="9384" w:type="dxa"/>
        <w:tblLayout w:type="fixed"/>
        <w:tblLook w:val="04A0" w:firstRow="1" w:lastRow="0" w:firstColumn="1" w:lastColumn="0" w:noHBand="0" w:noVBand="1"/>
      </w:tblPr>
      <w:tblGrid>
        <w:gridCol w:w="2197"/>
        <w:gridCol w:w="1197"/>
        <w:gridCol w:w="1198"/>
        <w:gridCol w:w="1198"/>
        <w:gridCol w:w="1198"/>
        <w:gridCol w:w="1198"/>
        <w:gridCol w:w="1198"/>
      </w:tblGrid>
      <w:tr w:rsidR="00E15E84" w:rsidRPr="00E15E84" w:rsidTr="00E15E84">
        <w:trPr>
          <w:trHeight w:val="282"/>
        </w:trPr>
        <w:tc>
          <w:tcPr>
            <w:tcW w:w="21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15E84" w:rsidRPr="00E15E84" w:rsidRDefault="00E15E84" w:rsidP="00E15E84">
            <w:pPr>
              <w:spacing w:after="0" w:line="240" w:lineRule="auto"/>
              <w:rPr>
                <w:rFonts w:ascii="Arial" w:eastAsia="Times New Roman" w:hAnsi="Arial" w:cs="Arial"/>
                <w:b/>
                <w:bCs/>
                <w:color w:val="000000"/>
                <w:lang w:eastAsia="zh-CN"/>
              </w:rPr>
            </w:pPr>
            <w:r w:rsidRPr="00E15E84">
              <w:rPr>
                <w:rFonts w:ascii="Arial" w:eastAsia="Times New Roman" w:hAnsi="Arial" w:cs="Arial"/>
                <w:b/>
                <w:bCs/>
                <w:color w:val="000000"/>
                <w:lang w:eastAsia="zh-CN"/>
              </w:rPr>
              <w:t>Cohort/Benchmark</w:t>
            </w:r>
          </w:p>
        </w:tc>
        <w:tc>
          <w:tcPr>
            <w:tcW w:w="1197" w:type="dxa"/>
            <w:tcBorders>
              <w:top w:val="single" w:sz="4" w:space="0" w:color="auto"/>
              <w:left w:val="nil"/>
              <w:bottom w:val="single" w:sz="4" w:space="0" w:color="auto"/>
              <w:right w:val="single" w:sz="4" w:space="0" w:color="auto"/>
            </w:tcBorders>
            <w:shd w:val="clear" w:color="000000" w:fill="FFFFFF"/>
            <w:noWrap/>
            <w:vAlign w:val="center"/>
            <w:hideMark/>
          </w:tcPr>
          <w:p w:rsidR="00E15E84" w:rsidRPr="00E15E84" w:rsidRDefault="00E15E84" w:rsidP="00E15E84">
            <w:pPr>
              <w:spacing w:after="0" w:line="240" w:lineRule="auto"/>
              <w:rPr>
                <w:rFonts w:ascii="Arial" w:eastAsia="Times New Roman" w:hAnsi="Arial" w:cs="Arial"/>
                <w:b/>
                <w:bCs/>
                <w:color w:val="000000"/>
                <w:lang w:eastAsia="zh-CN"/>
              </w:rPr>
            </w:pPr>
            <w:r w:rsidRPr="00E15E84">
              <w:rPr>
                <w:rFonts w:ascii="Arial" w:eastAsia="Times New Roman" w:hAnsi="Arial" w:cs="Arial"/>
                <w:b/>
                <w:bCs/>
                <w:color w:val="000000"/>
                <w:lang w:eastAsia="zh-CN"/>
              </w:rPr>
              <w:t>Baseline</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E15E84" w:rsidRPr="00E15E84" w:rsidRDefault="00E15E84" w:rsidP="00E15E84">
            <w:pPr>
              <w:spacing w:after="0" w:line="240" w:lineRule="auto"/>
              <w:rPr>
                <w:rFonts w:ascii="Arial" w:eastAsia="Times New Roman" w:hAnsi="Arial" w:cs="Arial"/>
                <w:b/>
                <w:bCs/>
                <w:color w:val="000000"/>
                <w:lang w:eastAsia="zh-CN"/>
              </w:rPr>
            </w:pPr>
            <w:r w:rsidRPr="00E15E84">
              <w:rPr>
                <w:rFonts w:ascii="Arial" w:eastAsia="Times New Roman" w:hAnsi="Arial" w:cs="Arial"/>
                <w:b/>
                <w:bCs/>
                <w:color w:val="000000"/>
                <w:lang w:eastAsia="zh-CN"/>
              </w:rPr>
              <w:t>Review 1</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E15E84" w:rsidRPr="00E15E84" w:rsidRDefault="00E15E84" w:rsidP="00E15E84">
            <w:pPr>
              <w:spacing w:after="0" w:line="240" w:lineRule="auto"/>
              <w:rPr>
                <w:rFonts w:ascii="Arial" w:eastAsia="Times New Roman" w:hAnsi="Arial" w:cs="Arial"/>
                <w:b/>
                <w:bCs/>
                <w:color w:val="000000"/>
                <w:lang w:eastAsia="zh-CN"/>
              </w:rPr>
            </w:pPr>
            <w:r w:rsidRPr="00E15E84">
              <w:rPr>
                <w:rFonts w:ascii="Arial" w:eastAsia="Times New Roman" w:hAnsi="Arial" w:cs="Arial"/>
                <w:b/>
                <w:bCs/>
                <w:color w:val="000000"/>
                <w:lang w:eastAsia="zh-CN"/>
              </w:rPr>
              <w:t>Review 2</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E15E84" w:rsidRPr="00E15E84" w:rsidRDefault="00E15E84" w:rsidP="00E15E84">
            <w:pPr>
              <w:spacing w:after="0" w:line="240" w:lineRule="auto"/>
              <w:rPr>
                <w:rFonts w:ascii="Arial" w:eastAsia="Times New Roman" w:hAnsi="Arial" w:cs="Arial"/>
                <w:b/>
                <w:bCs/>
                <w:color w:val="000000"/>
                <w:lang w:eastAsia="zh-CN"/>
              </w:rPr>
            </w:pPr>
            <w:r w:rsidRPr="00E15E84">
              <w:rPr>
                <w:rFonts w:ascii="Arial" w:eastAsia="Times New Roman" w:hAnsi="Arial" w:cs="Arial"/>
                <w:b/>
                <w:bCs/>
                <w:color w:val="000000"/>
                <w:lang w:eastAsia="zh-CN"/>
              </w:rPr>
              <w:t>Review 3</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E15E84" w:rsidRPr="00E15E84" w:rsidRDefault="00E15E84" w:rsidP="00E15E84">
            <w:pPr>
              <w:spacing w:after="0" w:line="240" w:lineRule="auto"/>
              <w:rPr>
                <w:rFonts w:ascii="Arial" w:eastAsia="Times New Roman" w:hAnsi="Arial" w:cs="Arial"/>
                <w:b/>
                <w:bCs/>
                <w:color w:val="000000"/>
                <w:lang w:eastAsia="zh-CN"/>
              </w:rPr>
            </w:pPr>
            <w:r w:rsidRPr="00E15E84">
              <w:rPr>
                <w:rFonts w:ascii="Arial" w:eastAsia="Times New Roman" w:hAnsi="Arial" w:cs="Arial"/>
                <w:b/>
                <w:bCs/>
                <w:color w:val="000000"/>
                <w:lang w:eastAsia="zh-CN"/>
              </w:rPr>
              <w:t>Review 4</w:t>
            </w:r>
          </w:p>
        </w:tc>
        <w:tc>
          <w:tcPr>
            <w:tcW w:w="1198" w:type="dxa"/>
            <w:tcBorders>
              <w:top w:val="single" w:sz="4" w:space="0" w:color="auto"/>
              <w:left w:val="nil"/>
              <w:bottom w:val="single" w:sz="4" w:space="0" w:color="auto"/>
              <w:right w:val="single" w:sz="4" w:space="0" w:color="auto"/>
            </w:tcBorders>
            <w:shd w:val="clear" w:color="000000" w:fill="FFFFFF"/>
            <w:vAlign w:val="center"/>
          </w:tcPr>
          <w:p w:rsidR="00E15E84" w:rsidRPr="00E15E84" w:rsidRDefault="00E15E84" w:rsidP="00E15E84">
            <w:pPr>
              <w:spacing w:after="0" w:line="240" w:lineRule="auto"/>
              <w:rPr>
                <w:rFonts w:ascii="Arial" w:eastAsia="Times New Roman" w:hAnsi="Arial" w:cs="Arial"/>
                <w:b/>
                <w:bCs/>
                <w:color w:val="000000"/>
                <w:lang w:eastAsia="zh-CN"/>
              </w:rPr>
            </w:pPr>
            <w:r w:rsidRPr="00E15E84">
              <w:rPr>
                <w:rFonts w:ascii="Arial" w:eastAsia="Times New Roman" w:hAnsi="Arial" w:cs="Arial"/>
                <w:b/>
                <w:bCs/>
                <w:color w:val="000000"/>
                <w:lang w:eastAsia="zh-CN"/>
              </w:rPr>
              <w:t>Review 5</w:t>
            </w:r>
          </w:p>
        </w:tc>
      </w:tr>
      <w:tr w:rsidR="00B83265" w:rsidRPr="00E15E84" w:rsidTr="00E15E84">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center"/>
            <w:hideMark/>
          </w:tcPr>
          <w:p w:rsidR="00B83265" w:rsidRPr="00E15E84" w:rsidRDefault="00B83265" w:rsidP="00E15E84">
            <w:pPr>
              <w:spacing w:after="0"/>
              <w:rPr>
                <w:rFonts w:ascii="Arial" w:hAnsi="Arial" w:cs="Arial"/>
              </w:rPr>
            </w:pPr>
            <w:r w:rsidRPr="00E15E84">
              <w:rPr>
                <w:rFonts w:ascii="Arial" w:hAnsi="Arial" w:cs="Arial"/>
              </w:rPr>
              <w:lastRenderedPageBreak/>
              <w:t>Benchmark</w:t>
            </w:r>
          </w:p>
        </w:tc>
        <w:tc>
          <w:tcPr>
            <w:tcW w:w="1197" w:type="dxa"/>
            <w:tcBorders>
              <w:top w:val="nil"/>
              <w:left w:val="nil"/>
              <w:bottom w:val="single" w:sz="4" w:space="0" w:color="auto"/>
              <w:right w:val="single" w:sz="4" w:space="0" w:color="auto"/>
            </w:tcBorders>
            <w:shd w:val="clear" w:color="000000" w:fill="FFFFFF"/>
            <w:noWrap/>
            <w:vAlign w:val="center"/>
          </w:tcPr>
          <w:p w:rsidR="00B83265" w:rsidRPr="00E15E84" w:rsidRDefault="00B83265" w:rsidP="00E15E84">
            <w:pPr>
              <w:spacing w:after="0"/>
              <w:rPr>
                <w:rFonts w:ascii="Arial" w:hAnsi="Arial" w:cs="Arial"/>
              </w:rPr>
            </w:pPr>
            <w:r w:rsidRPr="00E15E84">
              <w:rPr>
                <w:rFonts w:ascii="Arial" w:hAnsi="Arial" w:cs="Arial"/>
              </w:rPr>
              <w:t>58.4%</w:t>
            </w:r>
          </w:p>
        </w:tc>
        <w:tc>
          <w:tcPr>
            <w:tcW w:w="1198" w:type="dxa"/>
            <w:tcBorders>
              <w:top w:val="nil"/>
              <w:left w:val="nil"/>
              <w:bottom w:val="single" w:sz="4" w:space="0" w:color="auto"/>
              <w:right w:val="single" w:sz="4" w:space="0" w:color="auto"/>
            </w:tcBorders>
            <w:shd w:val="clear" w:color="000000" w:fill="FFFFFF"/>
            <w:noWrap/>
            <w:vAlign w:val="center"/>
          </w:tcPr>
          <w:p w:rsidR="00B83265" w:rsidRPr="00E15E84" w:rsidRDefault="00B83265" w:rsidP="00E15E84">
            <w:pPr>
              <w:spacing w:after="0"/>
              <w:rPr>
                <w:rFonts w:ascii="Arial" w:hAnsi="Arial" w:cs="Arial"/>
              </w:rPr>
            </w:pPr>
            <w:r w:rsidRPr="00E15E84">
              <w:rPr>
                <w:rFonts w:ascii="Arial" w:hAnsi="Arial" w:cs="Arial"/>
              </w:rPr>
              <w:t>58.4%</w:t>
            </w:r>
          </w:p>
        </w:tc>
        <w:tc>
          <w:tcPr>
            <w:tcW w:w="1198" w:type="dxa"/>
            <w:tcBorders>
              <w:top w:val="nil"/>
              <w:left w:val="nil"/>
              <w:bottom w:val="single" w:sz="4" w:space="0" w:color="auto"/>
              <w:right w:val="single" w:sz="4" w:space="0" w:color="auto"/>
            </w:tcBorders>
            <w:shd w:val="clear" w:color="000000" w:fill="FFFFFF"/>
            <w:noWrap/>
            <w:vAlign w:val="center"/>
          </w:tcPr>
          <w:p w:rsidR="00B83265" w:rsidRPr="00E15E84" w:rsidRDefault="00B83265" w:rsidP="00E15E84">
            <w:pPr>
              <w:spacing w:after="0"/>
              <w:rPr>
                <w:rFonts w:ascii="Arial" w:hAnsi="Arial" w:cs="Arial"/>
              </w:rPr>
            </w:pPr>
            <w:r w:rsidRPr="00E15E84">
              <w:rPr>
                <w:rFonts w:ascii="Arial" w:hAnsi="Arial" w:cs="Arial"/>
              </w:rPr>
              <w:t>58.4%</w:t>
            </w:r>
          </w:p>
        </w:tc>
        <w:tc>
          <w:tcPr>
            <w:tcW w:w="1198" w:type="dxa"/>
            <w:tcBorders>
              <w:top w:val="nil"/>
              <w:left w:val="nil"/>
              <w:bottom w:val="single" w:sz="4" w:space="0" w:color="auto"/>
              <w:right w:val="single" w:sz="4" w:space="0" w:color="auto"/>
            </w:tcBorders>
            <w:shd w:val="clear" w:color="000000" w:fill="FFFFFF"/>
            <w:noWrap/>
            <w:vAlign w:val="center"/>
          </w:tcPr>
          <w:p w:rsidR="00B83265" w:rsidRPr="00E15E84" w:rsidRDefault="00B83265" w:rsidP="00E15E84">
            <w:pPr>
              <w:spacing w:after="0"/>
              <w:rPr>
                <w:rFonts w:ascii="Arial" w:hAnsi="Arial" w:cs="Arial"/>
              </w:rPr>
            </w:pPr>
            <w:r w:rsidRPr="00E15E84">
              <w:rPr>
                <w:rFonts w:ascii="Arial" w:hAnsi="Arial" w:cs="Arial"/>
              </w:rPr>
              <w:t>58.4%</w:t>
            </w:r>
          </w:p>
        </w:tc>
        <w:tc>
          <w:tcPr>
            <w:tcW w:w="1198" w:type="dxa"/>
            <w:tcBorders>
              <w:top w:val="nil"/>
              <w:left w:val="nil"/>
              <w:bottom w:val="single" w:sz="4" w:space="0" w:color="auto"/>
              <w:right w:val="single" w:sz="4" w:space="0" w:color="auto"/>
            </w:tcBorders>
            <w:shd w:val="clear" w:color="000000" w:fill="FFFFFF"/>
            <w:noWrap/>
            <w:vAlign w:val="center"/>
          </w:tcPr>
          <w:p w:rsidR="00B83265" w:rsidRPr="00E15E84" w:rsidRDefault="00B83265" w:rsidP="00E15E84">
            <w:pPr>
              <w:spacing w:after="0"/>
              <w:rPr>
                <w:rFonts w:ascii="Arial" w:hAnsi="Arial" w:cs="Arial"/>
              </w:rPr>
            </w:pPr>
            <w:r w:rsidRPr="00E15E84">
              <w:rPr>
                <w:rFonts w:ascii="Arial" w:hAnsi="Arial" w:cs="Arial"/>
              </w:rPr>
              <w:t>58.4%</w:t>
            </w:r>
          </w:p>
        </w:tc>
        <w:tc>
          <w:tcPr>
            <w:tcW w:w="1198" w:type="dxa"/>
            <w:tcBorders>
              <w:top w:val="nil"/>
              <w:left w:val="nil"/>
              <w:bottom w:val="single" w:sz="4" w:space="0" w:color="auto"/>
              <w:right w:val="single" w:sz="4" w:space="0" w:color="auto"/>
            </w:tcBorders>
            <w:shd w:val="clear" w:color="000000" w:fill="FFFFFF"/>
            <w:vAlign w:val="center"/>
          </w:tcPr>
          <w:p w:rsidR="00B83265" w:rsidRPr="00E15E84" w:rsidRDefault="00B83265" w:rsidP="00E15E84">
            <w:pPr>
              <w:spacing w:after="0"/>
              <w:rPr>
                <w:rFonts w:ascii="Arial" w:hAnsi="Arial" w:cs="Arial"/>
              </w:rPr>
            </w:pPr>
            <w:r w:rsidRPr="00E15E84">
              <w:rPr>
                <w:rFonts w:ascii="Arial" w:hAnsi="Arial" w:cs="Arial"/>
              </w:rPr>
              <w:t>58.4%</w:t>
            </w:r>
          </w:p>
        </w:tc>
      </w:tr>
      <w:tr w:rsidR="00E15E84" w:rsidRPr="00E15E84" w:rsidTr="00E15E84">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color w:val="000000"/>
              </w:rPr>
            </w:pPr>
            <w:r w:rsidRPr="00E15E84">
              <w:rPr>
                <w:rFonts w:ascii="Arial" w:hAnsi="Arial" w:cs="Arial"/>
              </w:rPr>
              <w:t>5 years</w:t>
            </w:r>
          </w:p>
        </w:tc>
        <w:tc>
          <w:tcPr>
            <w:tcW w:w="1197" w:type="dxa"/>
            <w:tcBorders>
              <w:top w:val="nil"/>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r w:rsidRPr="00E15E84">
              <w:rPr>
                <w:rFonts w:ascii="Arial" w:hAnsi="Arial" w:cs="Arial"/>
              </w:rPr>
              <w:t>22.4%</w:t>
            </w:r>
          </w:p>
        </w:tc>
        <w:tc>
          <w:tcPr>
            <w:tcW w:w="1198" w:type="dxa"/>
            <w:tcBorders>
              <w:top w:val="nil"/>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r w:rsidRPr="00E15E84">
              <w:rPr>
                <w:rFonts w:ascii="Arial" w:hAnsi="Arial" w:cs="Arial"/>
              </w:rPr>
              <w:t>30.7%</w:t>
            </w:r>
          </w:p>
        </w:tc>
        <w:tc>
          <w:tcPr>
            <w:tcW w:w="1198" w:type="dxa"/>
            <w:tcBorders>
              <w:top w:val="nil"/>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r w:rsidRPr="00E15E84">
              <w:rPr>
                <w:rFonts w:ascii="Arial" w:hAnsi="Arial" w:cs="Arial"/>
              </w:rPr>
              <w:t>30.7%</w:t>
            </w:r>
          </w:p>
        </w:tc>
        <w:tc>
          <w:tcPr>
            <w:tcW w:w="1198" w:type="dxa"/>
            <w:tcBorders>
              <w:top w:val="nil"/>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r w:rsidRPr="00E15E84">
              <w:rPr>
                <w:rFonts w:ascii="Arial" w:hAnsi="Arial" w:cs="Arial"/>
              </w:rPr>
              <w:t>36.8%</w:t>
            </w:r>
          </w:p>
        </w:tc>
        <w:tc>
          <w:tcPr>
            <w:tcW w:w="1198" w:type="dxa"/>
            <w:tcBorders>
              <w:top w:val="nil"/>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r w:rsidRPr="00E15E84">
              <w:rPr>
                <w:rFonts w:ascii="Arial" w:hAnsi="Arial" w:cs="Arial"/>
              </w:rPr>
              <w:t>26.3%</w:t>
            </w:r>
          </w:p>
        </w:tc>
        <w:tc>
          <w:tcPr>
            <w:tcW w:w="1198" w:type="dxa"/>
            <w:tcBorders>
              <w:top w:val="nil"/>
              <w:left w:val="nil"/>
              <w:bottom w:val="single" w:sz="4" w:space="0" w:color="auto"/>
              <w:right w:val="single" w:sz="4" w:space="0" w:color="auto"/>
            </w:tcBorders>
            <w:shd w:val="clear" w:color="000000" w:fill="FFFFFF"/>
            <w:vAlign w:val="center"/>
          </w:tcPr>
          <w:p w:rsidR="00E15E84" w:rsidRPr="00E15E84" w:rsidRDefault="00E15E84" w:rsidP="00E15E84">
            <w:pPr>
              <w:spacing w:after="0"/>
              <w:rPr>
                <w:rFonts w:ascii="Arial" w:hAnsi="Arial" w:cs="Arial"/>
              </w:rPr>
            </w:pPr>
            <w:r w:rsidRPr="00E15E84">
              <w:rPr>
                <w:rFonts w:ascii="Arial" w:hAnsi="Arial" w:cs="Arial"/>
              </w:rPr>
              <w:t>26.3%</w:t>
            </w:r>
          </w:p>
        </w:tc>
      </w:tr>
      <w:tr w:rsidR="00E15E84" w:rsidRPr="00E15E84" w:rsidTr="00E15E84">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center"/>
            <w:hideMark/>
          </w:tcPr>
          <w:p w:rsidR="00E15E84" w:rsidRPr="00E15E84" w:rsidRDefault="00E15E84" w:rsidP="00E15E84">
            <w:pPr>
              <w:spacing w:after="0"/>
              <w:rPr>
                <w:rFonts w:ascii="Arial" w:hAnsi="Arial" w:cs="Arial"/>
              </w:rPr>
            </w:pPr>
            <w:r w:rsidRPr="00E15E84">
              <w:rPr>
                <w:rFonts w:ascii="Arial" w:hAnsi="Arial" w:cs="Arial"/>
              </w:rPr>
              <w:t>4 years</w:t>
            </w:r>
          </w:p>
        </w:tc>
        <w:tc>
          <w:tcPr>
            <w:tcW w:w="1197" w:type="dxa"/>
            <w:tcBorders>
              <w:top w:val="nil"/>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r w:rsidRPr="00E15E84">
              <w:rPr>
                <w:rFonts w:ascii="Arial" w:hAnsi="Arial" w:cs="Arial"/>
              </w:rPr>
              <w:t>23.2%</w:t>
            </w:r>
          </w:p>
        </w:tc>
        <w:tc>
          <w:tcPr>
            <w:tcW w:w="1198" w:type="dxa"/>
            <w:tcBorders>
              <w:top w:val="nil"/>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r w:rsidRPr="00E15E84">
              <w:rPr>
                <w:rFonts w:ascii="Arial" w:hAnsi="Arial" w:cs="Arial"/>
              </w:rPr>
              <w:t>25.3%</w:t>
            </w:r>
          </w:p>
        </w:tc>
        <w:tc>
          <w:tcPr>
            <w:tcW w:w="1198" w:type="dxa"/>
            <w:tcBorders>
              <w:top w:val="nil"/>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r w:rsidRPr="00E15E84">
              <w:rPr>
                <w:rFonts w:ascii="Arial" w:hAnsi="Arial" w:cs="Arial"/>
              </w:rPr>
              <w:t>26.6%</w:t>
            </w:r>
          </w:p>
        </w:tc>
        <w:tc>
          <w:tcPr>
            <w:tcW w:w="1198" w:type="dxa"/>
            <w:tcBorders>
              <w:top w:val="nil"/>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r w:rsidRPr="00E15E84">
              <w:rPr>
                <w:rFonts w:ascii="Arial" w:hAnsi="Arial" w:cs="Arial"/>
              </w:rPr>
              <w:t>25.6%</w:t>
            </w:r>
          </w:p>
        </w:tc>
        <w:tc>
          <w:tcPr>
            <w:tcW w:w="1198" w:type="dxa"/>
            <w:tcBorders>
              <w:top w:val="nil"/>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r w:rsidRPr="00E15E84">
              <w:rPr>
                <w:rFonts w:ascii="Arial" w:hAnsi="Arial" w:cs="Arial"/>
              </w:rPr>
              <w:t>25.9%</w:t>
            </w:r>
          </w:p>
        </w:tc>
        <w:tc>
          <w:tcPr>
            <w:tcW w:w="1198" w:type="dxa"/>
            <w:tcBorders>
              <w:top w:val="nil"/>
              <w:left w:val="nil"/>
              <w:bottom w:val="single" w:sz="4" w:space="0" w:color="auto"/>
              <w:right w:val="single" w:sz="4" w:space="0" w:color="auto"/>
            </w:tcBorders>
            <w:shd w:val="clear" w:color="000000" w:fill="FFFFFF"/>
            <w:vAlign w:val="center"/>
          </w:tcPr>
          <w:p w:rsidR="00E15E84" w:rsidRPr="00E15E84" w:rsidRDefault="00E15E84" w:rsidP="00E15E84">
            <w:pPr>
              <w:spacing w:after="0"/>
              <w:rPr>
                <w:rFonts w:ascii="Arial" w:hAnsi="Arial" w:cs="Arial"/>
              </w:rPr>
            </w:pPr>
          </w:p>
        </w:tc>
      </w:tr>
      <w:tr w:rsidR="00E15E84" w:rsidRPr="00E15E84" w:rsidTr="00E15E84">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center"/>
            <w:hideMark/>
          </w:tcPr>
          <w:p w:rsidR="00E15E84" w:rsidRPr="00E15E84" w:rsidRDefault="00E15E84" w:rsidP="00E15E84">
            <w:pPr>
              <w:spacing w:after="0"/>
              <w:rPr>
                <w:rFonts w:ascii="Arial" w:hAnsi="Arial" w:cs="Arial"/>
              </w:rPr>
            </w:pPr>
            <w:r w:rsidRPr="00E15E84">
              <w:rPr>
                <w:rFonts w:ascii="Arial" w:hAnsi="Arial" w:cs="Arial"/>
              </w:rPr>
              <w:t>3 years</w:t>
            </w:r>
          </w:p>
        </w:tc>
        <w:tc>
          <w:tcPr>
            <w:tcW w:w="1197" w:type="dxa"/>
            <w:tcBorders>
              <w:top w:val="nil"/>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r w:rsidRPr="00E15E84">
              <w:rPr>
                <w:rFonts w:ascii="Arial" w:hAnsi="Arial" w:cs="Arial"/>
              </w:rPr>
              <w:t>24.5%</w:t>
            </w:r>
          </w:p>
        </w:tc>
        <w:tc>
          <w:tcPr>
            <w:tcW w:w="1198" w:type="dxa"/>
            <w:tcBorders>
              <w:top w:val="nil"/>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r w:rsidRPr="00E15E84">
              <w:rPr>
                <w:rFonts w:ascii="Arial" w:hAnsi="Arial" w:cs="Arial"/>
              </w:rPr>
              <w:t>26.0%</w:t>
            </w:r>
          </w:p>
        </w:tc>
        <w:tc>
          <w:tcPr>
            <w:tcW w:w="1198" w:type="dxa"/>
            <w:tcBorders>
              <w:top w:val="nil"/>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r w:rsidRPr="00E15E84">
              <w:rPr>
                <w:rFonts w:ascii="Arial" w:hAnsi="Arial" w:cs="Arial"/>
              </w:rPr>
              <w:t>27.0%</w:t>
            </w:r>
          </w:p>
        </w:tc>
        <w:tc>
          <w:tcPr>
            <w:tcW w:w="1198" w:type="dxa"/>
            <w:tcBorders>
              <w:top w:val="nil"/>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r w:rsidRPr="00E15E84">
              <w:rPr>
                <w:rFonts w:ascii="Arial" w:hAnsi="Arial" w:cs="Arial"/>
              </w:rPr>
              <w:t>30.2%</w:t>
            </w:r>
          </w:p>
        </w:tc>
        <w:tc>
          <w:tcPr>
            <w:tcW w:w="1198" w:type="dxa"/>
            <w:tcBorders>
              <w:top w:val="nil"/>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p>
        </w:tc>
        <w:tc>
          <w:tcPr>
            <w:tcW w:w="1198" w:type="dxa"/>
            <w:tcBorders>
              <w:top w:val="nil"/>
              <w:left w:val="nil"/>
              <w:bottom w:val="single" w:sz="4" w:space="0" w:color="auto"/>
              <w:right w:val="single" w:sz="4" w:space="0" w:color="auto"/>
            </w:tcBorders>
            <w:shd w:val="clear" w:color="000000" w:fill="FFFFFF"/>
            <w:vAlign w:val="center"/>
          </w:tcPr>
          <w:p w:rsidR="00E15E84" w:rsidRPr="00E15E84" w:rsidRDefault="00E15E84" w:rsidP="00E15E84">
            <w:pPr>
              <w:spacing w:after="0"/>
              <w:rPr>
                <w:rFonts w:ascii="Arial" w:hAnsi="Arial" w:cs="Arial"/>
              </w:rPr>
            </w:pPr>
          </w:p>
        </w:tc>
      </w:tr>
      <w:tr w:rsidR="00E15E84" w:rsidRPr="00E15E84" w:rsidTr="00E15E84">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center"/>
            <w:hideMark/>
          </w:tcPr>
          <w:p w:rsidR="00E15E84" w:rsidRPr="00E15E84" w:rsidRDefault="00E15E84" w:rsidP="00E15E84">
            <w:pPr>
              <w:spacing w:after="0"/>
              <w:rPr>
                <w:rFonts w:ascii="Arial" w:hAnsi="Arial" w:cs="Arial"/>
              </w:rPr>
            </w:pPr>
            <w:r w:rsidRPr="00E15E84">
              <w:rPr>
                <w:rFonts w:ascii="Arial" w:hAnsi="Arial" w:cs="Arial"/>
              </w:rPr>
              <w:t>2 years</w:t>
            </w:r>
          </w:p>
        </w:tc>
        <w:tc>
          <w:tcPr>
            <w:tcW w:w="1197" w:type="dxa"/>
            <w:tcBorders>
              <w:top w:val="nil"/>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r w:rsidRPr="00E15E84">
              <w:rPr>
                <w:rFonts w:ascii="Arial" w:hAnsi="Arial" w:cs="Arial"/>
              </w:rPr>
              <w:t>21.2%</w:t>
            </w:r>
          </w:p>
        </w:tc>
        <w:tc>
          <w:tcPr>
            <w:tcW w:w="1198" w:type="dxa"/>
            <w:tcBorders>
              <w:top w:val="nil"/>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r w:rsidRPr="00E15E84">
              <w:rPr>
                <w:rFonts w:ascii="Arial" w:hAnsi="Arial" w:cs="Arial"/>
              </w:rPr>
              <w:t>25.5%</w:t>
            </w:r>
          </w:p>
        </w:tc>
        <w:tc>
          <w:tcPr>
            <w:tcW w:w="1198" w:type="dxa"/>
            <w:tcBorders>
              <w:top w:val="nil"/>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r w:rsidRPr="00E15E84">
              <w:rPr>
                <w:rFonts w:ascii="Arial" w:hAnsi="Arial" w:cs="Arial"/>
              </w:rPr>
              <w:t>25.7%</w:t>
            </w:r>
          </w:p>
        </w:tc>
        <w:tc>
          <w:tcPr>
            <w:tcW w:w="1198" w:type="dxa"/>
            <w:tcBorders>
              <w:top w:val="nil"/>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p>
        </w:tc>
        <w:tc>
          <w:tcPr>
            <w:tcW w:w="1198" w:type="dxa"/>
            <w:tcBorders>
              <w:top w:val="nil"/>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p>
        </w:tc>
        <w:tc>
          <w:tcPr>
            <w:tcW w:w="1198" w:type="dxa"/>
            <w:tcBorders>
              <w:top w:val="nil"/>
              <w:left w:val="nil"/>
              <w:bottom w:val="single" w:sz="4" w:space="0" w:color="auto"/>
              <w:right w:val="single" w:sz="4" w:space="0" w:color="auto"/>
            </w:tcBorders>
            <w:shd w:val="clear" w:color="000000" w:fill="FFFFFF"/>
            <w:vAlign w:val="center"/>
          </w:tcPr>
          <w:p w:rsidR="00E15E84" w:rsidRPr="00E15E84" w:rsidRDefault="00E15E84" w:rsidP="00E15E84">
            <w:pPr>
              <w:spacing w:after="0"/>
              <w:rPr>
                <w:rFonts w:ascii="Arial" w:hAnsi="Arial" w:cs="Arial"/>
              </w:rPr>
            </w:pPr>
          </w:p>
        </w:tc>
      </w:tr>
      <w:tr w:rsidR="00E15E84" w:rsidRPr="00E15E84" w:rsidTr="00E15E84">
        <w:trPr>
          <w:trHeight w:val="282"/>
        </w:trPr>
        <w:tc>
          <w:tcPr>
            <w:tcW w:w="219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r w:rsidRPr="00E15E84">
              <w:rPr>
                <w:rFonts w:ascii="Arial" w:hAnsi="Arial" w:cs="Arial"/>
              </w:rPr>
              <w:t>1 year</w:t>
            </w:r>
          </w:p>
        </w:tc>
        <w:tc>
          <w:tcPr>
            <w:tcW w:w="1197" w:type="dxa"/>
            <w:tcBorders>
              <w:top w:val="single" w:sz="4" w:space="0" w:color="auto"/>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r w:rsidRPr="00E15E84">
              <w:rPr>
                <w:rFonts w:ascii="Arial" w:hAnsi="Arial" w:cs="Arial"/>
              </w:rPr>
              <w:t>22.9%</w:t>
            </w:r>
          </w:p>
        </w:tc>
        <w:tc>
          <w:tcPr>
            <w:tcW w:w="1198" w:type="dxa"/>
            <w:tcBorders>
              <w:top w:val="single" w:sz="4" w:space="0" w:color="auto"/>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r w:rsidRPr="00E15E84">
              <w:rPr>
                <w:rFonts w:ascii="Arial" w:hAnsi="Arial" w:cs="Arial"/>
              </w:rPr>
              <w:t>24.2%</w:t>
            </w:r>
          </w:p>
        </w:tc>
        <w:tc>
          <w:tcPr>
            <w:tcW w:w="1198" w:type="dxa"/>
            <w:tcBorders>
              <w:top w:val="single" w:sz="4" w:space="0" w:color="auto"/>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p>
        </w:tc>
        <w:tc>
          <w:tcPr>
            <w:tcW w:w="1198" w:type="dxa"/>
            <w:tcBorders>
              <w:top w:val="single" w:sz="4" w:space="0" w:color="auto"/>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p>
        </w:tc>
        <w:tc>
          <w:tcPr>
            <w:tcW w:w="1198" w:type="dxa"/>
            <w:tcBorders>
              <w:top w:val="single" w:sz="4" w:space="0" w:color="auto"/>
              <w:left w:val="nil"/>
              <w:bottom w:val="single" w:sz="4" w:space="0" w:color="auto"/>
              <w:right w:val="single" w:sz="4" w:space="0" w:color="auto"/>
            </w:tcBorders>
            <w:shd w:val="clear" w:color="000000" w:fill="FFFFFF"/>
            <w:noWrap/>
            <w:vAlign w:val="center"/>
          </w:tcPr>
          <w:p w:rsidR="00E15E84" w:rsidRPr="00E15E84" w:rsidRDefault="00E15E84" w:rsidP="00E15E84">
            <w:pPr>
              <w:spacing w:after="0"/>
              <w:rPr>
                <w:rFonts w:ascii="Arial" w:hAnsi="Arial" w:cs="Arial"/>
              </w:rPr>
            </w:pPr>
          </w:p>
        </w:tc>
        <w:tc>
          <w:tcPr>
            <w:tcW w:w="1198" w:type="dxa"/>
            <w:tcBorders>
              <w:top w:val="single" w:sz="4" w:space="0" w:color="auto"/>
              <w:left w:val="nil"/>
              <w:bottom w:val="single" w:sz="4" w:space="0" w:color="auto"/>
              <w:right w:val="single" w:sz="4" w:space="0" w:color="auto"/>
            </w:tcBorders>
            <w:shd w:val="clear" w:color="000000" w:fill="FFFFFF"/>
            <w:vAlign w:val="center"/>
          </w:tcPr>
          <w:p w:rsidR="00E15E84" w:rsidRPr="00E15E84" w:rsidRDefault="00E15E84" w:rsidP="00E15E84">
            <w:pPr>
              <w:spacing w:after="0"/>
              <w:rPr>
                <w:rFonts w:ascii="Arial" w:hAnsi="Arial" w:cs="Arial"/>
              </w:rPr>
            </w:pPr>
          </w:p>
        </w:tc>
      </w:tr>
    </w:tbl>
    <w:p w:rsidR="00B83265" w:rsidRDefault="00B83265" w:rsidP="00B83265">
      <w:pPr>
        <w:spacing w:after="240"/>
        <w:rPr>
          <w:rFonts w:cstheme="minorHAnsi"/>
        </w:rPr>
      </w:pPr>
    </w:p>
    <w:p w:rsidR="008E1F90" w:rsidRDefault="0080201D" w:rsidP="00B83265">
      <w:pPr>
        <w:spacing w:after="240"/>
        <w:rPr>
          <w:rFonts w:cstheme="minorHAnsi"/>
        </w:rPr>
      </w:pPr>
      <w:r>
        <w:rPr>
          <w:rFonts w:cstheme="minorHAnsi"/>
        </w:rPr>
        <w:t>Footnote 1</w:t>
      </w:r>
      <w:r w:rsidR="008E1F90">
        <w:rPr>
          <w:rFonts w:cstheme="minorHAnsi"/>
        </w:rPr>
        <w:t xml:space="preserve">: </w:t>
      </w:r>
    </w:p>
    <w:p w:rsidR="00B83265" w:rsidRPr="00752AAD" w:rsidRDefault="00B83265" w:rsidP="00B83265">
      <w:pPr>
        <w:spacing w:after="240"/>
        <w:rPr>
          <w:rFonts w:cstheme="minorHAnsi"/>
        </w:rPr>
      </w:pPr>
      <w:r w:rsidRPr="00752AAD">
        <w:rPr>
          <w:rFonts w:cstheme="minorHAnsi"/>
        </w:rPr>
        <w:t>Population benchmark figures are from:</w:t>
      </w:r>
    </w:p>
    <w:p w:rsidR="00B83265" w:rsidRDefault="00B83265" w:rsidP="00B83265">
      <w:pPr>
        <w:pStyle w:val="ListParagraph"/>
        <w:numPr>
          <w:ilvl w:val="0"/>
          <w:numId w:val="30"/>
        </w:numPr>
        <w:spacing w:after="240"/>
        <w:rPr>
          <w:rFonts w:cstheme="minorHAnsi"/>
        </w:rPr>
      </w:pPr>
      <w:r w:rsidRPr="00752AAD">
        <w:rPr>
          <w:rFonts w:cstheme="minorHAnsi"/>
        </w:rPr>
        <w:t>Feel safe walking alone in their local area after dark: Australian Bureau of Statistics (ABS), Personal Safety 2016, standardised for NDIS participant gender distribution.</w:t>
      </w:r>
    </w:p>
    <w:p w:rsidR="00B83265" w:rsidRPr="00752AAD" w:rsidRDefault="00B83265" w:rsidP="00B83265">
      <w:pPr>
        <w:pStyle w:val="ListParagraph"/>
        <w:numPr>
          <w:ilvl w:val="0"/>
          <w:numId w:val="30"/>
        </w:numPr>
        <w:spacing w:after="240"/>
        <w:rPr>
          <w:rFonts w:cstheme="minorHAnsi"/>
        </w:rPr>
      </w:pPr>
      <w:r w:rsidRPr="00752AAD">
        <w:rPr>
          <w:rFonts w:cstheme="minorHAnsi"/>
        </w:rPr>
        <w:t>Have a say within the general community: ABS, General Social Survey (GSS) 2020, standardised for NDIS participant age and gender distribution.</w:t>
      </w:r>
    </w:p>
    <w:p w:rsidR="00B83265" w:rsidRPr="002817DE" w:rsidRDefault="00B83265" w:rsidP="002817DE">
      <w:pPr>
        <w:pStyle w:val="Heading2"/>
      </w:pPr>
      <w:bookmarkStart w:id="72" w:name="_Toc121151444"/>
      <w:r w:rsidRPr="002817DE">
        <w:t>Slide 62: Participants aged 15 and over – Social, community and civic participation</w:t>
      </w:r>
      <w:bookmarkEnd w:id="72"/>
    </w:p>
    <w:p w:rsidR="00B83265" w:rsidRPr="00B8176E" w:rsidRDefault="00B83265" w:rsidP="00B83265">
      <w:pPr>
        <w:spacing w:after="240"/>
        <w:rPr>
          <w:b/>
        </w:rPr>
      </w:pPr>
      <w:r w:rsidRPr="00B8176E">
        <w:rPr>
          <w:b/>
        </w:rPr>
        <w:t>% who said there was something they wanted to do in the last 12 months, but could not</w:t>
      </w:r>
    </w:p>
    <w:p w:rsidR="00B83265" w:rsidRDefault="00B83265" w:rsidP="00B83265">
      <w:pPr>
        <w:spacing w:after="240"/>
      </w:pPr>
      <w:r>
        <w:t>Overall, there has been an increase in the percentage of participants who say there was something they wanted to do in the past 12 months but could not (across all cohorts). For participants in Cohort 5, there was a 9.7 percentage point increase from 58.3% at baseline to 68.0% at fifth review.</w:t>
      </w:r>
    </w:p>
    <w:p w:rsidR="00B83265" w:rsidRDefault="00B83265" w:rsidP="00B83265">
      <w:pPr>
        <w:spacing w:after="240"/>
      </w:pPr>
      <w:r>
        <w:t>While still increasing over time, a lower percentage of participants in the S-14/15-24 age group reported that there was something they wanted to do in the last 12 but could not (at earlier review periods) – e.g. 63.1% at review 2 (cohort 4), compared with 72.6% for the 25+ age group.</w:t>
      </w:r>
    </w:p>
    <w:p w:rsidR="00B83265" w:rsidRDefault="00B83265" w:rsidP="00B83265">
      <w:pPr>
        <w:spacing w:after="240"/>
      </w:pPr>
      <w:r>
        <w:t>Unlike the other age groups, the 15-24/25+ age group shows a decreasing (improving) trend for this indicator across all cohorts of between 4.6 and 7.8 percentage points. For cohorts 4 and 5, there was an increase at first review followed be a decline for subsequent reviews. The largest change for this age group was at latest review.</w:t>
      </w:r>
    </w:p>
    <w:p w:rsidR="00412BE9" w:rsidRDefault="00B83265" w:rsidP="00412BE9">
      <w:pPr>
        <w:spacing w:after="240"/>
        <w:rPr>
          <w:rFonts w:cstheme="minorHAnsi"/>
        </w:rPr>
      </w:pPr>
      <w:r>
        <w:rPr>
          <w:rFonts w:cstheme="minorHAnsi"/>
        </w:rPr>
        <w:t xml:space="preserve">Five charts shows </w:t>
      </w:r>
      <w:r w:rsidRPr="00AD4C8D">
        <w:rPr>
          <w:rFonts w:cstheme="minorHAnsi"/>
        </w:rPr>
        <w:t xml:space="preserve">the percentage </w:t>
      </w:r>
      <w:r w:rsidRPr="00B8176E">
        <w:rPr>
          <w:rFonts w:cstheme="minorHAnsi"/>
        </w:rPr>
        <w:t xml:space="preserve">who said there was something they wanted to do in the last 12 months, but could not </w:t>
      </w:r>
      <w:r w:rsidRPr="00AD4C8D">
        <w:rPr>
          <w:rFonts w:cstheme="minorHAnsi"/>
        </w:rPr>
        <w:t>at baseline and at subsequent reviews</w:t>
      </w:r>
      <w:r w:rsidR="00412BE9" w:rsidRPr="00715092">
        <w:rPr>
          <w:rFonts w:cstheme="minorHAnsi"/>
        </w:rPr>
        <w:t xml:space="preserve">, separately for participants in the </w:t>
      </w:r>
      <w:r w:rsidR="00412BE9">
        <w:rPr>
          <w:rFonts w:cstheme="minorHAnsi"/>
        </w:rPr>
        <w:t xml:space="preserve">five years, </w:t>
      </w:r>
      <w:r w:rsidR="00412BE9" w:rsidRPr="00715092">
        <w:rPr>
          <w:rFonts w:cstheme="minorHAnsi"/>
        </w:rPr>
        <w:t>four years, three years, two years or one year</w:t>
      </w:r>
      <w:r w:rsidR="00412BE9">
        <w:rPr>
          <w:rFonts w:cstheme="minorHAnsi"/>
        </w:rPr>
        <w:t xml:space="preserve"> cohorts</w:t>
      </w:r>
      <w:r w:rsidR="00412BE9" w:rsidRPr="00715092">
        <w:rPr>
          <w:rFonts w:cstheme="minorHAnsi"/>
        </w:rPr>
        <w:t>.</w:t>
      </w:r>
      <w:r w:rsidR="00412BE9">
        <w:rPr>
          <w:rFonts w:cstheme="minorHAnsi"/>
        </w:rPr>
        <w:t xml:space="preserve"> Separate lines on each chart show results for all participants, and for participants in the S-14/15-24, 15-24, 15-24/25+ and 25+ age groups.</w:t>
      </w:r>
    </w:p>
    <w:p w:rsidR="00412BE9" w:rsidRDefault="00412BE9" w:rsidP="00412BE9">
      <w:pPr>
        <w:spacing w:after="240"/>
        <w:rPr>
          <w:rFonts w:cstheme="minorHAnsi"/>
        </w:rPr>
      </w:pPr>
      <w:r>
        <w:rPr>
          <w:rFonts w:cstheme="minorHAnsi"/>
        </w:rPr>
        <w:t>For PSto14, analysed by time since first in P15to24, otherwise by time in Scheme.</w:t>
      </w:r>
    </w:p>
    <w:p w:rsidR="00412BE9" w:rsidRDefault="00412BE9" w:rsidP="00412BE9">
      <w:pPr>
        <w:spacing w:after="240"/>
        <w:rPr>
          <w:rFonts w:cstheme="minorHAnsi"/>
        </w:rPr>
      </w:pPr>
      <w:r>
        <w:rPr>
          <w:rFonts w:cstheme="minorHAnsi"/>
        </w:rPr>
        <w:t xml:space="preserve">This indicator </w:t>
      </w:r>
      <w:r w:rsidR="00A76F27">
        <w:rPr>
          <w:rFonts w:cstheme="minorHAnsi"/>
        </w:rPr>
        <w:t>deteriorat</w:t>
      </w:r>
      <w:r>
        <w:rPr>
          <w:rFonts w:cstheme="minorHAnsi"/>
        </w:rPr>
        <w:t>ed.</w:t>
      </w:r>
    </w:p>
    <w:p w:rsidR="00412BE9" w:rsidRDefault="00412BE9" w:rsidP="00412BE9">
      <w:pPr>
        <w:spacing w:after="240"/>
        <w:rPr>
          <w:rFonts w:cstheme="minorHAnsi"/>
        </w:rPr>
      </w:pPr>
      <w:r>
        <w:rPr>
          <w:rFonts w:cstheme="minorHAnsi"/>
        </w:rPr>
        <w:t>Results for all participants are labelled on the charts:</w:t>
      </w:r>
    </w:p>
    <w:tbl>
      <w:tblPr>
        <w:tblW w:w="9204" w:type="dxa"/>
        <w:tblLook w:val="04A0" w:firstRow="1" w:lastRow="0" w:firstColumn="1" w:lastColumn="0" w:noHBand="0" w:noVBand="1"/>
      </w:tblPr>
      <w:tblGrid>
        <w:gridCol w:w="1500"/>
        <w:gridCol w:w="1325"/>
        <w:gridCol w:w="1276"/>
        <w:gridCol w:w="1276"/>
        <w:gridCol w:w="1276"/>
        <w:gridCol w:w="1275"/>
        <w:gridCol w:w="1276"/>
      </w:tblGrid>
      <w:tr w:rsidR="00550D6D" w:rsidRPr="00AD165E" w:rsidTr="00632614">
        <w:trPr>
          <w:trHeight w:val="285"/>
        </w:trPr>
        <w:tc>
          <w:tcPr>
            <w:tcW w:w="1500" w:type="dxa"/>
            <w:tcBorders>
              <w:top w:val="single" w:sz="8" w:space="0" w:color="auto"/>
              <w:left w:val="single" w:sz="8" w:space="0" w:color="auto"/>
              <w:bottom w:val="single" w:sz="8" w:space="0" w:color="auto"/>
              <w:right w:val="nil"/>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Cohort</w:t>
            </w:r>
          </w:p>
        </w:tc>
        <w:tc>
          <w:tcPr>
            <w:tcW w:w="13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B</w:t>
            </w:r>
            <w:r>
              <w:rPr>
                <w:rFonts w:ascii="Arial" w:eastAsia="Times New Roman" w:hAnsi="Arial" w:cs="Arial"/>
                <w:b/>
                <w:bCs/>
                <w:color w:val="000000"/>
                <w:lang w:eastAsia="en-AU"/>
              </w:rPr>
              <w:t>aseline</w:t>
            </w:r>
          </w:p>
        </w:tc>
        <w:tc>
          <w:tcPr>
            <w:tcW w:w="1276" w:type="dxa"/>
            <w:tcBorders>
              <w:top w:val="single" w:sz="8" w:space="0" w:color="auto"/>
              <w:left w:val="nil"/>
              <w:bottom w:val="single" w:sz="8" w:space="0" w:color="auto"/>
              <w:right w:val="nil"/>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1</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2</w:t>
            </w:r>
          </w:p>
        </w:tc>
        <w:tc>
          <w:tcPr>
            <w:tcW w:w="1276" w:type="dxa"/>
            <w:tcBorders>
              <w:top w:val="single" w:sz="8" w:space="0" w:color="auto"/>
              <w:left w:val="nil"/>
              <w:bottom w:val="single" w:sz="8" w:space="0" w:color="auto"/>
              <w:right w:val="nil"/>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3</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4</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5</w:t>
            </w:r>
          </w:p>
        </w:tc>
      </w:tr>
      <w:tr w:rsidR="00A76F27"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A76F27" w:rsidRPr="00AD165E" w:rsidRDefault="00A76F27" w:rsidP="00A76F27">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5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A76F27" w:rsidRPr="00A76F27" w:rsidRDefault="00A76F27" w:rsidP="00A76F27">
            <w:pPr>
              <w:spacing w:after="0"/>
              <w:rPr>
                <w:rFonts w:ascii="Arial" w:hAnsi="Arial" w:cs="Arial"/>
              </w:rPr>
            </w:pPr>
            <w:r w:rsidRPr="00A76F27">
              <w:rPr>
                <w:rFonts w:ascii="Arial" w:hAnsi="Arial" w:cs="Arial"/>
              </w:rPr>
              <w:t>58%</w:t>
            </w:r>
          </w:p>
        </w:tc>
        <w:tc>
          <w:tcPr>
            <w:tcW w:w="1276" w:type="dxa"/>
            <w:tcBorders>
              <w:top w:val="nil"/>
              <w:left w:val="nil"/>
              <w:bottom w:val="single" w:sz="4" w:space="0" w:color="auto"/>
              <w:right w:val="nil"/>
            </w:tcBorders>
            <w:shd w:val="clear" w:color="auto" w:fill="auto"/>
            <w:noWrap/>
            <w:vAlign w:val="center"/>
            <w:hideMark/>
          </w:tcPr>
          <w:p w:rsidR="00A76F27" w:rsidRPr="00A76F27" w:rsidRDefault="00A76F27" w:rsidP="00A76F27">
            <w:pPr>
              <w:spacing w:after="0"/>
              <w:rPr>
                <w:rFonts w:ascii="Arial" w:hAnsi="Arial" w:cs="Arial"/>
              </w:rPr>
            </w:pPr>
            <w:r w:rsidRPr="00A76F27">
              <w:rPr>
                <w:rFonts w:ascii="Arial" w:hAnsi="Arial" w:cs="Arial"/>
              </w:rPr>
              <w:t>65%</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A76F27" w:rsidRPr="00A76F27" w:rsidRDefault="00A76F27" w:rsidP="00A76F27">
            <w:pPr>
              <w:spacing w:after="0"/>
              <w:rPr>
                <w:rFonts w:ascii="Arial" w:hAnsi="Arial" w:cs="Arial"/>
              </w:rPr>
            </w:pPr>
            <w:r w:rsidRPr="00A76F27">
              <w:rPr>
                <w:rFonts w:ascii="Arial" w:hAnsi="Arial" w:cs="Arial"/>
              </w:rPr>
              <w:t>69%</w:t>
            </w:r>
          </w:p>
        </w:tc>
        <w:tc>
          <w:tcPr>
            <w:tcW w:w="1276" w:type="dxa"/>
            <w:tcBorders>
              <w:top w:val="nil"/>
              <w:left w:val="nil"/>
              <w:bottom w:val="single" w:sz="4" w:space="0" w:color="auto"/>
              <w:right w:val="nil"/>
            </w:tcBorders>
            <w:shd w:val="clear" w:color="auto" w:fill="auto"/>
            <w:noWrap/>
            <w:vAlign w:val="center"/>
            <w:hideMark/>
          </w:tcPr>
          <w:p w:rsidR="00A76F27" w:rsidRPr="00A76F27" w:rsidRDefault="00A76F27" w:rsidP="00A76F27">
            <w:pPr>
              <w:spacing w:after="0"/>
              <w:rPr>
                <w:rFonts w:ascii="Arial" w:hAnsi="Arial" w:cs="Arial"/>
              </w:rPr>
            </w:pPr>
            <w:r w:rsidRPr="00A76F27">
              <w:rPr>
                <w:rFonts w:ascii="Arial" w:hAnsi="Arial" w:cs="Arial"/>
              </w:rPr>
              <w:t>69%</w:t>
            </w: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A76F27" w:rsidRPr="00A76F27" w:rsidRDefault="00A76F27" w:rsidP="00A76F27">
            <w:pPr>
              <w:spacing w:after="0"/>
              <w:rPr>
                <w:rFonts w:ascii="Arial" w:hAnsi="Arial" w:cs="Arial"/>
              </w:rPr>
            </w:pPr>
            <w:r w:rsidRPr="00A76F27">
              <w:rPr>
                <w:rFonts w:ascii="Arial" w:hAnsi="Arial" w:cs="Arial"/>
              </w:rPr>
              <w:t>71%</w:t>
            </w:r>
          </w:p>
        </w:tc>
        <w:tc>
          <w:tcPr>
            <w:tcW w:w="1276" w:type="dxa"/>
            <w:tcBorders>
              <w:top w:val="nil"/>
              <w:left w:val="nil"/>
              <w:bottom w:val="single" w:sz="4" w:space="0" w:color="auto"/>
              <w:right w:val="single" w:sz="8" w:space="0" w:color="auto"/>
            </w:tcBorders>
            <w:shd w:val="clear" w:color="auto" w:fill="auto"/>
            <w:noWrap/>
            <w:vAlign w:val="center"/>
            <w:hideMark/>
          </w:tcPr>
          <w:p w:rsidR="00A76F27" w:rsidRPr="00A76F27" w:rsidRDefault="00A76F27" w:rsidP="00A76F27">
            <w:pPr>
              <w:spacing w:after="0"/>
              <w:rPr>
                <w:rFonts w:ascii="Arial" w:hAnsi="Arial" w:cs="Arial"/>
              </w:rPr>
            </w:pPr>
            <w:r w:rsidRPr="00A76F27">
              <w:rPr>
                <w:rFonts w:ascii="Arial" w:hAnsi="Arial" w:cs="Arial"/>
              </w:rPr>
              <w:t>68%</w:t>
            </w:r>
          </w:p>
        </w:tc>
      </w:tr>
      <w:tr w:rsidR="00A76F27"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A76F27" w:rsidRPr="00AD165E" w:rsidRDefault="00A76F27" w:rsidP="00A76F27">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4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A76F27" w:rsidRPr="00A76F27" w:rsidRDefault="00A76F27" w:rsidP="00A76F27">
            <w:pPr>
              <w:spacing w:after="0"/>
              <w:rPr>
                <w:rFonts w:ascii="Arial" w:hAnsi="Arial" w:cs="Arial"/>
              </w:rPr>
            </w:pPr>
            <w:r w:rsidRPr="00A76F27">
              <w:rPr>
                <w:rFonts w:ascii="Arial" w:hAnsi="Arial" w:cs="Arial"/>
              </w:rPr>
              <w:t>65%</w:t>
            </w:r>
          </w:p>
        </w:tc>
        <w:tc>
          <w:tcPr>
            <w:tcW w:w="1276" w:type="dxa"/>
            <w:tcBorders>
              <w:top w:val="nil"/>
              <w:left w:val="nil"/>
              <w:bottom w:val="single" w:sz="4" w:space="0" w:color="auto"/>
              <w:right w:val="nil"/>
            </w:tcBorders>
            <w:shd w:val="clear" w:color="auto" w:fill="auto"/>
            <w:noWrap/>
            <w:vAlign w:val="center"/>
            <w:hideMark/>
          </w:tcPr>
          <w:p w:rsidR="00A76F27" w:rsidRPr="00A76F27" w:rsidRDefault="00A76F27" w:rsidP="00A76F27">
            <w:pPr>
              <w:spacing w:after="0"/>
              <w:rPr>
                <w:rFonts w:ascii="Arial" w:hAnsi="Arial" w:cs="Arial"/>
              </w:rPr>
            </w:pPr>
            <w:r w:rsidRPr="00A76F27">
              <w:rPr>
                <w:rFonts w:ascii="Arial" w:hAnsi="Arial" w:cs="Arial"/>
              </w:rPr>
              <w:t>70%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A76F27" w:rsidRPr="00A76F27" w:rsidRDefault="00A76F27" w:rsidP="00A76F27">
            <w:pPr>
              <w:spacing w:after="0"/>
              <w:rPr>
                <w:rFonts w:ascii="Arial" w:hAnsi="Arial" w:cs="Arial"/>
              </w:rPr>
            </w:pPr>
            <w:r w:rsidRPr="00A76F27">
              <w:rPr>
                <w:rFonts w:ascii="Arial" w:hAnsi="Arial" w:cs="Arial"/>
              </w:rPr>
              <w:t>71%</w:t>
            </w:r>
          </w:p>
        </w:tc>
        <w:tc>
          <w:tcPr>
            <w:tcW w:w="1276" w:type="dxa"/>
            <w:tcBorders>
              <w:top w:val="nil"/>
              <w:left w:val="nil"/>
              <w:bottom w:val="single" w:sz="4" w:space="0" w:color="auto"/>
              <w:right w:val="nil"/>
            </w:tcBorders>
            <w:shd w:val="clear" w:color="auto" w:fill="auto"/>
            <w:noWrap/>
            <w:vAlign w:val="center"/>
            <w:hideMark/>
          </w:tcPr>
          <w:p w:rsidR="00A76F27" w:rsidRPr="00A76F27" w:rsidRDefault="00A76F27" w:rsidP="00A76F27">
            <w:pPr>
              <w:spacing w:after="0"/>
              <w:rPr>
                <w:rFonts w:ascii="Arial" w:hAnsi="Arial" w:cs="Arial"/>
              </w:rPr>
            </w:pPr>
            <w:r w:rsidRPr="00A76F27">
              <w:rPr>
                <w:rFonts w:ascii="Arial" w:hAnsi="Arial" w:cs="Arial"/>
              </w:rPr>
              <w:t>73%</w:t>
            </w: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A76F27" w:rsidRPr="00A76F27" w:rsidRDefault="00A76F27" w:rsidP="00A76F27">
            <w:pPr>
              <w:spacing w:after="0"/>
              <w:rPr>
                <w:rFonts w:ascii="Arial" w:hAnsi="Arial" w:cs="Arial"/>
              </w:rPr>
            </w:pPr>
            <w:r w:rsidRPr="00A76F27">
              <w:rPr>
                <w:rFonts w:ascii="Arial" w:hAnsi="Arial" w:cs="Arial"/>
              </w:rPr>
              <w:t>72%</w:t>
            </w:r>
          </w:p>
        </w:tc>
        <w:tc>
          <w:tcPr>
            <w:tcW w:w="1276" w:type="dxa"/>
            <w:tcBorders>
              <w:top w:val="nil"/>
              <w:left w:val="nil"/>
              <w:bottom w:val="single" w:sz="4" w:space="0" w:color="auto"/>
              <w:right w:val="single" w:sz="8" w:space="0" w:color="auto"/>
            </w:tcBorders>
            <w:shd w:val="clear" w:color="auto" w:fill="auto"/>
            <w:noWrap/>
            <w:hideMark/>
          </w:tcPr>
          <w:p w:rsidR="00A76F27" w:rsidRPr="00A76F27" w:rsidRDefault="00A76F27" w:rsidP="00A76F27">
            <w:pPr>
              <w:spacing w:after="0" w:line="240" w:lineRule="auto"/>
              <w:rPr>
                <w:rFonts w:ascii="Arial" w:eastAsia="Times New Roman" w:hAnsi="Arial" w:cs="Arial"/>
                <w:color w:val="000000"/>
                <w:lang w:eastAsia="en-AU"/>
              </w:rPr>
            </w:pPr>
          </w:p>
        </w:tc>
      </w:tr>
      <w:tr w:rsidR="00A76F27"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A76F27" w:rsidRPr="00AD165E" w:rsidRDefault="00A76F27" w:rsidP="00A76F27">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3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A76F27" w:rsidRPr="00A76F27" w:rsidRDefault="00A76F27" w:rsidP="00A76F27">
            <w:pPr>
              <w:spacing w:after="0"/>
              <w:rPr>
                <w:rFonts w:ascii="Arial" w:hAnsi="Arial" w:cs="Arial"/>
              </w:rPr>
            </w:pPr>
            <w:r w:rsidRPr="00A76F27">
              <w:rPr>
                <w:rFonts w:ascii="Arial" w:hAnsi="Arial" w:cs="Arial"/>
              </w:rPr>
              <w:t>66%</w:t>
            </w:r>
          </w:p>
        </w:tc>
        <w:tc>
          <w:tcPr>
            <w:tcW w:w="1276" w:type="dxa"/>
            <w:tcBorders>
              <w:top w:val="nil"/>
              <w:left w:val="nil"/>
              <w:bottom w:val="single" w:sz="4" w:space="0" w:color="auto"/>
              <w:right w:val="nil"/>
            </w:tcBorders>
            <w:shd w:val="clear" w:color="auto" w:fill="auto"/>
            <w:noWrap/>
            <w:vAlign w:val="center"/>
            <w:hideMark/>
          </w:tcPr>
          <w:p w:rsidR="00A76F27" w:rsidRPr="00A76F27" w:rsidRDefault="00A76F27" w:rsidP="00A76F27">
            <w:pPr>
              <w:spacing w:after="0"/>
              <w:rPr>
                <w:rFonts w:ascii="Arial" w:hAnsi="Arial" w:cs="Arial"/>
              </w:rPr>
            </w:pPr>
            <w:r w:rsidRPr="00A76F27">
              <w:rPr>
                <w:rFonts w:ascii="Arial" w:hAnsi="Arial" w:cs="Arial"/>
              </w:rPr>
              <w:t>70%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A76F27" w:rsidRPr="00A76F27" w:rsidRDefault="00A76F27" w:rsidP="00A76F27">
            <w:pPr>
              <w:spacing w:after="0"/>
              <w:rPr>
                <w:rFonts w:ascii="Arial" w:hAnsi="Arial" w:cs="Arial"/>
              </w:rPr>
            </w:pPr>
            <w:r w:rsidRPr="00A76F27">
              <w:rPr>
                <w:rFonts w:ascii="Arial" w:hAnsi="Arial" w:cs="Arial"/>
              </w:rPr>
              <w:t>72%</w:t>
            </w:r>
          </w:p>
        </w:tc>
        <w:tc>
          <w:tcPr>
            <w:tcW w:w="1276" w:type="dxa"/>
            <w:tcBorders>
              <w:top w:val="nil"/>
              <w:left w:val="nil"/>
              <w:bottom w:val="single" w:sz="4" w:space="0" w:color="auto"/>
              <w:right w:val="nil"/>
            </w:tcBorders>
            <w:shd w:val="clear" w:color="auto" w:fill="auto"/>
            <w:noWrap/>
            <w:vAlign w:val="center"/>
            <w:hideMark/>
          </w:tcPr>
          <w:p w:rsidR="00A76F27" w:rsidRPr="00A76F27" w:rsidRDefault="00A76F27" w:rsidP="00A76F27">
            <w:pPr>
              <w:spacing w:after="0"/>
              <w:rPr>
                <w:rFonts w:ascii="Arial" w:hAnsi="Arial" w:cs="Arial"/>
              </w:rPr>
            </w:pPr>
            <w:r w:rsidRPr="00A76F27">
              <w:rPr>
                <w:rFonts w:ascii="Arial" w:hAnsi="Arial" w:cs="Arial"/>
              </w:rPr>
              <w:t>72%</w:t>
            </w:r>
          </w:p>
        </w:tc>
        <w:tc>
          <w:tcPr>
            <w:tcW w:w="1275" w:type="dxa"/>
            <w:tcBorders>
              <w:top w:val="nil"/>
              <w:left w:val="single" w:sz="8" w:space="0" w:color="auto"/>
              <w:bottom w:val="single" w:sz="4" w:space="0" w:color="auto"/>
              <w:right w:val="single" w:sz="8" w:space="0" w:color="auto"/>
            </w:tcBorders>
            <w:shd w:val="clear" w:color="auto" w:fill="auto"/>
            <w:noWrap/>
            <w:hideMark/>
          </w:tcPr>
          <w:p w:rsidR="00A76F27" w:rsidRPr="00A76F27" w:rsidRDefault="00A76F27" w:rsidP="00A76F27">
            <w:pPr>
              <w:spacing w:after="0" w:line="240" w:lineRule="auto"/>
              <w:rPr>
                <w:rFonts w:ascii="Arial" w:eastAsia="Times New Roman" w:hAnsi="Arial" w:cs="Arial"/>
                <w:color w:val="000000"/>
                <w:lang w:eastAsia="en-AU"/>
              </w:rPr>
            </w:pPr>
          </w:p>
        </w:tc>
        <w:tc>
          <w:tcPr>
            <w:tcW w:w="1276" w:type="dxa"/>
            <w:tcBorders>
              <w:top w:val="nil"/>
              <w:left w:val="nil"/>
              <w:bottom w:val="single" w:sz="4" w:space="0" w:color="auto"/>
              <w:right w:val="single" w:sz="8" w:space="0" w:color="auto"/>
            </w:tcBorders>
            <w:shd w:val="clear" w:color="auto" w:fill="auto"/>
            <w:noWrap/>
            <w:vAlign w:val="bottom"/>
            <w:hideMark/>
          </w:tcPr>
          <w:p w:rsidR="00A76F27" w:rsidRPr="00A76F27" w:rsidRDefault="00A76F27" w:rsidP="00A76F27">
            <w:pPr>
              <w:spacing w:after="0" w:line="240" w:lineRule="auto"/>
              <w:rPr>
                <w:rFonts w:ascii="Arial" w:eastAsia="Times New Roman" w:hAnsi="Arial" w:cs="Arial"/>
                <w:color w:val="000000"/>
                <w:lang w:eastAsia="en-AU"/>
              </w:rPr>
            </w:pPr>
          </w:p>
        </w:tc>
      </w:tr>
      <w:tr w:rsidR="00A76F27"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A76F27" w:rsidRPr="00AD165E" w:rsidRDefault="00A76F27" w:rsidP="00A76F27">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lastRenderedPageBreak/>
              <w:t>2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A76F27" w:rsidRPr="00A76F27" w:rsidRDefault="00A76F27" w:rsidP="00A76F27">
            <w:pPr>
              <w:spacing w:after="0"/>
              <w:rPr>
                <w:rFonts w:ascii="Arial" w:hAnsi="Arial" w:cs="Arial"/>
              </w:rPr>
            </w:pPr>
            <w:r w:rsidRPr="00A76F27">
              <w:rPr>
                <w:rFonts w:ascii="Arial" w:hAnsi="Arial" w:cs="Arial"/>
              </w:rPr>
              <w:t>65%</w:t>
            </w:r>
          </w:p>
        </w:tc>
        <w:tc>
          <w:tcPr>
            <w:tcW w:w="1276" w:type="dxa"/>
            <w:tcBorders>
              <w:top w:val="nil"/>
              <w:left w:val="nil"/>
              <w:bottom w:val="single" w:sz="4" w:space="0" w:color="auto"/>
              <w:right w:val="nil"/>
            </w:tcBorders>
            <w:shd w:val="clear" w:color="auto" w:fill="auto"/>
            <w:noWrap/>
            <w:vAlign w:val="center"/>
            <w:hideMark/>
          </w:tcPr>
          <w:p w:rsidR="00A76F27" w:rsidRPr="00A76F27" w:rsidRDefault="00A76F27" w:rsidP="00A76F27">
            <w:pPr>
              <w:spacing w:after="0"/>
              <w:rPr>
                <w:rFonts w:ascii="Arial" w:hAnsi="Arial" w:cs="Arial"/>
              </w:rPr>
            </w:pPr>
            <w:r w:rsidRPr="00A76F27">
              <w:rPr>
                <w:rFonts w:ascii="Arial" w:hAnsi="Arial" w:cs="Arial"/>
              </w:rPr>
              <w:t>70%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A76F27" w:rsidRPr="00A76F27" w:rsidRDefault="00A76F27" w:rsidP="00A76F27">
            <w:pPr>
              <w:spacing w:after="0"/>
              <w:rPr>
                <w:rFonts w:ascii="Arial" w:hAnsi="Arial" w:cs="Arial"/>
              </w:rPr>
            </w:pPr>
            <w:r w:rsidRPr="00A76F27">
              <w:rPr>
                <w:rFonts w:ascii="Arial" w:hAnsi="Arial" w:cs="Arial"/>
              </w:rPr>
              <w:t>70%</w:t>
            </w:r>
          </w:p>
        </w:tc>
        <w:tc>
          <w:tcPr>
            <w:tcW w:w="1276" w:type="dxa"/>
            <w:tcBorders>
              <w:top w:val="nil"/>
              <w:left w:val="nil"/>
              <w:bottom w:val="single" w:sz="4" w:space="0" w:color="auto"/>
              <w:right w:val="nil"/>
            </w:tcBorders>
            <w:shd w:val="clear" w:color="auto" w:fill="auto"/>
            <w:noWrap/>
            <w:hideMark/>
          </w:tcPr>
          <w:p w:rsidR="00A76F27" w:rsidRPr="00A76F27" w:rsidRDefault="00A76F27" w:rsidP="00A76F27">
            <w:pPr>
              <w:spacing w:after="0" w:line="240" w:lineRule="auto"/>
              <w:rPr>
                <w:rFonts w:ascii="Arial" w:eastAsia="Times New Roman" w:hAnsi="Arial" w:cs="Arial"/>
                <w:color w:val="000000"/>
                <w:lang w:eastAsia="en-AU"/>
              </w:rPr>
            </w:pP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A76F27" w:rsidRPr="00A76F27" w:rsidRDefault="00A76F27" w:rsidP="00A76F27">
            <w:pPr>
              <w:spacing w:after="0" w:line="240" w:lineRule="auto"/>
              <w:rPr>
                <w:rFonts w:ascii="Arial" w:eastAsia="Times New Roman" w:hAnsi="Arial" w:cs="Arial"/>
                <w:color w:val="000000"/>
                <w:lang w:eastAsia="en-AU"/>
              </w:rPr>
            </w:pPr>
          </w:p>
        </w:tc>
        <w:tc>
          <w:tcPr>
            <w:tcW w:w="1276" w:type="dxa"/>
            <w:tcBorders>
              <w:top w:val="nil"/>
              <w:left w:val="nil"/>
              <w:bottom w:val="single" w:sz="4" w:space="0" w:color="auto"/>
              <w:right w:val="single" w:sz="8" w:space="0" w:color="auto"/>
            </w:tcBorders>
            <w:shd w:val="clear" w:color="auto" w:fill="auto"/>
            <w:noWrap/>
            <w:vAlign w:val="center"/>
            <w:hideMark/>
          </w:tcPr>
          <w:p w:rsidR="00A76F27" w:rsidRPr="00A76F27" w:rsidRDefault="00A76F27" w:rsidP="00A76F27">
            <w:pPr>
              <w:spacing w:after="0" w:line="240" w:lineRule="auto"/>
              <w:rPr>
                <w:rFonts w:ascii="Arial" w:eastAsia="Times New Roman" w:hAnsi="Arial" w:cs="Arial"/>
                <w:color w:val="000000"/>
                <w:lang w:eastAsia="en-AU"/>
              </w:rPr>
            </w:pPr>
          </w:p>
        </w:tc>
      </w:tr>
      <w:tr w:rsidR="00A76F27" w:rsidRPr="00AD165E" w:rsidTr="00632614">
        <w:trPr>
          <w:trHeight w:val="285"/>
        </w:trPr>
        <w:tc>
          <w:tcPr>
            <w:tcW w:w="1500" w:type="dxa"/>
            <w:tcBorders>
              <w:top w:val="nil"/>
              <w:left w:val="single" w:sz="8" w:space="0" w:color="auto"/>
              <w:bottom w:val="single" w:sz="8" w:space="0" w:color="auto"/>
              <w:right w:val="nil"/>
            </w:tcBorders>
            <w:shd w:val="clear" w:color="auto" w:fill="auto"/>
            <w:noWrap/>
            <w:vAlign w:val="bottom"/>
            <w:hideMark/>
          </w:tcPr>
          <w:p w:rsidR="00A76F27" w:rsidRPr="00AD165E" w:rsidRDefault="00A76F27" w:rsidP="00A76F27">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1 year</w:t>
            </w:r>
          </w:p>
        </w:tc>
        <w:tc>
          <w:tcPr>
            <w:tcW w:w="1325" w:type="dxa"/>
            <w:tcBorders>
              <w:top w:val="nil"/>
              <w:left w:val="single" w:sz="8" w:space="0" w:color="auto"/>
              <w:bottom w:val="single" w:sz="8" w:space="0" w:color="auto"/>
              <w:right w:val="single" w:sz="8" w:space="0" w:color="auto"/>
            </w:tcBorders>
            <w:shd w:val="clear" w:color="auto" w:fill="auto"/>
            <w:noWrap/>
            <w:vAlign w:val="center"/>
            <w:hideMark/>
          </w:tcPr>
          <w:p w:rsidR="00A76F27" w:rsidRPr="00A76F27" w:rsidRDefault="00A76F27" w:rsidP="00A76F27">
            <w:pPr>
              <w:spacing w:after="0"/>
              <w:rPr>
                <w:rFonts w:ascii="Arial" w:hAnsi="Arial" w:cs="Arial"/>
              </w:rPr>
            </w:pPr>
            <w:r w:rsidRPr="00A76F27">
              <w:rPr>
                <w:rFonts w:ascii="Arial" w:hAnsi="Arial" w:cs="Arial"/>
              </w:rPr>
              <w:t>64%</w:t>
            </w:r>
          </w:p>
        </w:tc>
        <w:tc>
          <w:tcPr>
            <w:tcW w:w="1276" w:type="dxa"/>
            <w:tcBorders>
              <w:top w:val="nil"/>
              <w:left w:val="nil"/>
              <w:bottom w:val="single" w:sz="8" w:space="0" w:color="auto"/>
              <w:right w:val="nil"/>
            </w:tcBorders>
            <w:shd w:val="clear" w:color="auto" w:fill="auto"/>
            <w:noWrap/>
            <w:vAlign w:val="center"/>
            <w:hideMark/>
          </w:tcPr>
          <w:p w:rsidR="00A76F27" w:rsidRPr="00A76F27" w:rsidRDefault="00A76F27" w:rsidP="00A76F27">
            <w:pPr>
              <w:spacing w:after="0"/>
              <w:rPr>
                <w:rFonts w:ascii="Arial" w:hAnsi="Arial" w:cs="Arial"/>
              </w:rPr>
            </w:pPr>
            <w:r w:rsidRPr="00A76F27">
              <w:rPr>
                <w:rFonts w:ascii="Arial" w:hAnsi="Arial" w:cs="Arial"/>
              </w:rPr>
              <w:t>67%</w:t>
            </w:r>
          </w:p>
        </w:tc>
        <w:tc>
          <w:tcPr>
            <w:tcW w:w="1276" w:type="dxa"/>
            <w:tcBorders>
              <w:top w:val="nil"/>
              <w:left w:val="single" w:sz="8" w:space="0" w:color="auto"/>
              <w:bottom w:val="single" w:sz="8" w:space="0" w:color="auto"/>
              <w:right w:val="single" w:sz="8" w:space="0" w:color="auto"/>
            </w:tcBorders>
            <w:shd w:val="clear" w:color="auto" w:fill="auto"/>
            <w:noWrap/>
            <w:hideMark/>
          </w:tcPr>
          <w:p w:rsidR="00A76F27" w:rsidRPr="00A76F27" w:rsidRDefault="00A76F27" w:rsidP="00A76F27">
            <w:pPr>
              <w:spacing w:after="0" w:line="240" w:lineRule="auto"/>
              <w:rPr>
                <w:rFonts w:ascii="Arial" w:eastAsia="Times New Roman" w:hAnsi="Arial" w:cs="Arial"/>
                <w:color w:val="000000"/>
                <w:lang w:eastAsia="en-AU"/>
              </w:rPr>
            </w:pPr>
          </w:p>
        </w:tc>
        <w:tc>
          <w:tcPr>
            <w:tcW w:w="1276" w:type="dxa"/>
            <w:tcBorders>
              <w:top w:val="nil"/>
              <w:left w:val="nil"/>
              <w:bottom w:val="single" w:sz="8" w:space="0" w:color="auto"/>
              <w:right w:val="nil"/>
            </w:tcBorders>
            <w:shd w:val="clear" w:color="auto" w:fill="auto"/>
            <w:noWrap/>
            <w:vAlign w:val="center"/>
            <w:hideMark/>
          </w:tcPr>
          <w:p w:rsidR="00A76F27" w:rsidRPr="00A76F27" w:rsidRDefault="00A76F27" w:rsidP="00A76F27">
            <w:pPr>
              <w:spacing w:after="0" w:line="240" w:lineRule="auto"/>
              <w:rPr>
                <w:rFonts w:ascii="Arial" w:eastAsia="Times New Roman" w:hAnsi="Arial" w:cs="Arial"/>
                <w:color w:val="000000"/>
                <w:lang w:eastAsia="en-AU"/>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rsidR="00A76F27" w:rsidRPr="00A76F27" w:rsidRDefault="00A76F27" w:rsidP="00A76F27">
            <w:pPr>
              <w:spacing w:after="0" w:line="240" w:lineRule="auto"/>
              <w:rPr>
                <w:rFonts w:ascii="Arial" w:eastAsia="Times New Roman" w:hAnsi="Arial" w:cs="Arial"/>
                <w:color w:val="000000"/>
                <w:lang w:eastAsia="en-AU"/>
              </w:rPr>
            </w:pPr>
          </w:p>
        </w:tc>
        <w:tc>
          <w:tcPr>
            <w:tcW w:w="1276" w:type="dxa"/>
            <w:tcBorders>
              <w:top w:val="nil"/>
              <w:left w:val="nil"/>
              <w:bottom w:val="single" w:sz="8" w:space="0" w:color="auto"/>
              <w:right w:val="single" w:sz="8" w:space="0" w:color="auto"/>
            </w:tcBorders>
            <w:shd w:val="clear" w:color="auto" w:fill="auto"/>
            <w:noWrap/>
            <w:hideMark/>
          </w:tcPr>
          <w:p w:rsidR="00A76F27" w:rsidRPr="00A76F27" w:rsidRDefault="00A76F27" w:rsidP="00A76F27">
            <w:pPr>
              <w:spacing w:after="0" w:line="240" w:lineRule="auto"/>
              <w:rPr>
                <w:rFonts w:ascii="Arial" w:eastAsia="Times New Roman" w:hAnsi="Arial" w:cs="Arial"/>
                <w:color w:val="000000"/>
                <w:lang w:eastAsia="en-AU"/>
              </w:rPr>
            </w:pPr>
          </w:p>
        </w:tc>
      </w:tr>
    </w:tbl>
    <w:p w:rsidR="00550D6D" w:rsidRDefault="00550D6D" w:rsidP="00412BE9">
      <w:pPr>
        <w:spacing w:after="240"/>
        <w:rPr>
          <w:rFonts w:cstheme="minorHAnsi"/>
        </w:rPr>
      </w:pPr>
    </w:p>
    <w:p w:rsidR="00B83265" w:rsidRPr="002817DE" w:rsidRDefault="00B83265" w:rsidP="002817DE">
      <w:pPr>
        <w:pStyle w:val="Heading2"/>
      </w:pPr>
      <w:bookmarkStart w:id="73" w:name="_Toc121151445"/>
      <w:r w:rsidRPr="002817DE">
        <w:t>Slide 63: Participants aged 15 and over – Employment</w:t>
      </w:r>
      <w:r w:rsidR="008E1F90">
        <w:t xml:space="preserve"> (</w:t>
      </w:r>
      <w:r w:rsidR="0080201D">
        <w:t>Footnote 1</w:t>
      </w:r>
      <w:r w:rsidR="008E1F90">
        <w:t>)</w:t>
      </w:r>
      <w:bookmarkEnd w:id="73"/>
    </w:p>
    <w:p w:rsidR="00B83265" w:rsidRPr="00B8176E" w:rsidRDefault="00B83265" w:rsidP="00B83265">
      <w:pPr>
        <w:spacing w:after="240"/>
        <w:rPr>
          <w:b/>
        </w:rPr>
      </w:pPr>
      <w:r w:rsidRPr="00B8176E">
        <w:rPr>
          <w:b/>
        </w:rPr>
        <w:t xml:space="preserve">% who </w:t>
      </w:r>
      <w:r>
        <w:rPr>
          <w:b/>
        </w:rPr>
        <w:t>are currently working in a paid job</w:t>
      </w:r>
    </w:p>
    <w:p w:rsidR="00B83265" w:rsidRDefault="00B83265" w:rsidP="00B83265">
      <w:pPr>
        <w:spacing w:after="240"/>
      </w:pPr>
      <w:r>
        <w:t>Overall there has been no change in the percentage of participants aged 15 and over who are in a paid job, remaining fairly stable at around 25% for cohorts 4 and 5 (purple line). However, this result is primarily driven by the 25 and over age groups (15-24/25+ and 25+).</w:t>
      </w:r>
    </w:p>
    <w:p w:rsidR="00B83265" w:rsidRDefault="00B83265" w:rsidP="00B83265">
      <w:pPr>
        <w:spacing w:after="240"/>
      </w:pPr>
      <w:r>
        <w:t>The 15-24 and S-14/15-24 age groups are showing positive changes over time (notwithstanding a much lower baseline percentage) with large increases since baseline for most cohorts. For example, for the 15-24 age group, there was a 17.9 percentage point increase between baseline (10.2%) and fifth review (28.2%).</w:t>
      </w:r>
    </w:p>
    <w:p w:rsidR="00B83265" w:rsidRDefault="00B83265" w:rsidP="00B83265">
      <w:pPr>
        <w:spacing w:after="240"/>
      </w:pPr>
      <w:r>
        <w:t>However, the 25+ age group showed a consistent decline in the percentage of participants working in a paid job of between 1.3 and 3.9 percentage points for cohorts 2 to 5.</w:t>
      </w:r>
    </w:p>
    <w:p w:rsidR="00412BE9" w:rsidRDefault="00B83265" w:rsidP="00412BE9">
      <w:pPr>
        <w:spacing w:after="240"/>
        <w:rPr>
          <w:rFonts w:cstheme="minorHAnsi"/>
        </w:rPr>
      </w:pPr>
      <w:r>
        <w:rPr>
          <w:rFonts w:cstheme="minorHAnsi"/>
        </w:rPr>
        <w:t xml:space="preserve">Five charts shows </w:t>
      </w:r>
      <w:r w:rsidRPr="00AD4C8D">
        <w:rPr>
          <w:rFonts w:cstheme="minorHAnsi"/>
        </w:rPr>
        <w:t xml:space="preserve">the percentage </w:t>
      </w:r>
      <w:r w:rsidRPr="00B8176E">
        <w:rPr>
          <w:rFonts w:cstheme="minorHAnsi"/>
        </w:rPr>
        <w:t xml:space="preserve">who </w:t>
      </w:r>
      <w:r>
        <w:rPr>
          <w:rFonts w:cstheme="minorHAnsi"/>
        </w:rPr>
        <w:t>are currently working in a paid job</w:t>
      </w:r>
      <w:r w:rsidRPr="00B8176E">
        <w:rPr>
          <w:rFonts w:cstheme="minorHAnsi"/>
        </w:rPr>
        <w:t xml:space="preserve"> </w:t>
      </w:r>
      <w:r w:rsidRPr="00AD4C8D">
        <w:rPr>
          <w:rFonts w:cstheme="minorHAnsi"/>
        </w:rPr>
        <w:t>at baseline and at subsequent reviews</w:t>
      </w:r>
      <w:r w:rsidR="00412BE9" w:rsidRPr="00715092">
        <w:rPr>
          <w:rFonts w:cstheme="minorHAnsi"/>
        </w:rPr>
        <w:t xml:space="preserve">, separately for participants in the </w:t>
      </w:r>
      <w:r w:rsidR="00412BE9">
        <w:rPr>
          <w:rFonts w:cstheme="minorHAnsi"/>
        </w:rPr>
        <w:t xml:space="preserve">five years, </w:t>
      </w:r>
      <w:r w:rsidR="00412BE9" w:rsidRPr="00715092">
        <w:rPr>
          <w:rFonts w:cstheme="minorHAnsi"/>
        </w:rPr>
        <w:t>four years, three years, two years or one year</w:t>
      </w:r>
      <w:r w:rsidR="00412BE9">
        <w:rPr>
          <w:rFonts w:cstheme="minorHAnsi"/>
        </w:rPr>
        <w:t xml:space="preserve"> cohorts</w:t>
      </w:r>
      <w:r w:rsidR="00412BE9" w:rsidRPr="00715092">
        <w:rPr>
          <w:rFonts w:cstheme="minorHAnsi"/>
        </w:rPr>
        <w:t>.</w:t>
      </w:r>
      <w:r w:rsidR="00412BE9">
        <w:rPr>
          <w:rFonts w:cstheme="minorHAnsi"/>
        </w:rPr>
        <w:t xml:space="preserve"> Separate lines on each chart show results for all participants, and for participants in the S-14/15-24, 15-24, 15-24/25+ and 25+ age groups.</w:t>
      </w:r>
    </w:p>
    <w:p w:rsidR="00412BE9" w:rsidRDefault="00412BE9" w:rsidP="00412BE9">
      <w:pPr>
        <w:spacing w:after="240"/>
        <w:rPr>
          <w:rFonts w:cstheme="minorHAnsi"/>
        </w:rPr>
      </w:pPr>
      <w:r>
        <w:rPr>
          <w:rFonts w:cstheme="minorHAnsi"/>
        </w:rPr>
        <w:t>For PSto14, analysed by time since first in P15to24, otherwise by time in Scheme.</w:t>
      </w:r>
    </w:p>
    <w:p w:rsidR="00412BE9" w:rsidRDefault="00961D83" w:rsidP="00412BE9">
      <w:pPr>
        <w:spacing w:after="240"/>
        <w:rPr>
          <w:rFonts w:cstheme="minorHAnsi"/>
        </w:rPr>
      </w:pPr>
      <w:r>
        <w:rPr>
          <w:rFonts w:cstheme="minorHAnsi"/>
        </w:rPr>
        <w:t>There was no material change in t</w:t>
      </w:r>
      <w:r w:rsidR="00412BE9">
        <w:rPr>
          <w:rFonts w:cstheme="minorHAnsi"/>
        </w:rPr>
        <w:t xml:space="preserve">his indicator </w:t>
      </w:r>
      <w:r>
        <w:rPr>
          <w:rFonts w:cstheme="minorHAnsi"/>
        </w:rPr>
        <w:t>overall</w:t>
      </w:r>
      <w:r w:rsidR="00412BE9">
        <w:rPr>
          <w:rFonts w:cstheme="minorHAnsi"/>
        </w:rPr>
        <w:t>.</w:t>
      </w:r>
    </w:p>
    <w:p w:rsidR="00412BE9" w:rsidRDefault="00412BE9" w:rsidP="00412BE9">
      <w:pPr>
        <w:spacing w:after="240"/>
        <w:rPr>
          <w:rFonts w:cstheme="minorHAnsi"/>
        </w:rPr>
      </w:pPr>
      <w:r>
        <w:rPr>
          <w:rFonts w:cstheme="minorHAnsi"/>
        </w:rPr>
        <w:t>Results for all participants are labelled on the charts:</w:t>
      </w:r>
    </w:p>
    <w:tbl>
      <w:tblPr>
        <w:tblW w:w="9204" w:type="dxa"/>
        <w:tblLook w:val="04A0" w:firstRow="1" w:lastRow="0" w:firstColumn="1" w:lastColumn="0" w:noHBand="0" w:noVBand="1"/>
      </w:tblPr>
      <w:tblGrid>
        <w:gridCol w:w="1500"/>
        <w:gridCol w:w="1325"/>
        <w:gridCol w:w="1276"/>
        <w:gridCol w:w="1276"/>
        <w:gridCol w:w="1276"/>
        <w:gridCol w:w="1275"/>
        <w:gridCol w:w="1276"/>
      </w:tblGrid>
      <w:tr w:rsidR="00550D6D" w:rsidRPr="00AD165E" w:rsidTr="00632614">
        <w:trPr>
          <w:trHeight w:val="285"/>
        </w:trPr>
        <w:tc>
          <w:tcPr>
            <w:tcW w:w="1500" w:type="dxa"/>
            <w:tcBorders>
              <w:top w:val="single" w:sz="8" w:space="0" w:color="auto"/>
              <w:left w:val="single" w:sz="8" w:space="0" w:color="auto"/>
              <w:bottom w:val="single" w:sz="8" w:space="0" w:color="auto"/>
              <w:right w:val="nil"/>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Cohort</w:t>
            </w:r>
          </w:p>
        </w:tc>
        <w:tc>
          <w:tcPr>
            <w:tcW w:w="13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B</w:t>
            </w:r>
            <w:r>
              <w:rPr>
                <w:rFonts w:ascii="Arial" w:eastAsia="Times New Roman" w:hAnsi="Arial" w:cs="Arial"/>
                <w:b/>
                <w:bCs/>
                <w:color w:val="000000"/>
                <w:lang w:eastAsia="en-AU"/>
              </w:rPr>
              <w:t>aseline</w:t>
            </w:r>
          </w:p>
        </w:tc>
        <w:tc>
          <w:tcPr>
            <w:tcW w:w="1276" w:type="dxa"/>
            <w:tcBorders>
              <w:top w:val="single" w:sz="8" w:space="0" w:color="auto"/>
              <w:left w:val="nil"/>
              <w:bottom w:val="single" w:sz="8" w:space="0" w:color="auto"/>
              <w:right w:val="nil"/>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1</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2</w:t>
            </w:r>
          </w:p>
        </w:tc>
        <w:tc>
          <w:tcPr>
            <w:tcW w:w="1276" w:type="dxa"/>
            <w:tcBorders>
              <w:top w:val="single" w:sz="8" w:space="0" w:color="auto"/>
              <w:left w:val="nil"/>
              <w:bottom w:val="single" w:sz="8" w:space="0" w:color="auto"/>
              <w:right w:val="nil"/>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3</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4</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5</w:t>
            </w:r>
          </w:p>
        </w:tc>
      </w:tr>
      <w:tr w:rsidR="00961D83"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961D83" w:rsidRPr="00AD165E" w:rsidRDefault="00961D83" w:rsidP="00961D83">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5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961D83" w:rsidRPr="00961D83" w:rsidRDefault="00961D83" w:rsidP="00961D83">
            <w:pPr>
              <w:spacing w:after="0"/>
              <w:rPr>
                <w:rFonts w:ascii="Arial" w:hAnsi="Arial" w:cs="Arial"/>
              </w:rPr>
            </w:pPr>
            <w:r w:rsidRPr="00961D83">
              <w:rPr>
                <w:rFonts w:ascii="Arial" w:hAnsi="Arial" w:cs="Arial"/>
              </w:rPr>
              <w:t>25%</w:t>
            </w:r>
          </w:p>
        </w:tc>
        <w:tc>
          <w:tcPr>
            <w:tcW w:w="1276" w:type="dxa"/>
            <w:tcBorders>
              <w:top w:val="nil"/>
              <w:left w:val="nil"/>
              <w:bottom w:val="single" w:sz="4" w:space="0" w:color="auto"/>
              <w:right w:val="nil"/>
            </w:tcBorders>
            <w:shd w:val="clear" w:color="auto" w:fill="auto"/>
            <w:noWrap/>
            <w:vAlign w:val="center"/>
            <w:hideMark/>
          </w:tcPr>
          <w:p w:rsidR="00961D83" w:rsidRPr="00961D83" w:rsidRDefault="00961D83" w:rsidP="00961D83">
            <w:pPr>
              <w:spacing w:after="0"/>
              <w:rPr>
                <w:rFonts w:ascii="Arial" w:hAnsi="Arial" w:cs="Arial"/>
              </w:rPr>
            </w:pPr>
            <w:r w:rsidRPr="00961D83">
              <w:rPr>
                <w:rFonts w:ascii="Arial" w:hAnsi="Arial" w:cs="Arial"/>
              </w:rPr>
              <w:t>26%</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961D83" w:rsidRPr="00961D83" w:rsidRDefault="00961D83" w:rsidP="00961D83">
            <w:pPr>
              <w:spacing w:after="0"/>
              <w:rPr>
                <w:rFonts w:ascii="Arial" w:hAnsi="Arial" w:cs="Arial"/>
              </w:rPr>
            </w:pPr>
            <w:r w:rsidRPr="00961D83">
              <w:rPr>
                <w:rFonts w:ascii="Arial" w:hAnsi="Arial" w:cs="Arial"/>
              </w:rPr>
              <w:t>24%</w:t>
            </w:r>
          </w:p>
        </w:tc>
        <w:tc>
          <w:tcPr>
            <w:tcW w:w="1276" w:type="dxa"/>
            <w:tcBorders>
              <w:top w:val="nil"/>
              <w:left w:val="nil"/>
              <w:bottom w:val="single" w:sz="4" w:space="0" w:color="auto"/>
              <w:right w:val="nil"/>
            </w:tcBorders>
            <w:shd w:val="clear" w:color="auto" w:fill="auto"/>
            <w:noWrap/>
            <w:vAlign w:val="center"/>
            <w:hideMark/>
          </w:tcPr>
          <w:p w:rsidR="00961D83" w:rsidRPr="00961D83" w:rsidRDefault="00961D83" w:rsidP="00961D83">
            <w:pPr>
              <w:spacing w:after="0"/>
              <w:rPr>
                <w:rFonts w:ascii="Arial" w:hAnsi="Arial" w:cs="Arial"/>
              </w:rPr>
            </w:pPr>
            <w:r w:rsidRPr="00961D83">
              <w:rPr>
                <w:rFonts w:ascii="Arial" w:hAnsi="Arial" w:cs="Arial"/>
              </w:rPr>
              <w:t>26%</w:t>
            </w: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961D83" w:rsidRPr="00961D83" w:rsidRDefault="00961D83" w:rsidP="00961D83">
            <w:pPr>
              <w:spacing w:after="0"/>
              <w:rPr>
                <w:rFonts w:ascii="Arial" w:hAnsi="Arial" w:cs="Arial"/>
              </w:rPr>
            </w:pPr>
            <w:r w:rsidRPr="00961D83">
              <w:rPr>
                <w:rFonts w:ascii="Arial" w:hAnsi="Arial" w:cs="Arial"/>
              </w:rPr>
              <w:t>23%</w:t>
            </w:r>
          </w:p>
        </w:tc>
        <w:tc>
          <w:tcPr>
            <w:tcW w:w="1276" w:type="dxa"/>
            <w:tcBorders>
              <w:top w:val="nil"/>
              <w:left w:val="nil"/>
              <w:bottom w:val="single" w:sz="4" w:space="0" w:color="auto"/>
              <w:right w:val="single" w:sz="8" w:space="0" w:color="auto"/>
            </w:tcBorders>
            <w:shd w:val="clear" w:color="auto" w:fill="auto"/>
            <w:noWrap/>
            <w:vAlign w:val="center"/>
            <w:hideMark/>
          </w:tcPr>
          <w:p w:rsidR="00961D83" w:rsidRPr="00961D83" w:rsidRDefault="00961D83" w:rsidP="00961D83">
            <w:pPr>
              <w:spacing w:after="0"/>
              <w:rPr>
                <w:rFonts w:ascii="Arial" w:hAnsi="Arial" w:cs="Arial"/>
              </w:rPr>
            </w:pPr>
            <w:r w:rsidRPr="00961D83">
              <w:rPr>
                <w:rFonts w:ascii="Arial" w:hAnsi="Arial" w:cs="Arial"/>
              </w:rPr>
              <w:t>25%</w:t>
            </w:r>
          </w:p>
        </w:tc>
      </w:tr>
      <w:tr w:rsidR="00961D83"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961D83" w:rsidRPr="00AD165E" w:rsidRDefault="00961D83" w:rsidP="00961D83">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4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961D83" w:rsidRPr="00961D83" w:rsidRDefault="00961D83" w:rsidP="00961D83">
            <w:pPr>
              <w:spacing w:after="0"/>
              <w:rPr>
                <w:rFonts w:ascii="Arial" w:hAnsi="Arial" w:cs="Arial"/>
              </w:rPr>
            </w:pPr>
            <w:r w:rsidRPr="00961D83">
              <w:rPr>
                <w:rFonts w:ascii="Arial" w:hAnsi="Arial" w:cs="Arial"/>
              </w:rPr>
              <w:t>24%</w:t>
            </w:r>
          </w:p>
        </w:tc>
        <w:tc>
          <w:tcPr>
            <w:tcW w:w="1276" w:type="dxa"/>
            <w:tcBorders>
              <w:top w:val="nil"/>
              <w:left w:val="nil"/>
              <w:bottom w:val="single" w:sz="4" w:space="0" w:color="auto"/>
              <w:right w:val="nil"/>
            </w:tcBorders>
            <w:shd w:val="clear" w:color="auto" w:fill="auto"/>
            <w:noWrap/>
            <w:vAlign w:val="center"/>
            <w:hideMark/>
          </w:tcPr>
          <w:p w:rsidR="00961D83" w:rsidRPr="00961D83" w:rsidRDefault="00961D83" w:rsidP="00961D83">
            <w:pPr>
              <w:spacing w:after="0"/>
              <w:rPr>
                <w:rFonts w:ascii="Arial" w:hAnsi="Arial" w:cs="Arial"/>
              </w:rPr>
            </w:pPr>
            <w:r w:rsidRPr="00961D83">
              <w:rPr>
                <w:rFonts w:ascii="Arial" w:hAnsi="Arial" w:cs="Arial"/>
              </w:rPr>
              <w:t>25%</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961D83" w:rsidRPr="00961D83" w:rsidRDefault="00961D83" w:rsidP="00961D83">
            <w:pPr>
              <w:spacing w:after="0"/>
              <w:rPr>
                <w:rFonts w:ascii="Arial" w:hAnsi="Arial" w:cs="Arial"/>
              </w:rPr>
            </w:pPr>
            <w:r w:rsidRPr="00961D83">
              <w:rPr>
                <w:rFonts w:ascii="Arial" w:hAnsi="Arial" w:cs="Arial"/>
              </w:rPr>
              <w:t>24%</w:t>
            </w:r>
          </w:p>
        </w:tc>
        <w:tc>
          <w:tcPr>
            <w:tcW w:w="1276" w:type="dxa"/>
            <w:tcBorders>
              <w:top w:val="nil"/>
              <w:left w:val="nil"/>
              <w:bottom w:val="single" w:sz="4" w:space="0" w:color="auto"/>
              <w:right w:val="nil"/>
            </w:tcBorders>
            <w:shd w:val="clear" w:color="auto" w:fill="auto"/>
            <w:noWrap/>
            <w:vAlign w:val="center"/>
            <w:hideMark/>
          </w:tcPr>
          <w:p w:rsidR="00961D83" w:rsidRPr="00961D83" w:rsidRDefault="00961D83" w:rsidP="00961D83">
            <w:pPr>
              <w:spacing w:after="0"/>
              <w:rPr>
                <w:rFonts w:ascii="Arial" w:hAnsi="Arial" w:cs="Arial"/>
              </w:rPr>
            </w:pPr>
            <w:r w:rsidRPr="00961D83">
              <w:rPr>
                <w:rFonts w:ascii="Arial" w:hAnsi="Arial" w:cs="Arial"/>
              </w:rPr>
              <w:t>22%</w:t>
            </w: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961D83" w:rsidRPr="00961D83" w:rsidRDefault="00961D83" w:rsidP="00961D83">
            <w:pPr>
              <w:spacing w:after="0"/>
              <w:rPr>
                <w:rFonts w:ascii="Arial" w:hAnsi="Arial" w:cs="Arial"/>
              </w:rPr>
            </w:pPr>
            <w:r w:rsidRPr="00961D83">
              <w:rPr>
                <w:rFonts w:ascii="Arial" w:hAnsi="Arial" w:cs="Arial"/>
              </w:rPr>
              <w:t>25%</w:t>
            </w:r>
          </w:p>
        </w:tc>
        <w:tc>
          <w:tcPr>
            <w:tcW w:w="1276" w:type="dxa"/>
            <w:tcBorders>
              <w:top w:val="nil"/>
              <w:left w:val="nil"/>
              <w:bottom w:val="single" w:sz="4" w:space="0" w:color="auto"/>
              <w:right w:val="single" w:sz="8" w:space="0" w:color="auto"/>
            </w:tcBorders>
            <w:shd w:val="clear" w:color="auto" w:fill="auto"/>
            <w:noWrap/>
            <w:hideMark/>
          </w:tcPr>
          <w:p w:rsidR="00961D83" w:rsidRPr="00961D83" w:rsidRDefault="00961D83" w:rsidP="00961D83">
            <w:pPr>
              <w:spacing w:after="0" w:line="240" w:lineRule="auto"/>
              <w:rPr>
                <w:rFonts w:ascii="Arial" w:eastAsia="Times New Roman" w:hAnsi="Arial" w:cs="Arial"/>
                <w:color w:val="000000"/>
                <w:lang w:eastAsia="en-AU"/>
              </w:rPr>
            </w:pPr>
          </w:p>
        </w:tc>
      </w:tr>
      <w:tr w:rsidR="00961D83"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961D83" w:rsidRPr="00AD165E" w:rsidRDefault="00961D83" w:rsidP="00961D83">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3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961D83" w:rsidRPr="00961D83" w:rsidRDefault="00961D83" w:rsidP="00961D83">
            <w:pPr>
              <w:spacing w:after="0"/>
              <w:rPr>
                <w:rFonts w:ascii="Arial" w:hAnsi="Arial" w:cs="Arial"/>
              </w:rPr>
            </w:pPr>
            <w:r w:rsidRPr="00961D83">
              <w:rPr>
                <w:rFonts w:ascii="Arial" w:hAnsi="Arial" w:cs="Arial"/>
              </w:rPr>
              <w:t>21%</w:t>
            </w:r>
          </w:p>
        </w:tc>
        <w:tc>
          <w:tcPr>
            <w:tcW w:w="1276" w:type="dxa"/>
            <w:tcBorders>
              <w:top w:val="nil"/>
              <w:left w:val="nil"/>
              <w:bottom w:val="single" w:sz="4" w:space="0" w:color="auto"/>
              <w:right w:val="nil"/>
            </w:tcBorders>
            <w:shd w:val="clear" w:color="auto" w:fill="auto"/>
            <w:noWrap/>
            <w:vAlign w:val="center"/>
            <w:hideMark/>
          </w:tcPr>
          <w:p w:rsidR="00961D83" w:rsidRPr="00961D83" w:rsidRDefault="00961D83" w:rsidP="00961D83">
            <w:pPr>
              <w:spacing w:after="0"/>
              <w:rPr>
                <w:rFonts w:ascii="Arial" w:hAnsi="Arial" w:cs="Arial"/>
              </w:rPr>
            </w:pPr>
            <w:r w:rsidRPr="00961D83">
              <w:rPr>
                <w:rFonts w:ascii="Arial" w:hAnsi="Arial" w:cs="Arial"/>
              </w:rPr>
              <w:t>22%</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961D83" w:rsidRPr="00961D83" w:rsidRDefault="00961D83" w:rsidP="00961D83">
            <w:pPr>
              <w:spacing w:after="0"/>
              <w:rPr>
                <w:rFonts w:ascii="Arial" w:hAnsi="Arial" w:cs="Arial"/>
              </w:rPr>
            </w:pPr>
            <w:r w:rsidRPr="00961D83">
              <w:rPr>
                <w:rFonts w:ascii="Arial" w:hAnsi="Arial" w:cs="Arial"/>
              </w:rPr>
              <w:t>19%</w:t>
            </w:r>
          </w:p>
        </w:tc>
        <w:tc>
          <w:tcPr>
            <w:tcW w:w="1276" w:type="dxa"/>
            <w:tcBorders>
              <w:top w:val="nil"/>
              <w:left w:val="nil"/>
              <w:bottom w:val="single" w:sz="4" w:space="0" w:color="auto"/>
              <w:right w:val="nil"/>
            </w:tcBorders>
            <w:shd w:val="clear" w:color="auto" w:fill="auto"/>
            <w:noWrap/>
            <w:vAlign w:val="center"/>
            <w:hideMark/>
          </w:tcPr>
          <w:p w:rsidR="00961D83" w:rsidRPr="00961D83" w:rsidRDefault="00961D83" w:rsidP="00961D83">
            <w:pPr>
              <w:spacing w:after="0"/>
              <w:rPr>
                <w:rFonts w:ascii="Arial" w:hAnsi="Arial" w:cs="Arial"/>
              </w:rPr>
            </w:pPr>
            <w:r w:rsidRPr="00961D83">
              <w:rPr>
                <w:rFonts w:ascii="Arial" w:hAnsi="Arial" w:cs="Arial"/>
              </w:rPr>
              <w:t>22%</w:t>
            </w:r>
          </w:p>
        </w:tc>
        <w:tc>
          <w:tcPr>
            <w:tcW w:w="1275" w:type="dxa"/>
            <w:tcBorders>
              <w:top w:val="nil"/>
              <w:left w:val="single" w:sz="8" w:space="0" w:color="auto"/>
              <w:bottom w:val="single" w:sz="4" w:space="0" w:color="auto"/>
              <w:right w:val="single" w:sz="8" w:space="0" w:color="auto"/>
            </w:tcBorders>
            <w:shd w:val="clear" w:color="auto" w:fill="auto"/>
            <w:noWrap/>
            <w:hideMark/>
          </w:tcPr>
          <w:p w:rsidR="00961D83" w:rsidRPr="00961D83" w:rsidRDefault="00961D83" w:rsidP="00961D83">
            <w:pPr>
              <w:spacing w:after="0" w:line="240" w:lineRule="auto"/>
              <w:rPr>
                <w:rFonts w:ascii="Arial" w:eastAsia="Times New Roman" w:hAnsi="Arial" w:cs="Arial"/>
                <w:color w:val="000000"/>
                <w:lang w:eastAsia="en-AU"/>
              </w:rPr>
            </w:pPr>
          </w:p>
        </w:tc>
        <w:tc>
          <w:tcPr>
            <w:tcW w:w="1276" w:type="dxa"/>
            <w:tcBorders>
              <w:top w:val="nil"/>
              <w:left w:val="nil"/>
              <w:bottom w:val="single" w:sz="4" w:space="0" w:color="auto"/>
              <w:right w:val="single" w:sz="8" w:space="0" w:color="auto"/>
            </w:tcBorders>
            <w:shd w:val="clear" w:color="auto" w:fill="auto"/>
            <w:noWrap/>
            <w:vAlign w:val="bottom"/>
            <w:hideMark/>
          </w:tcPr>
          <w:p w:rsidR="00961D83" w:rsidRPr="00961D83" w:rsidRDefault="00961D83" w:rsidP="00961D83">
            <w:pPr>
              <w:spacing w:after="0" w:line="240" w:lineRule="auto"/>
              <w:rPr>
                <w:rFonts w:ascii="Arial" w:eastAsia="Times New Roman" w:hAnsi="Arial" w:cs="Arial"/>
                <w:color w:val="000000"/>
                <w:lang w:eastAsia="en-AU"/>
              </w:rPr>
            </w:pPr>
          </w:p>
        </w:tc>
      </w:tr>
      <w:tr w:rsidR="00961D83"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961D83" w:rsidRPr="00AD165E" w:rsidRDefault="00961D83" w:rsidP="00961D83">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2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961D83" w:rsidRPr="00961D83" w:rsidRDefault="00961D83" w:rsidP="00961D83">
            <w:pPr>
              <w:spacing w:after="0"/>
              <w:rPr>
                <w:rFonts w:ascii="Arial" w:hAnsi="Arial" w:cs="Arial"/>
              </w:rPr>
            </w:pPr>
            <w:r w:rsidRPr="00961D83">
              <w:rPr>
                <w:rFonts w:ascii="Arial" w:hAnsi="Arial" w:cs="Arial"/>
              </w:rPr>
              <w:t>19%</w:t>
            </w:r>
          </w:p>
        </w:tc>
        <w:tc>
          <w:tcPr>
            <w:tcW w:w="1276" w:type="dxa"/>
            <w:tcBorders>
              <w:top w:val="nil"/>
              <w:left w:val="nil"/>
              <w:bottom w:val="single" w:sz="4" w:space="0" w:color="auto"/>
              <w:right w:val="nil"/>
            </w:tcBorders>
            <w:shd w:val="clear" w:color="auto" w:fill="auto"/>
            <w:noWrap/>
            <w:vAlign w:val="center"/>
            <w:hideMark/>
          </w:tcPr>
          <w:p w:rsidR="00961D83" w:rsidRPr="00961D83" w:rsidRDefault="00961D83" w:rsidP="00961D83">
            <w:pPr>
              <w:spacing w:after="0"/>
              <w:rPr>
                <w:rFonts w:ascii="Arial" w:hAnsi="Arial" w:cs="Arial"/>
              </w:rPr>
            </w:pPr>
            <w:r w:rsidRPr="00961D83">
              <w:rPr>
                <w:rFonts w:ascii="Arial" w:hAnsi="Arial" w:cs="Arial"/>
              </w:rPr>
              <w:t>19%</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961D83" w:rsidRPr="00961D83" w:rsidRDefault="00961D83" w:rsidP="00961D83">
            <w:pPr>
              <w:spacing w:after="0"/>
              <w:rPr>
                <w:rFonts w:ascii="Arial" w:hAnsi="Arial" w:cs="Arial"/>
              </w:rPr>
            </w:pPr>
            <w:r w:rsidRPr="00961D83">
              <w:rPr>
                <w:rFonts w:ascii="Arial" w:hAnsi="Arial" w:cs="Arial"/>
              </w:rPr>
              <w:t>20%</w:t>
            </w:r>
          </w:p>
        </w:tc>
        <w:tc>
          <w:tcPr>
            <w:tcW w:w="1276" w:type="dxa"/>
            <w:tcBorders>
              <w:top w:val="nil"/>
              <w:left w:val="nil"/>
              <w:bottom w:val="single" w:sz="4" w:space="0" w:color="auto"/>
              <w:right w:val="nil"/>
            </w:tcBorders>
            <w:shd w:val="clear" w:color="auto" w:fill="auto"/>
            <w:noWrap/>
            <w:hideMark/>
          </w:tcPr>
          <w:p w:rsidR="00961D83" w:rsidRPr="00961D83" w:rsidRDefault="00961D83" w:rsidP="00961D83">
            <w:pPr>
              <w:spacing w:after="0" w:line="240" w:lineRule="auto"/>
              <w:rPr>
                <w:rFonts w:ascii="Arial" w:eastAsia="Times New Roman" w:hAnsi="Arial" w:cs="Arial"/>
                <w:color w:val="000000"/>
                <w:lang w:eastAsia="en-AU"/>
              </w:rPr>
            </w:pP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961D83" w:rsidRPr="00961D83" w:rsidRDefault="00961D83" w:rsidP="00961D83">
            <w:pPr>
              <w:spacing w:after="0" w:line="240" w:lineRule="auto"/>
              <w:rPr>
                <w:rFonts w:ascii="Arial" w:eastAsia="Times New Roman" w:hAnsi="Arial" w:cs="Arial"/>
                <w:color w:val="000000"/>
                <w:lang w:eastAsia="en-AU"/>
              </w:rPr>
            </w:pPr>
          </w:p>
        </w:tc>
        <w:tc>
          <w:tcPr>
            <w:tcW w:w="1276" w:type="dxa"/>
            <w:tcBorders>
              <w:top w:val="nil"/>
              <w:left w:val="nil"/>
              <w:bottom w:val="single" w:sz="4" w:space="0" w:color="auto"/>
              <w:right w:val="single" w:sz="8" w:space="0" w:color="auto"/>
            </w:tcBorders>
            <w:shd w:val="clear" w:color="auto" w:fill="auto"/>
            <w:noWrap/>
            <w:vAlign w:val="center"/>
            <w:hideMark/>
          </w:tcPr>
          <w:p w:rsidR="00961D83" w:rsidRPr="00961D83" w:rsidRDefault="00961D83" w:rsidP="00961D83">
            <w:pPr>
              <w:spacing w:after="0" w:line="240" w:lineRule="auto"/>
              <w:rPr>
                <w:rFonts w:ascii="Arial" w:eastAsia="Times New Roman" w:hAnsi="Arial" w:cs="Arial"/>
                <w:color w:val="000000"/>
                <w:lang w:eastAsia="en-AU"/>
              </w:rPr>
            </w:pPr>
          </w:p>
        </w:tc>
      </w:tr>
      <w:tr w:rsidR="00961D83" w:rsidRPr="00AD165E" w:rsidTr="00632614">
        <w:trPr>
          <w:trHeight w:val="285"/>
        </w:trPr>
        <w:tc>
          <w:tcPr>
            <w:tcW w:w="1500" w:type="dxa"/>
            <w:tcBorders>
              <w:top w:val="nil"/>
              <w:left w:val="single" w:sz="8" w:space="0" w:color="auto"/>
              <w:bottom w:val="single" w:sz="8" w:space="0" w:color="auto"/>
              <w:right w:val="nil"/>
            </w:tcBorders>
            <w:shd w:val="clear" w:color="auto" w:fill="auto"/>
            <w:noWrap/>
            <w:vAlign w:val="bottom"/>
            <w:hideMark/>
          </w:tcPr>
          <w:p w:rsidR="00961D83" w:rsidRPr="00AD165E" w:rsidRDefault="00961D83" w:rsidP="00961D83">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1 year</w:t>
            </w:r>
          </w:p>
        </w:tc>
        <w:tc>
          <w:tcPr>
            <w:tcW w:w="1325" w:type="dxa"/>
            <w:tcBorders>
              <w:top w:val="nil"/>
              <w:left w:val="single" w:sz="8" w:space="0" w:color="auto"/>
              <w:bottom w:val="single" w:sz="8" w:space="0" w:color="auto"/>
              <w:right w:val="single" w:sz="8" w:space="0" w:color="auto"/>
            </w:tcBorders>
            <w:shd w:val="clear" w:color="auto" w:fill="auto"/>
            <w:noWrap/>
            <w:vAlign w:val="center"/>
            <w:hideMark/>
          </w:tcPr>
          <w:p w:rsidR="00961D83" w:rsidRPr="00961D83" w:rsidRDefault="00961D83" w:rsidP="00961D83">
            <w:pPr>
              <w:spacing w:after="0"/>
              <w:rPr>
                <w:rFonts w:ascii="Arial" w:hAnsi="Arial" w:cs="Arial"/>
              </w:rPr>
            </w:pPr>
            <w:r w:rsidRPr="00961D83">
              <w:rPr>
                <w:rFonts w:ascii="Arial" w:hAnsi="Arial" w:cs="Arial"/>
              </w:rPr>
              <w:t>19%</w:t>
            </w:r>
          </w:p>
        </w:tc>
        <w:tc>
          <w:tcPr>
            <w:tcW w:w="1276" w:type="dxa"/>
            <w:tcBorders>
              <w:top w:val="nil"/>
              <w:left w:val="nil"/>
              <w:bottom w:val="single" w:sz="8" w:space="0" w:color="auto"/>
              <w:right w:val="nil"/>
            </w:tcBorders>
            <w:shd w:val="clear" w:color="auto" w:fill="auto"/>
            <w:noWrap/>
            <w:vAlign w:val="center"/>
            <w:hideMark/>
          </w:tcPr>
          <w:p w:rsidR="00961D83" w:rsidRPr="00961D83" w:rsidRDefault="00961D83" w:rsidP="00961D83">
            <w:pPr>
              <w:spacing w:after="0"/>
              <w:rPr>
                <w:rFonts w:ascii="Arial" w:hAnsi="Arial" w:cs="Arial"/>
              </w:rPr>
            </w:pPr>
            <w:r w:rsidRPr="00961D83">
              <w:rPr>
                <w:rFonts w:ascii="Arial" w:hAnsi="Arial" w:cs="Arial"/>
              </w:rPr>
              <w:t>20%</w:t>
            </w:r>
          </w:p>
        </w:tc>
        <w:tc>
          <w:tcPr>
            <w:tcW w:w="1276" w:type="dxa"/>
            <w:tcBorders>
              <w:top w:val="nil"/>
              <w:left w:val="single" w:sz="8" w:space="0" w:color="auto"/>
              <w:bottom w:val="single" w:sz="8" w:space="0" w:color="auto"/>
              <w:right w:val="single" w:sz="8" w:space="0" w:color="auto"/>
            </w:tcBorders>
            <w:shd w:val="clear" w:color="auto" w:fill="auto"/>
            <w:noWrap/>
            <w:hideMark/>
          </w:tcPr>
          <w:p w:rsidR="00961D83" w:rsidRPr="00961D83" w:rsidRDefault="00961D83" w:rsidP="00961D83">
            <w:pPr>
              <w:spacing w:after="0" w:line="240" w:lineRule="auto"/>
              <w:rPr>
                <w:rFonts w:ascii="Arial" w:eastAsia="Times New Roman" w:hAnsi="Arial" w:cs="Arial"/>
                <w:color w:val="000000"/>
                <w:lang w:eastAsia="en-AU"/>
              </w:rPr>
            </w:pPr>
          </w:p>
        </w:tc>
        <w:tc>
          <w:tcPr>
            <w:tcW w:w="1276" w:type="dxa"/>
            <w:tcBorders>
              <w:top w:val="nil"/>
              <w:left w:val="nil"/>
              <w:bottom w:val="single" w:sz="8" w:space="0" w:color="auto"/>
              <w:right w:val="nil"/>
            </w:tcBorders>
            <w:shd w:val="clear" w:color="auto" w:fill="auto"/>
            <w:noWrap/>
            <w:vAlign w:val="center"/>
            <w:hideMark/>
          </w:tcPr>
          <w:p w:rsidR="00961D83" w:rsidRPr="00961D83" w:rsidRDefault="00961D83" w:rsidP="00961D83">
            <w:pPr>
              <w:spacing w:after="0" w:line="240" w:lineRule="auto"/>
              <w:rPr>
                <w:rFonts w:ascii="Arial" w:eastAsia="Times New Roman" w:hAnsi="Arial" w:cs="Arial"/>
                <w:color w:val="000000"/>
                <w:lang w:eastAsia="en-AU"/>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rsidR="00961D83" w:rsidRPr="00961D83" w:rsidRDefault="00961D83" w:rsidP="00961D83">
            <w:pPr>
              <w:spacing w:after="0" w:line="240" w:lineRule="auto"/>
              <w:rPr>
                <w:rFonts w:ascii="Arial" w:eastAsia="Times New Roman" w:hAnsi="Arial" w:cs="Arial"/>
                <w:color w:val="000000"/>
                <w:lang w:eastAsia="en-AU"/>
              </w:rPr>
            </w:pPr>
          </w:p>
        </w:tc>
        <w:tc>
          <w:tcPr>
            <w:tcW w:w="1276" w:type="dxa"/>
            <w:tcBorders>
              <w:top w:val="nil"/>
              <w:left w:val="nil"/>
              <w:bottom w:val="single" w:sz="8" w:space="0" w:color="auto"/>
              <w:right w:val="single" w:sz="8" w:space="0" w:color="auto"/>
            </w:tcBorders>
            <w:shd w:val="clear" w:color="auto" w:fill="auto"/>
            <w:noWrap/>
            <w:hideMark/>
          </w:tcPr>
          <w:p w:rsidR="00961D83" w:rsidRPr="00961D83" w:rsidRDefault="00961D83" w:rsidP="00961D83">
            <w:pPr>
              <w:spacing w:after="0" w:line="240" w:lineRule="auto"/>
              <w:rPr>
                <w:rFonts w:ascii="Arial" w:eastAsia="Times New Roman" w:hAnsi="Arial" w:cs="Arial"/>
                <w:color w:val="000000"/>
                <w:lang w:eastAsia="en-AU"/>
              </w:rPr>
            </w:pPr>
          </w:p>
        </w:tc>
      </w:tr>
    </w:tbl>
    <w:p w:rsidR="00550D6D" w:rsidRDefault="00550D6D" w:rsidP="00412BE9">
      <w:pPr>
        <w:spacing w:after="240"/>
        <w:rPr>
          <w:rFonts w:cstheme="minorHAnsi"/>
        </w:rPr>
      </w:pPr>
    </w:p>
    <w:p w:rsidR="00B83265" w:rsidRDefault="0080201D" w:rsidP="00B83265">
      <w:pPr>
        <w:spacing w:after="240"/>
        <w:rPr>
          <w:rFonts w:cstheme="minorHAnsi"/>
        </w:rPr>
      </w:pPr>
      <w:r>
        <w:rPr>
          <w:rFonts w:cstheme="minorHAnsi"/>
        </w:rPr>
        <w:t>Footnote 1</w:t>
      </w:r>
      <w:r w:rsidR="008E1F90">
        <w:rPr>
          <w:rFonts w:cstheme="minorHAnsi"/>
        </w:rPr>
        <w:t xml:space="preserve">: </w:t>
      </w:r>
      <w:r w:rsidR="00B83265" w:rsidRPr="00B8176E">
        <w:rPr>
          <w:rFonts w:cstheme="minorHAnsi"/>
        </w:rPr>
        <w:t xml:space="preserve">For more information on employment outcomes, see </w:t>
      </w:r>
      <w:hyperlink r:id="rId8" w:history="1">
        <w:r w:rsidR="00B83265" w:rsidRPr="004F2DA1">
          <w:rPr>
            <w:rStyle w:val="Hyperlink"/>
            <w:rFonts w:cstheme="minorHAnsi"/>
          </w:rPr>
          <w:t>https://data.ndis.gov.au/reports-and-analyses/outcomes-and-goals/employment-outcomes-participants-their-families-and-carers</w:t>
        </w:r>
      </w:hyperlink>
      <w:r w:rsidR="00B83265">
        <w:rPr>
          <w:rFonts w:cstheme="minorHAnsi"/>
        </w:rPr>
        <w:t>.</w:t>
      </w:r>
    </w:p>
    <w:p w:rsidR="00B83265" w:rsidRPr="002817DE" w:rsidRDefault="00B83265" w:rsidP="002817DE">
      <w:pPr>
        <w:pStyle w:val="Heading2"/>
      </w:pPr>
      <w:bookmarkStart w:id="74" w:name="_Toc121151446"/>
      <w:r w:rsidRPr="002817DE">
        <w:t>Slide 64: Participants aged 15 and over – Employment</w:t>
      </w:r>
      <w:r w:rsidR="008E1F90">
        <w:t xml:space="preserve"> (</w:t>
      </w:r>
      <w:r w:rsidR="0080201D">
        <w:t>Footnote 1</w:t>
      </w:r>
      <w:r w:rsidR="008E1F90">
        <w:t>)</w:t>
      </w:r>
      <w:bookmarkEnd w:id="74"/>
    </w:p>
    <w:p w:rsidR="00B83265" w:rsidRPr="00B8176E" w:rsidRDefault="00B83265" w:rsidP="00B83265">
      <w:pPr>
        <w:spacing w:after="240"/>
        <w:rPr>
          <w:b/>
        </w:rPr>
      </w:pPr>
      <w:r>
        <w:rPr>
          <w:b/>
        </w:rPr>
        <w:t xml:space="preserve">Of those in a paid job, </w:t>
      </w:r>
      <w:r w:rsidRPr="00B8176E">
        <w:rPr>
          <w:b/>
        </w:rPr>
        <w:t xml:space="preserve">% </w:t>
      </w:r>
      <w:r>
        <w:rPr>
          <w:b/>
        </w:rPr>
        <w:t>working 15 hours or more per week</w:t>
      </w:r>
    </w:p>
    <w:p w:rsidR="00B83265" w:rsidRDefault="00B83265" w:rsidP="00B83265">
      <w:pPr>
        <w:spacing w:after="240"/>
      </w:pPr>
      <w:r>
        <w:t>The percentage working 15 or more hours per week (for those with a paid job) shows an increasing trend. For example, for cohort 5, the percentage increased from 64.8% at baseline to 69.5% at fifth review.</w:t>
      </w:r>
    </w:p>
    <w:p w:rsidR="00B83265" w:rsidRDefault="00B83265" w:rsidP="00B83265">
      <w:pPr>
        <w:spacing w:after="240"/>
      </w:pPr>
      <w:r>
        <w:lastRenderedPageBreak/>
        <w:t>While most age groups improved on this indicator over time, the 15-24 age group had the largest change, with increases of between 17.1 and 30.1 percentage points depending on cohort, likely reflecting the transition from school to work. For participants in the Scheme five years, there was an increase from 24.6% at baseline to 54.6% at fifth review.</w:t>
      </w:r>
    </w:p>
    <w:p w:rsidR="00B83265" w:rsidRDefault="00B83265" w:rsidP="00B83265">
      <w:pPr>
        <w:spacing w:after="240"/>
      </w:pPr>
      <w:r>
        <w:t>The S-14/15-24 also had large increases for cohorts 1 and 2 – 19.5 and 29.9 percentage points, respectively. However, the overall percentage of participants in this age group working 15 hours or more per week was low (34.5% at third review, C3). Many of these participants will still be at school.</w:t>
      </w:r>
    </w:p>
    <w:p w:rsidR="00B83265" w:rsidRDefault="00B83265" w:rsidP="00B83265">
      <w:pPr>
        <w:spacing w:after="240"/>
      </w:pPr>
      <w:r>
        <w:t>The 25+ age group reports the highest percentages of participants working 15 hours or more per week and these remain fairly stable over time. For those in the Scheme five years, the percentage working 15 hours or more per week at fifth review was 72.9%, compared to 72.3% at baseline.</w:t>
      </w:r>
    </w:p>
    <w:p w:rsidR="00412BE9" w:rsidRDefault="00B83265" w:rsidP="00412BE9">
      <w:pPr>
        <w:spacing w:after="240"/>
        <w:rPr>
          <w:rFonts w:cstheme="minorHAnsi"/>
        </w:rPr>
      </w:pPr>
      <w:r>
        <w:rPr>
          <w:rFonts w:cstheme="minorHAnsi"/>
        </w:rPr>
        <w:t xml:space="preserve">Five charts shows </w:t>
      </w:r>
      <w:r w:rsidRPr="00AD4C8D">
        <w:rPr>
          <w:rFonts w:cstheme="minorHAnsi"/>
        </w:rPr>
        <w:t xml:space="preserve">the percentage </w:t>
      </w:r>
      <w:r w:rsidRPr="00B8176E">
        <w:rPr>
          <w:rFonts w:cstheme="minorHAnsi"/>
        </w:rPr>
        <w:t xml:space="preserve">who </w:t>
      </w:r>
      <w:r>
        <w:rPr>
          <w:rFonts w:cstheme="minorHAnsi"/>
        </w:rPr>
        <w:t>are working 15 hours or more per week (of those in a paid job)</w:t>
      </w:r>
      <w:r w:rsidRPr="00B8176E">
        <w:rPr>
          <w:rFonts w:cstheme="minorHAnsi"/>
        </w:rPr>
        <w:t xml:space="preserve"> </w:t>
      </w:r>
      <w:r w:rsidRPr="00AD4C8D">
        <w:rPr>
          <w:rFonts w:cstheme="minorHAnsi"/>
        </w:rPr>
        <w:t>at baseline and at subsequent reviews</w:t>
      </w:r>
      <w:r w:rsidR="00412BE9" w:rsidRPr="00715092">
        <w:rPr>
          <w:rFonts w:cstheme="minorHAnsi"/>
        </w:rPr>
        <w:t xml:space="preserve">, separately for participants in the </w:t>
      </w:r>
      <w:r w:rsidR="00412BE9">
        <w:rPr>
          <w:rFonts w:cstheme="minorHAnsi"/>
        </w:rPr>
        <w:t xml:space="preserve">five years, </w:t>
      </w:r>
      <w:r w:rsidR="00412BE9" w:rsidRPr="00715092">
        <w:rPr>
          <w:rFonts w:cstheme="minorHAnsi"/>
        </w:rPr>
        <w:t>four years, three years, two years or one year</w:t>
      </w:r>
      <w:r w:rsidR="00412BE9">
        <w:rPr>
          <w:rFonts w:cstheme="minorHAnsi"/>
        </w:rPr>
        <w:t xml:space="preserve"> cohorts</w:t>
      </w:r>
      <w:r w:rsidR="00412BE9" w:rsidRPr="00715092">
        <w:rPr>
          <w:rFonts w:cstheme="minorHAnsi"/>
        </w:rPr>
        <w:t>.</w:t>
      </w:r>
      <w:r w:rsidR="00412BE9">
        <w:rPr>
          <w:rFonts w:cstheme="minorHAnsi"/>
        </w:rPr>
        <w:t xml:space="preserve"> Separate lines on each chart show results for all participants, and for participants in the S-14/15-24, 15-24, 15-24/25+ and 25+ age groups.</w:t>
      </w:r>
    </w:p>
    <w:p w:rsidR="00412BE9" w:rsidRDefault="00412BE9" w:rsidP="00412BE9">
      <w:pPr>
        <w:spacing w:after="240"/>
        <w:rPr>
          <w:rFonts w:cstheme="minorHAnsi"/>
        </w:rPr>
      </w:pPr>
      <w:r>
        <w:rPr>
          <w:rFonts w:cstheme="minorHAnsi"/>
        </w:rPr>
        <w:t>For PSto14, analysed by time since first in P15to24, otherwise by time in Scheme.</w:t>
      </w:r>
    </w:p>
    <w:p w:rsidR="00412BE9" w:rsidRDefault="009856F4" w:rsidP="00412BE9">
      <w:pPr>
        <w:spacing w:after="240"/>
        <w:rPr>
          <w:rFonts w:cstheme="minorHAnsi"/>
        </w:rPr>
      </w:pPr>
      <w:r>
        <w:rPr>
          <w:rFonts w:cstheme="minorHAnsi"/>
        </w:rPr>
        <w:t>There was no material change in this indicator overall.</w:t>
      </w:r>
    </w:p>
    <w:p w:rsidR="00412BE9" w:rsidRDefault="00412BE9" w:rsidP="00412BE9">
      <w:pPr>
        <w:spacing w:after="240"/>
        <w:rPr>
          <w:rFonts w:cstheme="minorHAnsi"/>
        </w:rPr>
      </w:pPr>
      <w:r>
        <w:rPr>
          <w:rFonts w:cstheme="minorHAnsi"/>
        </w:rPr>
        <w:t>Results for all participants are labelled on the charts:</w:t>
      </w:r>
    </w:p>
    <w:tbl>
      <w:tblPr>
        <w:tblW w:w="9204" w:type="dxa"/>
        <w:tblLook w:val="04A0" w:firstRow="1" w:lastRow="0" w:firstColumn="1" w:lastColumn="0" w:noHBand="0" w:noVBand="1"/>
      </w:tblPr>
      <w:tblGrid>
        <w:gridCol w:w="1500"/>
        <w:gridCol w:w="1325"/>
        <w:gridCol w:w="1276"/>
        <w:gridCol w:w="1276"/>
        <w:gridCol w:w="1276"/>
        <w:gridCol w:w="1275"/>
        <w:gridCol w:w="1276"/>
      </w:tblGrid>
      <w:tr w:rsidR="00550D6D" w:rsidRPr="00AD165E" w:rsidTr="00632614">
        <w:trPr>
          <w:trHeight w:val="285"/>
        </w:trPr>
        <w:tc>
          <w:tcPr>
            <w:tcW w:w="1500" w:type="dxa"/>
            <w:tcBorders>
              <w:top w:val="single" w:sz="8" w:space="0" w:color="auto"/>
              <w:left w:val="single" w:sz="8" w:space="0" w:color="auto"/>
              <w:bottom w:val="single" w:sz="8" w:space="0" w:color="auto"/>
              <w:right w:val="nil"/>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Cohort</w:t>
            </w:r>
          </w:p>
        </w:tc>
        <w:tc>
          <w:tcPr>
            <w:tcW w:w="13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B</w:t>
            </w:r>
            <w:r>
              <w:rPr>
                <w:rFonts w:ascii="Arial" w:eastAsia="Times New Roman" w:hAnsi="Arial" w:cs="Arial"/>
                <w:b/>
                <w:bCs/>
                <w:color w:val="000000"/>
                <w:lang w:eastAsia="en-AU"/>
              </w:rPr>
              <w:t>aseline</w:t>
            </w:r>
          </w:p>
        </w:tc>
        <w:tc>
          <w:tcPr>
            <w:tcW w:w="1276" w:type="dxa"/>
            <w:tcBorders>
              <w:top w:val="single" w:sz="8" w:space="0" w:color="auto"/>
              <w:left w:val="nil"/>
              <w:bottom w:val="single" w:sz="8" w:space="0" w:color="auto"/>
              <w:right w:val="nil"/>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1</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2</w:t>
            </w:r>
          </w:p>
        </w:tc>
        <w:tc>
          <w:tcPr>
            <w:tcW w:w="1276" w:type="dxa"/>
            <w:tcBorders>
              <w:top w:val="single" w:sz="8" w:space="0" w:color="auto"/>
              <w:left w:val="nil"/>
              <w:bottom w:val="single" w:sz="8" w:space="0" w:color="auto"/>
              <w:right w:val="nil"/>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3</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4</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5</w:t>
            </w:r>
          </w:p>
        </w:tc>
      </w:tr>
      <w:tr w:rsidR="009856F4"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9856F4" w:rsidRPr="00AD165E" w:rsidRDefault="009856F4" w:rsidP="009856F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5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9856F4" w:rsidRPr="009856F4" w:rsidRDefault="009856F4" w:rsidP="009856F4">
            <w:pPr>
              <w:spacing w:after="0"/>
              <w:rPr>
                <w:rFonts w:ascii="Arial" w:hAnsi="Arial" w:cs="Arial"/>
              </w:rPr>
            </w:pPr>
            <w:r w:rsidRPr="009856F4">
              <w:rPr>
                <w:rFonts w:ascii="Arial" w:hAnsi="Arial" w:cs="Arial"/>
              </w:rPr>
              <w:t>65%</w:t>
            </w:r>
          </w:p>
        </w:tc>
        <w:tc>
          <w:tcPr>
            <w:tcW w:w="1276" w:type="dxa"/>
            <w:tcBorders>
              <w:top w:val="nil"/>
              <w:left w:val="nil"/>
              <w:bottom w:val="single" w:sz="4" w:space="0" w:color="auto"/>
              <w:right w:val="nil"/>
            </w:tcBorders>
            <w:shd w:val="clear" w:color="auto" w:fill="auto"/>
            <w:noWrap/>
            <w:vAlign w:val="center"/>
            <w:hideMark/>
          </w:tcPr>
          <w:p w:rsidR="009856F4" w:rsidRPr="009856F4" w:rsidRDefault="009856F4" w:rsidP="009856F4">
            <w:pPr>
              <w:spacing w:after="0"/>
              <w:rPr>
                <w:rFonts w:ascii="Arial" w:hAnsi="Arial" w:cs="Arial"/>
              </w:rPr>
            </w:pPr>
            <w:r w:rsidRPr="009856F4">
              <w:rPr>
                <w:rFonts w:ascii="Arial" w:hAnsi="Arial" w:cs="Arial"/>
              </w:rPr>
              <w:t>69%</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9856F4" w:rsidRPr="009856F4" w:rsidRDefault="009856F4" w:rsidP="009856F4">
            <w:pPr>
              <w:spacing w:after="0"/>
              <w:rPr>
                <w:rFonts w:ascii="Arial" w:hAnsi="Arial" w:cs="Arial"/>
              </w:rPr>
            </w:pPr>
            <w:r w:rsidRPr="009856F4">
              <w:rPr>
                <w:rFonts w:ascii="Arial" w:hAnsi="Arial" w:cs="Arial"/>
              </w:rPr>
              <w:t>68%</w:t>
            </w:r>
          </w:p>
        </w:tc>
        <w:tc>
          <w:tcPr>
            <w:tcW w:w="1276" w:type="dxa"/>
            <w:tcBorders>
              <w:top w:val="nil"/>
              <w:left w:val="nil"/>
              <w:bottom w:val="single" w:sz="4" w:space="0" w:color="auto"/>
              <w:right w:val="nil"/>
            </w:tcBorders>
            <w:shd w:val="clear" w:color="auto" w:fill="auto"/>
            <w:noWrap/>
            <w:vAlign w:val="center"/>
            <w:hideMark/>
          </w:tcPr>
          <w:p w:rsidR="009856F4" w:rsidRPr="009856F4" w:rsidRDefault="009856F4" w:rsidP="009856F4">
            <w:pPr>
              <w:spacing w:after="0"/>
              <w:rPr>
                <w:rFonts w:ascii="Arial" w:hAnsi="Arial" w:cs="Arial"/>
              </w:rPr>
            </w:pPr>
            <w:r w:rsidRPr="009856F4">
              <w:rPr>
                <w:rFonts w:ascii="Arial" w:hAnsi="Arial" w:cs="Arial"/>
              </w:rPr>
              <w:t>71%</w:t>
            </w: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9856F4" w:rsidRPr="009856F4" w:rsidRDefault="009856F4" w:rsidP="009856F4">
            <w:pPr>
              <w:spacing w:after="0"/>
              <w:rPr>
                <w:rFonts w:ascii="Arial" w:hAnsi="Arial" w:cs="Arial"/>
              </w:rPr>
            </w:pPr>
            <w:r w:rsidRPr="009856F4">
              <w:rPr>
                <w:rFonts w:ascii="Arial" w:hAnsi="Arial" w:cs="Arial"/>
              </w:rPr>
              <w:t>69%</w:t>
            </w:r>
          </w:p>
        </w:tc>
        <w:tc>
          <w:tcPr>
            <w:tcW w:w="1276" w:type="dxa"/>
            <w:tcBorders>
              <w:top w:val="nil"/>
              <w:left w:val="nil"/>
              <w:bottom w:val="single" w:sz="4" w:space="0" w:color="auto"/>
              <w:right w:val="single" w:sz="8" w:space="0" w:color="auto"/>
            </w:tcBorders>
            <w:shd w:val="clear" w:color="auto" w:fill="auto"/>
            <w:noWrap/>
            <w:vAlign w:val="center"/>
            <w:hideMark/>
          </w:tcPr>
          <w:p w:rsidR="009856F4" w:rsidRPr="009856F4" w:rsidRDefault="009856F4" w:rsidP="009856F4">
            <w:pPr>
              <w:spacing w:after="0"/>
              <w:rPr>
                <w:rFonts w:ascii="Arial" w:hAnsi="Arial" w:cs="Arial"/>
              </w:rPr>
            </w:pPr>
            <w:r w:rsidRPr="009856F4">
              <w:rPr>
                <w:rFonts w:ascii="Arial" w:hAnsi="Arial" w:cs="Arial"/>
              </w:rPr>
              <w:t>70%</w:t>
            </w:r>
          </w:p>
        </w:tc>
      </w:tr>
      <w:tr w:rsidR="009856F4"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9856F4" w:rsidRPr="00AD165E" w:rsidRDefault="009856F4" w:rsidP="009856F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4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9856F4" w:rsidRPr="009856F4" w:rsidRDefault="009856F4" w:rsidP="009856F4">
            <w:pPr>
              <w:spacing w:after="0"/>
              <w:rPr>
                <w:rFonts w:ascii="Arial" w:hAnsi="Arial" w:cs="Arial"/>
              </w:rPr>
            </w:pPr>
            <w:r w:rsidRPr="009856F4">
              <w:rPr>
                <w:rFonts w:ascii="Arial" w:hAnsi="Arial" w:cs="Arial"/>
              </w:rPr>
              <w:t>66%</w:t>
            </w:r>
          </w:p>
        </w:tc>
        <w:tc>
          <w:tcPr>
            <w:tcW w:w="1276" w:type="dxa"/>
            <w:tcBorders>
              <w:top w:val="nil"/>
              <w:left w:val="nil"/>
              <w:bottom w:val="single" w:sz="4" w:space="0" w:color="auto"/>
              <w:right w:val="nil"/>
            </w:tcBorders>
            <w:shd w:val="clear" w:color="auto" w:fill="auto"/>
            <w:noWrap/>
            <w:vAlign w:val="center"/>
            <w:hideMark/>
          </w:tcPr>
          <w:p w:rsidR="009856F4" w:rsidRPr="009856F4" w:rsidRDefault="009856F4" w:rsidP="009856F4">
            <w:pPr>
              <w:spacing w:after="0"/>
              <w:rPr>
                <w:rFonts w:ascii="Arial" w:hAnsi="Arial" w:cs="Arial"/>
              </w:rPr>
            </w:pPr>
            <w:r w:rsidRPr="009856F4">
              <w:rPr>
                <w:rFonts w:ascii="Arial" w:hAnsi="Arial" w:cs="Arial"/>
              </w:rPr>
              <w:t>70%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9856F4" w:rsidRPr="009856F4" w:rsidRDefault="009856F4" w:rsidP="009856F4">
            <w:pPr>
              <w:spacing w:after="0"/>
              <w:rPr>
                <w:rFonts w:ascii="Arial" w:hAnsi="Arial" w:cs="Arial"/>
              </w:rPr>
            </w:pPr>
            <w:r w:rsidRPr="009856F4">
              <w:rPr>
                <w:rFonts w:ascii="Arial" w:hAnsi="Arial" w:cs="Arial"/>
              </w:rPr>
              <w:t>70%</w:t>
            </w:r>
          </w:p>
        </w:tc>
        <w:tc>
          <w:tcPr>
            <w:tcW w:w="1276" w:type="dxa"/>
            <w:tcBorders>
              <w:top w:val="nil"/>
              <w:left w:val="nil"/>
              <w:bottom w:val="single" w:sz="4" w:space="0" w:color="auto"/>
              <w:right w:val="nil"/>
            </w:tcBorders>
            <w:shd w:val="clear" w:color="auto" w:fill="auto"/>
            <w:noWrap/>
            <w:vAlign w:val="center"/>
            <w:hideMark/>
          </w:tcPr>
          <w:p w:rsidR="009856F4" w:rsidRPr="009856F4" w:rsidRDefault="009856F4" w:rsidP="009856F4">
            <w:pPr>
              <w:spacing w:after="0"/>
              <w:rPr>
                <w:rFonts w:ascii="Arial" w:hAnsi="Arial" w:cs="Arial"/>
              </w:rPr>
            </w:pPr>
            <w:r w:rsidRPr="009856F4">
              <w:rPr>
                <w:rFonts w:ascii="Arial" w:hAnsi="Arial" w:cs="Arial"/>
              </w:rPr>
              <w:t>70%</w:t>
            </w: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9856F4" w:rsidRPr="009856F4" w:rsidRDefault="009856F4" w:rsidP="009856F4">
            <w:pPr>
              <w:spacing w:after="0"/>
              <w:rPr>
                <w:rFonts w:ascii="Arial" w:hAnsi="Arial" w:cs="Arial"/>
              </w:rPr>
            </w:pPr>
            <w:r w:rsidRPr="009856F4">
              <w:rPr>
                <w:rFonts w:ascii="Arial" w:hAnsi="Arial" w:cs="Arial"/>
              </w:rPr>
              <w:t>70%</w:t>
            </w:r>
          </w:p>
        </w:tc>
        <w:tc>
          <w:tcPr>
            <w:tcW w:w="1276" w:type="dxa"/>
            <w:tcBorders>
              <w:top w:val="nil"/>
              <w:left w:val="nil"/>
              <w:bottom w:val="single" w:sz="4" w:space="0" w:color="auto"/>
              <w:right w:val="single" w:sz="8" w:space="0" w:color="auto"/>
            </w:tcBorders>
            <w:shd w:val="clear" w:color="auto" w:fill="auto"/>
            <w:noWrap/>
            <w:hideMark/>
          </w:tcPr>
          <w:p w:rsidR="009856F4" w:rsidRPr="009856F4" w:rsidRDefault="009856F4" w:rsidP="009856F4">
            <w:pPr>
              <w:spacing w:after="0" w:line="240" w:lineRule="auto"/>
              <w:rPr>
                <w:rFonts w:ascii="Arial" w:eastAsia="Times New Roman" w:hAnsi="Arial" w:cs="Arial"/>
                <w:color w:val="000000"/>
                <w:lang w:eastAsia="en-AU"/>
              </w:rPr>
            </w:pPr>
          </w:p>
        </w:tc>
      </w:tr>
      <w:tr w:rsidR="009856F4"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9856F4" w:rsidRPr="00AD165E" w:rsidRDefault="009856F4" w:rsidP="009856F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3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9856F4" w:rsidRPr="009856F4" w:rsidRDefault="009856F4" w:rsidP="009856F4">
            <w:pPr>
              <w:spacing w:after="0"/>
              <w:rPr>
                <w:rFonts w:ascii="Arial" w:hAnsi="Arial" w:cs="Arial"/>
              </w:rPr>
            </w:pPr>
            <w:r w:rsidRPr="009856F4">
              <w:rPr>
                <w:rFonts w:ascii="Arial" w:hAnsi="Arial" w:cs="Arial"/>
              </w:rPr>
              <w:t>65%</w:t>
            </w:r>
          </w:p>
        </w:tc>
        <w:tc>
          <w:tcPr>
            <w:tcW w:w="1276" w:type="dxa"/>
            <w:tcBorders>
              <w:top w:val="nil"/>
              <w:left w:val="nil"/>
              <w:bottom w:val="single" w:sz="4" w:space="0" w:color="auto"/>
              <w:right w:val="nil"/>
            </w:tcBorders>
            <w:shd w:val="clear" w:color="auto" w:fill="auto"/>
            <w:noWrap/>
            <w:vAlign w:val="center"/>
            <w:hideMark/>
          </w:tcPr>
          <w:p w:rsidR="009856F4" w:rsidRPr="009856F4" w:rsidRDefault="009856F4" w:rsidP="009856F4">
            <w:pPr>
              <w:spacing w:after="0"/>
              <w:rPr>
                <w:rFonts w:ascii="Arial" w:hAnsi="Arial" w:cs="Arial"/>
              </w:rPr>
            </w:pPr>
            <w:r w:rsidRPr="009856F4">
              <w:rPr>
                <w:rFonts w:ascii="Arial" w:hAnsi="Arial" w:cs="Arial"/>
              </w:rPr>
              <w:t>68%</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9856F4" w:rsidRPr="009856F4" w:rsidRDefault="009856F4" w:rsidP="009856F4">
            <w:pPr>
              <w:spacing w:after="0"/>
              <w:rPr>
                <w:rFonts w:ascii="Arial" w:hAnsi="Arial" w:cs="Arial"/>
              </w:rPr>
            </w:pPr>
            <w:r w:rsidRPr="009856F4">
              <w:rPr>
                <w:rFonts w:ascii="Arial" w:hAnsi="Arial" w:cs="Arial"/>
              </w:rPr>
              <w:t>67%</w:t>
            </w:r>
          </w:p>
        </w:tc>
        <w:tc>
          <w:tcPr>
            <w:tcW w:w="1276" w:type="dxa"/>
            <w:tcBorders>
              <w:top w:val="nil"/>
              <w:left w:val="nil"/>
              <w:bottom w:val="single" w:sz="4" w:space="0" w:color="auto"/>
              <w:right w:val="nil"/>
            </w:tcBorders>
            <w:shd w:val="clear" w:color="auto" w:fill="auto"/>
            <w:noWrap/>
            <w:vAlign w:val="center"/>
            <w:hideMark/>
          </w:tcPr>
          <w:p w:rsidR="009856F4" w:rsidRPr="009856F4" w:rsidRDefault="009856F4" w:rsidP="009856F4">
            <w:pPr>
              <w:spacing w:after="0"/>
              <w:rPr>
                <w:rFonts w:ascii="Arial" w:hAnsi="Arial" w:cs="Arial"/>
              </w:rPr>
            </w:pPr>
            <w:r w:rsidRPr="009856F4">
              <w:rPr>
                <w:rFonts w:ascii="Arial" w:hAnsi="Arial" w:cs="Arial"/>
              </w:rPr>
              <w:t>68%</w:t>
            </w:r>
          </w:p>
        </w:tc>
        <w:tc>
          <w:tcPr>
            <w:tcW w:w="1275" w:type="dxa"/>
            <w:tcBorders>
              <w:top w:val="nil"/>
              <w:left w:val="single" w:sz="8" w:space="0" w:color="auto"/>
              <w:bottom w:val="single" w:sz="4" w:space="0" w:color="auto"/>
              <w:right w:val="single" w:sz="8" w:space="0" w:color="auto"/>
            </w:tcBorders>
            <w:shd w:val="clear" w:color="auto" w:fill="auto"/>
            <w:noWrap/>
            <w:hideMark/>
          </w:tcPr>
          <w:p w:rsidR="009856F4" w:rsidRPr="009856F4" w:rsidRDefault="009856F4" w:rsidP="009856F4">
            <w:pPr>
              <w:spacing w:after="0" w:line="240" w:lineRule="auto"/>
              <w:rPr>
                <w:rFonts w:ascii="Arial" w:eastAsia="Times New Roman" w:hAnsi="Arial" w:cs="Arial"/>
                <w:color w:val="000000"/>
                <w:lang w:eastAsia="en-AU"/>
              </w:rPr>
            </w:pPr>
          </w:p>
        </w:tc>
        <w:tc>
          <w:tcPr>
            <w:tcW w:w="1276" w:type="dxa"/>
            <w:tcBorders>
              <w:top w:val="nil"/>
              <w:left w:val="nil"/>
              <w:bottom w:val="single" w:sz="4" w:space="0" w:color="auto"/>
              <w:right w:val="single" w:sz="8" w:space="0" w:color="auto"/>
            </w:tcBorders>
            <w:shd w:val="clear" w:color="auto" w:fill="auto"/>
            <w:noWrap/>
            <w:vAlign w:val="bottom"/>
            <w:hideMark/>
          </w:tcPr>
          <w:p w:rsidR="009856F4" w:rsidRPr="009856F4" w:rsidRDefault="009856F4" w:rsidP="009856F4">
            <w:pPr>
              <w:spacing w:after="0" w:line="240" w:lineRule="auto"/>
              <w:rPr>
                <w:rFonts w:ascii="Arial" w:eastAsia="Times New Roman" w:hAnsi="Arial" w:cs="Arial"/>
                <w:color w:val="000000"/>
                <w:lang w:eastAsia="en-AU"/>
              </w:rPr>
            </w:pPr>
          </w:p>
        </w:tc>
      </w:tr>
      <w:tr w:rsidR="009856F4"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9856F4" w:rsidRPr="00AD165E" w:rsidRDefault="009856F4" w:rsidP="009856F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2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9856F4" w:rsidRPr="009856F4" w:rsidRDefault="009856F4" w:rsidP="009856F4">
            <w:pPr>
              <w:spacing w:after="0"/>
              <w:rPr>
                <w:rFonts w:ascii="Arial" w:hAnsi="Arial" w:cs="Arial"/>
              </w:rPr>
            </w:pPr>
            <w:r w:rsidRPr="009856F4">
              <w:rPr>
                <w:rFonts w:ascii="Arial" w:hAnsi="Arial" w:cs="Arial"/>
              </w:rPr>
              <w:t>62%</w:t>
            </w:r>
          </w:p>
        </w:tc>
        <w:tc>
          <w:tcPr>
            <w:tcW w:w="1276" w:type="dxa"/>
            <w:tcBorders>
              <w:top w:val="nil"/>
              <w:left w:val="nil"/>
              <w:bottom w:val="single" w:sz="4" w:space="0" w:color="auto"/>
              <w:right w:val="nil"/>
            </w:tcBorders>
            <w:shd w:val="clear" w:color="auto" w:fill="auto"/>
            <w:noWrap/>
            <w:vAlign w:val="center"/>
            <w:hideMark/>
          </w:tcPr>
          <w:p w:rsidR="009856F4" w:rsidRPr="009856F4" w:rsidRDefault="009856F4" w:rsidP="009856F4">
            <w:pPr>
              <w:spacing w:after="0"/>
              <w:rPr>
                <w:rFonts w:ascii="Arial" w:hAnsi="Arial" w:cs="Arial"/>
              </w:rPr>
            </w:pPr>
            <w:r w:rsidRPr="009856F4">
              <w:rPr>
                <w:rFonts w:ascii="Arial" w:hAnsi="Arial" w:cs="Arial"/>
              </w:rPr>
              <w:t>65%</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9856F4" w:rsidRPr="009856F4" w:rsidRDefault="009856F4" w:rsidP="009856F4">
            <w:pPr>
              <w:spacing w:after="0"/>
              <w:rPr>
                <w:rFonts w:ascii="Arial" w:hAnsi="Arial" w:cs="Arial"/>
              </w:rPr>
            </w:pPr>
            <w:r w:rsidRPr="009856F4">
              <w:rPr>
                <w:rFonts w:ascii="Arial" w:hAnsi="Arial" w:cs="Arial"/>
              </w:rPr>
              <w:t>67%</w:t>
            </w:r>
          </w:p>
        </w:tc>
        <w:tc>
          <w:tcPr>
            <w:tcW w:w="1276" w:type="dxa"/>
            <w:tcBorders>
              <w:top w:val="nil"/>
              <w:left w:val="nil"/>
              <w:bottom w:val="single" w:sz="4" w:space="0" w:color="auto"/>
              <w:right w:val="nil"/>
            </w:tcBorders>
            <w:shd w:val="clear" w:color="auto" w:fill="auto"/>
            <w:noWrap/>
            <w:hideMark/>
          </w:tcPr>
          <w:p w:rsidR="009856F4" w:rsidRPr="009856F4" w:rsidRDefault="009856F4" w:rsidP="009856F4">
            <w:pPr>
              <w:spacing w:after="0" w:line="240" w:lineRule="auto"/>
              <w:rPr>
                <w:rFonts w:ascii="Arial" w:eastAsia="Times New Roman" w:hAnsi="Arial" w:cs="Arial"/>
                <w:color w:val="000000"/>
                <w:lang w:eastAsia="en-AU"/>
              </w:rPr>
            </w:pP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9856F4" w:rsidRPr="009856F4" w:rsidRDefault="009856F4" w:rsidP="009856F4">
            <w:pPr>
              <w:spacing w:after="0" w:line="240" w:lineRule="auto"/>
              <w:rPr>
                <w:rFonts w:ascii="Arial" w:eastAsia="Times New Roman" w:hAnsi="Arial" w:cs="Arial"/>
                <w:color w:val="000000"/>
                <w:lang w:eastAsia="en-AU"/>
              </w:rPr>
            </w:pPr>
          </w:p>
        </w:tc>
        <w:tc>
          <w:tcPr>
            <w:tcW w:w="1276" w:type="dxa"/>
            <w:tcBorders>
              <w:top w:val="nil"/>
              <w:left w:val="nil"/>
              <w:bottom w:val="single" w:sz="4" w:space="0" w:color="auto"/>
              <w:right w:val="single" w:sz="8" w:space="0" w:color="auto"/>
            </w:tcBorders>
            <w:shd w:val="clear" w:color="auto" w:fill="auto"/>
            <w:noWrap/>
            <w:vAlign w:val="center"/>
            <w:hideMark/>
          </w:tcPr>
          <w:p w:rsidR="009856F4" w:rsidRPr="009856F4" w:rsidRDefault="009856F4" w:rsidP="009856F4">
            <w:pPr>
              <w:spacing w:after="0" w:line="240" w:lineRule="auto"/>
              <w:rPr>
                <w:rFonts w:ascii="Arial" w:eastAsia="Times New Roman" w:hAnsi="Arial" w:cs="Arial"/>
                <w:color w:val="000000"/>
                <w:lang w:eastAsia="en-AU"/>
              </w:rPr>
            </w:pPr>
          </w:p>
        </w:tc>
      </w:tr>
      <w:tr w:rsidR="009856F4" w:rsidRPr="00AD165E" w:rsidTr="00632614">
        <w:trPr>
          <w:trHeight w:val="285"/>
        </w:trPr>
        <w:tc>
          <w:tcPr>
            <w:tcW w:w="1500" w:type="dxa"/>
            <w:tcBorders>
              <w:top w:val="nil"/>
              <w:left w:val="single" w:sz="8" w:space="0" w:color="auto"/>
              <w:bottom w:val="single" w:sz="8" w:space="0" w:color="auto"/>
              <w:right w:val="nil"/>
            </w:tcBorders>
            <w:shd w:val="clear" w:color="auto" w:fill="auto"/>
            <w:noWrap/>
            <w:vAlign w:val="bottom"/>
            <w:hideMark/>
          </w:tcPr>
          <w:p w:rsidR="009856F4" w:rsidRPr="00AD165E" w:rsidRDefault="009856F4" w:rsidP="009856F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1 year</w:t>
            </w:r>
          </w:p>
        </w:tc>
        <w:tc>
          <w:tcPr>
            <w:tcW w:w="1325" w:type="dxa"/>
            <w:tcBorders>
              <w:top w:val="nil"/>
              <w:left w:val="single" w:sz="8" w:space="0" w:color="auto"/>
              <w:bottom w:val="single" w:sz="8" w:space="0" w:color="auto"/>
              <w:right w:val="single" w:sz="8" w:space="0" w:color="auto"/>
            </w:tcBorders>
            <w:shd w:val="clear" w:color="auto" w:fill="auto"/>
            <w:noWrap/>
            <w:vAlign w:val="center"/>
            <w:hideMark/>
          </w:tcPr>
          <w:p w:rsidR="009856F4" w:rsidRPr="009856F4" w:rsidRDefault="009856F4" w:rsidP="009856F4">
            <w:pPr>
              <w:spacing w:after="0"/>
              <w:rPr>
                <w:rFonts w:ascii="Arial" w:hAnsi="Arial" w:cs="Arial"/>
              </w:rPr>
            </w:pPr>
            <w:r w:rsidRPr="009856F4">
              <w:rPr>
                <w:rFonts w:ascii="Arial" w:hAnsi="Arial" w:cs="Arial"/>
              </w:rPr>
              <w:t>62%</w:t>
            </w:r>
          </w:p>
        </w:tc>
        <w:tc>
          <w:tcPr>
            <w:tcW w:w="1276" w:type="dxa"/>
            <w:tcBorders>
              <w:top w:val="nil"/>
              <w:left w:val="nil"/>
              <w:bottom w:val="single" w:sz="8" w:space="0" w:color="auto"/>
              <w:right w:val="nil"/>
            </w:tcBorders>
            <w:shd w:val="clear" w:color="auto" w:fill="auto"/>
            <w:noWrap/>
            <w:vAlign w:val="center"/>
            <w:hideMark/>
          </w:tcPr>
          <w:p w:rsidR="009856F4" w:rsidRPr="009856F4" w:rsidRDefault="009856F4" w:rsidP="009856F4">
            <w:pPr>
              <w:spacing w:after="0"/>
              <w:rPr>
                <w:rFonts w:ascii="Arial" w:hAnsi="Arial" w:cs="Arial"/>
              </w:rPr>
            </w:pPr>
            <w:r w:rsidRPr="009856F4">
              <w:rPr>
                <w:rFonts w:ascii="Arial" w:hAnsi="Arial" w:cs="Arial"/>
              </w:rPr>
              <w:t>64%</w:t>
            </w:r>
          </w:p>
        </w:tc>
        <w:tc>
          <w:tcPr>
            <w:tcW w:w="1276" w:type="dxa"/>
            <w:tcBorders>
              <w:top w:val="nil"/>
              <w:left w:val="single" w:sz="8" w:space="0" w:color="auto"/>
              <w:bottom w:val="single" w:sz="8" w:space="0" w:color="auto"/>
              <w:right w:val="single" w:sz="8" w:space="0" w:color="auto"/>
            </w:tcBorders>
            <w:shd w:val="clear" w:color="auto" w:fill="auto"/>
            <w:noWrap/>
            <w:hideMark/>
          </w:tcPr>
          <w:p w:rsidR="009856F4" w:rsidRPr="009856F4" w:rsidRDefault="009856F4" w:rsidP="009856F4">
            <w:pPr>
              <w:spacing w:after="0" w:line="240" w:lineRule="auto"/>
              <w:rPr>
                <w:rFonts w:ascii="Arial" w:eastAsia="Times New Roman" w:hAnsi="Arial" w:cs="Arial"/>
                <w:color w:val="000000"/>
                <w:lang w:eastAsia="en-AU"/>
              </w:rPr>
            </w:pPr>
          </w:p>
        </w:tc>
        <w:tc>
          <w:tcPr>
            <w:tcW w:w="1276" w:type="dxa"/>
            <w:tcBorders>
              <w:top w:val="nil"/>
              <w:left w:val="nil"/>
              <w:bottom w:val="single" w:sz="8" w:space="0" w:color="auto"/>
              <w:right w:val="nil"/>
            </w:tcBorders>
            <w:shd w:val="clear" w:color="auto" w:fill="auto"/>
            <w:noWrap/>
            <w:vAlign w:val="center"/>
            <w:hideMark/>
          </w:tcPr>
          <w:p w:rsidR="009856F4" w:rsidRPr="009856F4" w:rsidRDefault="009856F4" w:rsidP="009856F4">
            <w:pPr>
              <w:spacing w:after="0" w:line="240" w:lineRule="auto"/>
              <w:rPr>
                <w:rFonts w:ascii="Arial" w:eastAsia="Times New Roman" w:hAnsi="Arial" w:cs="Arial"/>
                <w:color w:val="000000"/>
                <w:lang w:eastAsia="en-AU"/>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rsidR="009856F4" w:rsidRPr="009856F4" w:rsidRDefault="009856F4" w:rsidP="009856F4">
            <w:pPr>
              <w:spacing w:after="0" w:line="240" w:lineRule="auto"/>
              <w:rPr>
                <w:rFonts w:ascii="Arial" w:eastAsia="Times New Roman" w:hAnsi="Arial" w:cs="Arial"/>
                <w:color w:val="000000"/>
                <w:lang w:eastAsia="en-AU"/>
              </w:rPr>
            </w:pPr>
          </w:p>
        </w:tc>
        <w:tc>
          <w:tcPr>
            <w:tcW w:w="1276" w:type="dxa"/>
            <w:tcBorders>
              <w:top w:val="nil"/>
              <w:left w:val="nil"/>
              <w:bottom w:val="single" w:sz="8" w:space="0" w:color="auto"/>
              <w:right w:val="single" w:sz="8" w:space="0" w:color="auto"/>
            </w:tcBorders>
            <w:shd w:val="clear" w:color="auto" w:fill="auto"/>
            <w:noWrap/>
            <w:hideMark/>
          </w:tcPr>
          <w:p w:rsidR="009856F4" w:rsidRPr="009856F4" w:rsidRDefault="009856F4" w:rsidP="009856F4">
            <w:pPr>
              <w:spacing w:after="0" w:line="240" w:lineRule="auto"/>
              <w:rPr>
                <w:rFonts w:ascii="Arial" w:eastAsia="Times New Roman" w:hAnsi="Arial" w:cs="Arial"/>
                <w:color w:val="000000"/>
                <w:lang w:eastAsia="en-AU"/>
              </w:rPr>
            </w:pPr>
          </w:p>
        </w:tc>
      </w:tr>
    </w:tbl>
    <w:p w:rsidR="00550D6D" w:rsidRDefault="00550D6D" w:rsidP="00412BE9">
      <w:pPr>
        <w:spacing w:after="240"/>
        <w:rPr>
          <w:rFonts w:cstheme="minorHAnsi"/>
        </w:rPr>
      </w:pPr>
    </w:p>
    <w:p w:rsidR="00B83265" w:rsidRDefault="0080201D" w:rsidP="00B83265">
      <w:pPr>
        <w:spacing w:after="240"/>
        <w:rPr>
          <w:rFonts w:cstheme="minorHAnsi"/>
        </w:rPr>
      </w:pPr>
      <w:r>
        <w:rPr>
          <w:rFonts w:cstheme="minorHAnsi"/>
        </w:rPr>
        <w:t>Footnote 1</w:t>
      </w:r>
      <w:r w:rsidR="008E1F90">
        <w:rPr>
          <w:rFonts w:cstheme="minorHAnsi"/>
        </w:rPr>
        <w:t xml:space="preserve">: </w:t>
      </w:r>
      <w:r w:rsidR="00B83265" w:rsidRPr="00B8176E">
        <w:rPr>
          <w:rFonts w:cstheme="minorHAnsi"/>
        </w:rPr>
        <w:t xml:space="preserve">For more information on employment outcomes, see </w:t>
      </w:r>
      <w:hyperlink r:id="rId9" w:history="1">
        <w:r w:rsidR="00B83265" w:rsidRPr="004F2DA1">
          <w:rPr>
            <w:rStyle w:val="Hyperlink"/>
            <w:rFonts w:cstheme="minorHAnsi"/>
          </w:rPr>
          <w:t>https://data.ndis.gov.au/reports-and-analyses/outcomes-and-goals/employment-outcomes-participants-their-families-and-carers</w:t>
        </w:r>
      </w:hyperlink>
      <w:r w:rsidR="00B83265">
        <w:rPr>
          <w:rFonts w:cstheme="minorHAnsi"/>
        </w:rPr>
        <w:t>.</w:t>
      </w:r>
    </w:p>
    <w:p w:rsidR="00B83265" w:rsidRPr="002817DE" w:rsidRDefault="00B83265" w:rsidP="002817DE">
      <w:pPr>
        <w:pStyle w:val="Heading2"/>
      </w:pPr>
      <w:bookmarkStart w:id="75" w:name="_Toc121151447"/>
      <w:r w:rsidRPr="002817DE">
        <w:t>Slide 6</w:t>
      </w:r>
      <w:r w:rsidR="008E1F90">
        <w:t>5</w:t>
      </w:r>
      <w:r w:rsidRPr="002817DE">
        <w:t>: Participants aged 15 and over – Employment</w:t>
      </w:r>
      <w:bookmarkEnd w:id="75"/>
    </w:p>
    <w:p w:rsidR="00B83265" w:rsidRPr="00B8176E" w:rsidRDefault="00B83265" w:rsidP="00B83265">
      <w:pPr>
        <w:spacing w:after="240"/>
        <w:rPr>
          <w:b/>
        </w:rPr>
      </w:pPr>
      <w:r w:rsidRPr="00B8176E">
        <w:rPr>
          <w:b/>
        </w:rPr>
        <w:t xml:space="preserve">% </w:t>
      </w:r>
      <w:r>
        <w:rPr>
          <w:b/>
        </w:rPr>
        <w:t>who are not working and not looking for work</w:t>
      </w:r>
    </w:p>
    <w:p w:rsidR="00B83265" w:rsidRDefault="00B83265" w:rsidP="00B83265">
      <w:pPr>
        <w:spacing w:after="240"/>
      </w:pPr>
      <w:r>
        <w:t>There is a slight decrease in the percentage of participants aged 15 and over who are not working and not looking for work – for cohorts 1 through 4 (purple line).</w:t>
      </w:r>
    </w:p>
    <w:p w:rsidR="00B83265" w:rsidRDefault="00B83265" w:rsidP="00B83265">
      <w:pPr>
        <w:spacing w:after="240"/>
      </w:pPr>
      <w:r>
        <w:t>In the younger age groups – i.e. S-14/15-24 and 15-24, there is a declining (positive) trend in the percentage of participants aged 15 to 24 who are not working and not looking for work. For participants in the 15-24 age group and in the Scheme for five years, there has been a decrease of 18.5 percentage points between baseline (60.8%) and fifth review (42.3%). This is consistent for other cohorts. Larger improvements can be seen for the S-14/15-24, particularly for cohorts 3 and 4, with decreases of 25.5 and 32.3 percentage points, respectively. These trends likely reflect the transition from school to work.</w:t>
      </w:r>
    </w:p>
    <w:p w:rsidR="00B83265" w:rsidRDefault="00B83265" w:rsidP="00B83265">
      <w:pPr>
        <w:spacing w:after="240"/>
      </w:pPr>
      <w:r>
        <w:lastRenderedPageBreak/>
        <w:t>However, there is a small increasing (negative) trend in the 25+ age group (between 1.1 and 3.6 percentage points), whereby a higher percentage of participants report not working and not looking for work between baseline and latest review. Older participants in this group may be retiring from the workforce.</w:t>
      </w:r>
    </w:p>
    <w:p w:rsidR="00412BE9" w:rsidRDefault="00B83265" w:rsidP="00412BE9">
      <w:pPr>
        <w:spacing w:after="240"/>
        <w:rPr>
          <w:rFonts w:cstheme="minorHAnsi"/>
        </w:rPr>
      </w:pPr>
      <w:r>
        <w:rPr>
          <w:rFonts w:cstheme="minorHAnsi"/>
        </w:rPr>
        <w:t xml:space="preserve">Five charts shows </w:t>
      </w:r>
      <w:r w:rsidRPr="00AD4C8D">
        <w:rPr>
          <w:rFonts w:cstheme="minorHAnsi"/>
        </w:rPr>
        <w:t xml:space="preserve">the percentage </w:t>
      </w:r>
      <w:r w:rsidRPr="00752AAD">
        <w:rPr>
          <w:rFonts w:cstheme="minorHAnsi"/>
        </w:rPr>
        <w:t xml:space="preserve">who are not working and not looking for work </w:t>
      </w:r>
      <w:r w:rsidRPr="00AD4C8D">
        <w:rPr>
          <w:rFonts w:cstheme="minorHAnsi"/>
        </w:rPr>
        <w:t>at baseline and at subsequent reviews</w:t>
      </w:r>
      <w:r w:rsidR="00412BE9" w:rsidRPr="00715092">
        <w:rPr>
          <w:rFonts w:cstheme="minorHAnsi"/>
        </w:rPr>
        <w:t xml:space="preserve">, separately for participants in the </w:t>
      </w:r>
      <w:r w:rsidR="00412BE9">
        <w:rPr>
          <w:rFonts w:cstheme="minorHAnsi"/>
        </w:rPr>
        <w:t xml:space="preserve">five years, </w:t>
      </w:r>
      <w:r w:rsidR="00412BE9" w:rsidRPr="00715092">
        <w:rPr>
          <w:rFonts w:cstheme="minorHAnsi"/>
        </w:rPr>
        <w:t>four years, three years, two years or one year</w:t>
      </w:r>
      <w:r w:rsidR="00412BE9">
        <w:rPr>
          <w:rFonts w:cstheme="minorHAnsi"/>
        </w:rPr>
        <w:t xml:space="preserve"> cohorts</w:t>
      </w:r>
      <w:r w:rsidR="00412BE9" w:rsidRPr="00715092">
        <w:rPr>
          <w:rFonts w:cstheme="minorHAnsi"/>
        </w:rPr>
        <w:t>.</w:t>
      </w:r>
      <w:r w:rsidR="00412BE9">
        <w:rPr>
          <w:rFonts w:cstheme="minorHAnsi"/>
        </w:rPr>
        <w:t xml:space="preserve"> Separate lines on each chart show results for all participants, and for participants in the S-14/15-24, 15-24, 15-24/25+ and 25+ age groups.</w:t>
      </w:r>
    </w:p>
    <w:p w:rsidR="00412BE9" w:rsidRDefault="00412BE9" w:rsidP="00412BE9">
      <w:pPr>
        <w:spacing w:after="240"/>
        <w:rPr>
          <w:rFonts w:cstheme="minorHAnsi"/>
        </w:rPr>
      </w:pPr>
      <w:r>
        <w:rPr>
          <w:rFonts w:cstheme="minorHAnsi"/>
        </w:rPr>
        <w:t>For PSto14, analysed by time since first in P15to24, otherwise by time in Scheme.</w:t>
      </w:r>
    </w:p>
    <w:p w:rsidR="00412BE9" w:rsidRDefault="00412BE9" w:rsidP="00412BE9">
      <w:pPr>
        <w:spacing w:after="240"/>
        <w:rPr>
          <w:rFonts w:cstheme="minorHAnsi"/>
        </w:rPr>
      </w:pPr>
      <w:r>
        <w:rPr>
          <w:rFonts w:cstheme="minorHAnsi"/>
        </w:rPr>
        <w:t xml:space="preserve">This </w:t>
      </w:r>
      <w:r w:rsidR="0091051C">
        <w:rPr>
          <w:rFonts w:cstheme="minorHAnsi"/>
        </w:rPr>
        <w:t xml:space="preserve">context dependent </w:t>
      </w:r>
      <w:r>
        <w:rPr>
          <w:rFonts w:cstheme="minorHAnsi"/>
        </w:rPr>
        <w:t xml:space="preserve">indicator </w:t>
      </w:r>
      <w:r w:rsidR="0091051C">
        <w:rPr>
          <w:rFonts w:cstheme="minorHAnsi"/>
        </w:rPr>
        <w:t>declined slightly</w:t>
      </w:r>
      <w:r>
        <w:rPr>
          <w:rFonts w:cstheme="minorHAnsi"/>
        </w:rPr>
        <w:t>.</w:t>
      </w:r>
    </w:p>
    <w:p w:rsidR="00412BE9" w:rsidRDefault="00412BE9" w:rsidP="00412BE9">
      <w:pPr>
        <w:spacing w:after="240"/>
        <w:rPr>
          <w:rFonts w:cstheme="minorHAnsi"/>
        </w:rPr>
      </w:pPr>
      <w:r>
        <w:rPr>
          <w:rFonts w:cstheme="minorHAnsi"/>
        </w:rPr>
        <w:t>Results for all participants are labelled on the charts:</w:t>
      </w:r>
    </w:p>
    <w:tbl>
      <w:tblPr>
        <w:tblW w:w="9204" w:type="dxa"/>
        <w:tblLook w:val="04A0" w:firstRow="1" w:lastRow="0" w:firstColumn="1" w:lastColumn="0" w:noHBand="0" w:noVBand="1"/>
      </w:tblPr>
      <w:tblGrid>
        <w:gridCol w:w="1500"/>
        <w:gridCol w:w="1325"/>
        <w:gridCol w:w="1276"/>
        <w:gridCol w:w="1276"/>
        <w:gridCol w:w="1276"/>
        <w:gridCol w:w="1275"/>
        <w:gridCol w:w="1276"/>
      </w:tblGrid>
      <w:tr w:rsidR="00550D6D" w:rsidRPr="00AD165E" w:rsidTr="00632614">
        <w:trPr>
          <w:trHeight w:val="285"/>
        </w:trPr>
        <w:tc>
          <w:tcPr>
            <w:tcW w:w="1500" w:type="dxa"/>
            <w:tcBorders>
              <w:top w:val="single" w:sz="8" w:space="0" w:color="auto"/>
              <w:left w:val="single" w:sz="8" w:space="0" w:color="auto"/>
              <w:bottom w:val="single" w:sz="8" w:space="0" w:color="auto"/>
              <w:right w:val="nil"/>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Cohort</w:t>
            </w:r>
          </w:p>
        </w:tc>
        <w:tc>
          <w:tcPr>
            <w:tcW w:w="13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B</w:t>
            </w:r>
            <w:r>
              <w:rPr>
                <w:rFonts w:ascii="Arial" w:eastAsia="Times New Roman" w:hAnsi="Arial" w:cs="Arial"/>
                <w:b/>
                <w:bCs/>
                <w:color w:val="000000"/>
                <w:lang w:eastAsia="en-AU"/>
              </w:rPr>
              <w:t>aseline</w:t>
            </w:r>
          </w:p>
        </w:tc>
        <w:tc>
          <w:tcPr>
            <w:tcW w:w="1276" w:type="dxa"/>
            <w:tcBorders>
              <w:top w:val="single" w:sz="8" w:space="0" w:color="auto"/>
              <w:left w:val="nil"/>
              <w:bottom w:val="single" w:sz="8" w:space="0" w:color="auto"/>
              <w:right w:val="nil"/>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1</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2</w:t>
            </w:r>
          </w:p>
        </w:tc>
        <w:tc>
          <w:tcPr>
            <w:tcW w:w="1276" w:type="dxa"/>
            <w:tcBorders>
              <w:top w:val="single" w:sz="8" w:space="0" w:color="auto"/>
              <w:left w:val="nil"/>
              <w:bottom w:val="single" w:sz="8" w:space="0" w:color="auto"/>
              <w:right w:val="nil"/>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3</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4</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5</w:t>
            </w:r>
          </w:p>
        </w:tc>
      </w:tr>
      <w:tr w:rsidR="0091051C"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91051C" w:rsidRPr="00AD165E" w:rsidRDefault="0091051C" w:rsidP="0091051C">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5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91051C" w:rsidRPr="0091051C" w:rsidRDefault="0091051C" w:rsidP="0091051C">
            <w:pPr>
              <w:spacing w:after="0"/>
              <w:rPr>
                <w:rFonts w:ascii="Arial" w:hAnsi="Arial" w:cs="Arial"/>
              </w:rPr>
            </w:pPr>
            <w:r w:rsidRPr="0091051C">
              <w:rPr>
                <w:rFonts w:ascii="Arial" w:hAnsi="Arial" w:cs="Arial"/>
              </w:rPr>
              <w:t>61%</w:t>
            </w:r>
          </w:p>
        </w:tc>
        <w:tc>
          <w:tcPr>
            <w:tcW w:w="1276" w:type="dxa"/>
            <w:tcBorders>
              <w:top w:val="nil"/>
              <w:left w:val="nil"/>
              <w:bottom w:val="single" w:sz="4" w:space="0" w:color="auto"/>
              <w:right w:val="nil"/>
            </w:tcBorders>
            <w:shd w:val="clear" w:color="auto" w:fill="auto"/>
            <w:noWrap/>
            <w:vAlign w:val="center"/>
            <w:hideMark/>
          </w:tcPr>
          <w:p w:rsidR="0091051C" w:rsidRPr="0091051C" w:rsidRDefault="0091051C" w:rsidP="0091051C">
            <w:pPr>
              <w:spacing w:after="0"/>
              <w:rPr>
                <w:rFonts w:ascii="Arial" w:hAnsi="Arial" w:cs="Arial"/>
              </w:rPr>
            </w:pPr>
            <w:r w:rsidRPr="0091051C">
              <w:rPr>
                <w:rFonts w:ascii="Arial" w:hAnsi="Arial" w:cs="Arial"/>
              </w:rPr>
              <w:t>59%</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91051C" w:rsidRPr="0091051C" w:rsidRDefault="0091051C" w:rsidP="0091051C">
            <w:pPr>
              <w:spacing w:after="0"/>
              <w:rPr>
                <w:rFonts w:ascii="Arial" w:hAnsi="Arial" w:cs="Arial"/>
              </w:rPr>
            </w:pPr>
            <w:r w:rsidRPr="0091051C">
              <w:rPr>
                <w:rFonts w:ascii="Arial" w:hAnsi="Arial" w:cs="Arial"/>
              </w:rPr>
              <w:t>59%</w:t>
            </w:r>
          </w:p>
        </w:tc>
        <w:tc>
          <w:tcPr>
            <w:tcW w:w="1276" w:type="dxa"/>
            <w:tcBorders>
              <w:top w:val="nil"/>
              <w:left w:val="nil"/>
              <w:bottom w:val="single" w:sz="4" w:space="0" w:color="auto"/>
              <w:right w:val="nil"/>
            </w:tcBorders>
            <w:shd w:val="clear" w:color="auto" w:fill="auto"/>
            <w:noWrap/>
            <w:vAlign w:val="center"/>
            <w:hideMark/>
          </w:tcPr>
          <w:p w:rsidR="0091051C" w:rsidRPr="0091051C" w:rsidRDefault="0091051C" w:rsidP="0091051C">
            <w:pPr>
              <w:spacing w:after="0"/>
              <w:rPr>
                <w:rFonts w:ascii="Arial" w:hAnsi="Arial" w:cs="Arial"/>
              </w:rPr>
            </w:pPr>
            <w:r w:rsidRPr="0091051C">
              <w:rPr>
                <w:rFonts w:ascii="Arial" w:hAnsi="Arial" w:cs="Arial"/>
              </w:rPr>
              <w:t>57%</w:t>
            </w: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91051C" w:rsidRPr="0091051C" w:rsidRDefault="0091051C" w:rsidP="0091051C">
            <w:pPr>
              <w:spacing w:after="0"/>
              <w:rPr>
                <w:rFonts w:ascii="Arial" w:hAnsi="Arial" w:cs="Arial"/>
              </w:rPr>
            </w:pPr>
            <w:r w:rsidRPr="0091051C">
              <w:rPr>
                <w:rFonts w:ascii="Arial" w:hAnsi="Arial" w:cs="Arial"/>
              </w:rPr>
              <w:t>60%</w:t>
            </w:r>
          </w:p>
        </w:tc>
        <w:tc>
          <w:tcPr>
            <w:tcW w:w="1276" w:type="dxa"/>
            <w:tcBorders>
              <w:top w:val="nil"/>
              <w:left w:val="nil"/>
              <w:bottom w:val="single" w:sz="4" w:space="0" w:color="auto"/>
              <w:right w:val="single" w:sz="8" w:space="0" w:color="auto"/>
            </w:tcBorders>
            <w:shd w:val="clear" w:color="auto" w:fill="auto"/>
            <w:noWrap/>
            <w:vAlign w:val="center"/>
            <w:hideMark/>
          </w:tcPr>
          <w:p w:rsidR="0091051C" w:rsidRPr="0091051C" w:rsidRDefault="0091051C" w:rsidP="0091051C">
            <w:pPr>
              <w:spacing w:after="0"/>
              <w:rPr>
                <w:rFonts w:ascii="Arial" w:hAnsi="Arial" w:cs="Arial"/>
              </w:rPr>
            </w:pPr>
            <w:r w:rsidRPr="0091051C">
              <w:rPr>
                <w:rFonts w:ascii="Arial" w:hAnsi="Arial" w:cs="Arial"/>
              </w:rPr>
              <w:t>61%</w:t>
            </w:r>
          </w:p>
        </w:tc>
      </w:tr>
      <w:tr w:rsidR="0091051C"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91051C" w:rsidRPr="00AD165E" w:rsidRDefault="0091051C" w:rsidP="0091051C">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4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91051C" w:rsidRPr="0091051C" w:rsidRDefault="0091051C" w:rsidP="0091051C">
            <w:pPr>
              <w:spacing w:after="0"/>
              <w:rPr>
                <w:rFonts w:ascii="Arial" w:hAnsi="Arial" w:cs="Arial"/>
              </w:rPr>
            </w:pPr>
            <w:r w:rsidRPr="0091051C">
              <w:rPr>
                <w:rFonts w:ascii="Arial" w:hAnsi="Arial" w:cs="Arial"/>
              </w:rPr>
              <w:t>62%</w:t>
            </w:r>
          </w:p>
        </w:tc>
        <w:tc>
          <w:tcPr>
            <w:tcW w:w="1276" w:type="dxa"/>
            <w:tcBorders>
              <w:top w:val="nil"/>
              <w:left w:val="nil"/>
              <w:bottom w:val="single" w:sz="4" w:space="0" w:color="auto"/>
              <w:right w:val="nil"/>
            </w:tcBorders>
            <w:shd w:val="clear" w:color="auto" w:fill="auto"/>
            <w:noWrap/>
            <w:vAlign w:val="center"/>
            <w:hideMark/>
          </w:tcPr>
          <w:p w:rsidR="0091051C" w:rsidRPr="0091051C" w:rsidRDefault="0091051C" w:rsidP="0091051C">
            <w:pPr>
              <w:spacing w:after="0"/>
              <w:rPr>
                <w:rFonts w:ascii="Arial" w:hAnsi="Arial" w:cs="Arial"/>
              </w:rPr>
            </w:pPr>
            <w:r w:rsidRPr="0091051C">
              <w:rPr>
                <w:rFonts w:ascii="Arial" w:hAnsi="Arial" w:cs="Arial"/>
              </w:rPr>
              <w:t>60%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91051C" w:rsidRPr="0091051C" w:rsidRDefault="0091051C" w:rsidP="0091051C">
            <w:pPr>
              <w:spacing w:after="0"/>
              <w:rPr>
                <w:rFonts w:ascii="Arial" w:hAnsi="Arial" w:cs="Arial"/>
              </w:rPr>
            </w:pPr>
            <w:r w:rsidRPr="0091051C">
              <w:rPr>
                <w:rFonts w:ascii="Arial" w:hAnsi="Arial" w:cs="Arial"/>
              </w:rPr>
              <w:t>60%</w:t>
            </w:r>
          </w:p>
        </w:tc>
        <w:tc>
          <w:tcPr>
            <w:tcW w:w="1276" w:type="dxa"/>
            <w:tcBorders>
              <w:top w:val="nil"/>
              <w:left w:val="nil"/>
              <w:bottom w:val="single" w:sz="4" w:space="0" w:color="auto"/>
              <w:right w:val="nil"/>
            </w:tcBorders>
            <w:shd w:val="clear" w:color="auto" w:fill="auto"/>
            <w:noWrap/>
            <w:vAlign w:val="center"/>
            <w:hideMark/>
          </w:tcPr>
          <w:p w:rsidR="0091051C" w:rsidRPr="0091051C" w:rsidRDefault="0091051C" w:rsidP="0091051C">
            <w:pPr>
              <w:spacing w:after="0"/>
              <w:rPr>
                <w:rFonts w:ascii="Arial" w:hAnsi="Arial" w:cs="Arial"/>
              </w:rPr>
            </w:pPr>
            <w:r w:rsidRPr="0091051C">
              <w:rPr>
                <w:rFonts w:ascii="Arial" w:hAnsi="Arial" w:cs="Arial"/>
              </w:rPr>
              <w:t>61%</w:t>
            </w: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91051C" w:rsidRPr="0091051C" w:rsidRDefault="0091051C" w:rsidP="0091051C">
            <w:pPr>
              <w:spacing w:after="0"/>
              <w:rPr>
                <w:rFonts w:ascii="Arial" w:hAnsi="Arial" w:cs="Arial"/>
              </w:rPr>
            </w:pPr>
            <w:r w:rsidRPr="0091051C">
              <w:rPr>
                <w:rFonts w:ascii="Arial" w:hAnsi="Arial" w:cs="Arial"/>
              </w:rPr>
              <w:t>60%</w:t>
            </w:r>
          </w:p>
        </w:tc>
        <w:tc>
          <w:tcPr>
            <w:tcW w:w="1276" w:type="dxa"/>
            <w:tcBorders>
              <w:top w:val="nil"/>
              <w:left w:val="nil"/>
              <w:bottom w:val="single" w:sz="4" w:space="0" w:color="auto"/>
              <w:right w:val="single" w:sz="8" w:space="0" w:color="auto"/>
            </w:tcBorders>
            <w:shd w:val="clear" w:color="auto" w:fill="auto"/>
            <w:noWrap/>
            <w:hideMark/>
          </w:tcPr>
          <w:p w:rsidR="0091051C" w:rsidRPr="0091051C" w:rsidRDefault="0091051C" w:rsidP="0091051C">
            <w:pPr>
              <w:spacing w:after="0" w:line="240" w:lineRule="auto"/>
              <w:rPr>
                <w:rFonts w:ascii="Arial" w:eastAsia="Times New Roman" w:hAnsi="Arial" w:cs="Arial"/>
                <w:color w:val="000000"/>
                <w:lang w:eastAsia="en-AU"/>
              </w:rPr>
            </w:pPr>
          </w:p>
        </w:tc>
      </w:tr>
      <w:tr w:rsidR="0091051C"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91051C" w:rsidRPr="00AD165E" w:rsidRDefault="0091051C" w:rsidP="0091051C">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3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91051C" w:rsidRPr="0091051C" w:rsidRDefault="0091051C" w:rsidP="0091051C">
            <w:pPr>
              <w:spacing w:after="0"/>
              <w:rPr>
                <w:rFonts w:ascii="Arial" w:hAnsi="Arial" w:cs="Arial"/>
              </w:rPr>
            </w:pPr>
            <w:r w:rsidRPr="0091051C">
              <w:rPr>
                <w:rFonts w:ascii="Arial" w:hAnsi="Arial" w:cs="Arial"/>
              </w:rPr>
              <w:t>65%</w:t>
            </w:r>
          </w:p>
        </w:tc>
        <w:tc>
          <w:tcPr>
            <w:tcW w:w="1276" w:type="dxa"/>
            <w:tcBorders>
              <w:top w:val="nil"/>
              <w:left w:val="nil"/>
              <w:bottom w:val="single" w:sz="4" w:space="0" w:color="auto"/>
              <w:right w:val="nil"/>
            </w:tcBorders>
            <w:shd w:val="clear" w:color="auto" w:fill="auto"/>
            <w:noWrap/>
            <w:vAlign w:val="center"/>
            <w:hideMark/>
          </w:tcPr>
          <w:p w:rsidR="0091051C" w:rsidRPr="0091051C" w:rsidRDefault="0091051C" w:rsidP="0091051C">
            <w:pPr>
              <w:spacing w:after="0"/>
              <w:rPr>
                <w:rFonts w:ascii="Arial" w:hAnsi="Arial" w:cs="Arial"/>
              </w:rPr>
            </w:pPr>
            <w:r w:rsidRPr="0091051C">
              <w:rPr>
                <w:rFonts w:ascii="Arial" w:hAnsi="Arial" w:cs="Arial"/>
              </w:rPr>
              <w:t>63%</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91051C" w:rsidRPr="0091051C" w:rsidRDefault="0091051C" w:rsidP="0091051C">
            <w:pPr>
              <w:spacing w:after="0"/>
              <w:rPr>
                <w:rFonts w:ascii="Arial" w:hAnsi="Arial" w:cs="Arial"/>
              </w:rPr>
            </w:pPr>
            <w:r w:rsidRPr="0091051C">
              <w:rPr>
                <w:rFonts w:ascii="Arial" w:hAnsi="Arial" w:cs="Arial"/>
              </w:rPr>
              <w:t>64%</w:t>
            </w:r>
          </w:p>
        </w:tc>
        <w:tc>
          <w:tcPr>
            <w:tcW w:w="1276" w:type="dxa"/>
            <w:tcBorders>
              <w:top w:val="nil"/>
              <w:left w:val="nil"/>
              <w:bottom w:val="single" w:sz="4" w:space="0" w:color="auto"/>
              <w:right w:val="nil"/>
            </w:tcBorders>
            <w:shd w:val="clear" w:color="auto" w:fill="auto"/>
            <w:noWrap/>
            <w:vAlign w:val="center"/>
            <w:hideMark/>
          </w:tcPr>
          <w:p w:rsidR="0091051C" w:rsidRPr="0091051C" w:rsidRDefault="0091051C" w:rsidP="0091051C">
            <w:pPr>
              <w:spacing w:after="0"/>
              <w:rPr>
                <w:rFonts w:ascii="Arial" w:hAnsi="Arial" w:cs="Arial"/>
              </w:rPr>
            </w:pPr>
            <w:r w:rsidRPr="0091051C">
              <w:rPr>
                <w:rFonts w:ascii="Arial" w:hAnsi="Arial" w:cs="Arial"/>
              </w:rPr>
              <w:t>62%</w:t>
            </w:r>
          </w:p>
        </w:tc>
        <w:tc>
          <w:tcPr>
            <w:tcW w:w="1275" w:type="dxa"/>
            <w:tcBorders>
              <w:top w:val="nil"/>
              <w:left w:val="single" w:sz="8" w:space="0" w:color="auto"/>
              <w:bottom w:val="single" w:sz="4" w:space="0" w:color="auto"/>
              <w:right w:val="single" w:sz="8" w:space="0" w:color="auto"/>
            </w:tcBorders>
            <w:shd w:val="clear" w:color="auto" w:fill="auto"/>
            <w:noWrap/>
            <w:hideMark/>
          </w:tcPr>
          <w:p w:rsidR="0091051C" w:rsidRPr="0091051C" w:rsidRDefault="0091051C" w:rsidP="0091051C">
            <w:pPr>
              <w:spacing w:after="0" w:line="240" w:lineRule="auto"/>
              <w:rPr>
                <w:rFonts w:ascii="Arial" w:eastAsia="Times New Roman" w:hAnsi="Arial" w:cs="Arial"/>
                <w:color w:val="000000"/>
                <w:lang w:eastAsia="en-AU"/>
              </w:rPr>
            </w:pPr>
          </w:p>
        </w:tc>
        <w:tc>
          <w:tcPr>
            <w:tcW w:w="1276" w:type="dxa"/>
            <w:tcBorders>
              <w:top w:val="nil"/>
              <w:left w:val="nil"/>
              <w:bottom w:val="single" w:sz="4" w:space="0" w:color="auto"/>
              <w:right w:val="single" w:sz="8" w:space="0" w:color="auto"/>
            </w:tcBorders>
            <w:shd w:val="clear" w:color="auto" w:fill="auto"/>
            <w:noWrap/>
            <w:vAlign w:val="bottom"/>
            <w:hideMark/>
          </w:tcPr>
          <w:p w:rsidR="0091051C" w:rsidRPr="0091051C" w:rsidRDefault="0091051C" w:rsidP="0091051C">
            <w:pPr>
              <w:spacing w:after="0" w:line="240" w:lineRule="auto"/>
              <w:rPr>
                <w:rFonts w:ascii="Arial" w:eastAsia="Times New Roman" w:hAnsi="Arial" w:cs="Arial"/>
                <w:color w:val="000000"/>
                <w:lang w:eastAsia="en-AU"/>
              </w:rPr>
            </w:pPr>
          </w:p>
        </w:tc>
      </w:tr>
      <w:tr w:rsidR="0091051C"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91051C" w:rsidRPr="00AD165E" w:rsidRDefault="0091051C" w:rsidP="0091051C">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2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91051C" w:rsidRPr="0091051C" w:rsidRDefault="0091051C" w:rsidP="0091051C">
            <w:pPr>
              <w:spacing w:after="0"/>
              <w:rPr>
                <w:rFonts w:ascii="Arial" w:hAnsi="Arial" w:cs="Arial"/>
              </w:rPr>
            </w:pPr>
            <w:r w:rsidRPr="0091051C">
              <w:rPr>
                <w:rFonts w:ascii="Arial" w:hAnsi="Arial" w:cs="Arial"/>
              </w:rPr>
              <w:t>66%</w:t>
            </w:r>
          </w:p>
        </w:tc>
        <w:tc>
          <w:tcPr>
            <w:tcW w:w="1276" w:type="dxa"/>
            <w:tcBorders>
              <w:top w:val="nil"/>
              <w:left w:val="nil"/>
              <w:bottom w:val="single" w:sz="4" w:space="0" w:color="auto"/>
              <w:right w:val="nil"/>
            </w:tcBorders>
            <w:shd w:val="clear" w:color="auto" w:fill="auto"/>
            <w:noWrap/>
            <w:vAlign w:val="center"/>
            <w:hideMark/>
          </w:tcPr>
          <w:p w:rsidR="0091051C" w:rsidRPr="0091051C" w:rsidRDefault="0091051C" w:rsidP="0091051C">
            <w:pPr>
              <w:spacing w:after="0"/>
              <w:rPr>
                <w:rFonts w:ascii="Arial" w:hAnsi="Arial" w:cs="Arial"/>
              </w:rPr>
            </w:pPr>
            <w:r w:rsidRPr="0091051C">
              <w:rPr>
                <w:rFonts w:ascii="Arial" w:hAnsi="Arial" w:cs="Arial"/>
              </w:rPr>
              <w:t>65%</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91051C" w:rsidRPr="0091051C" w:rsidRDefault="0091051C" w:rsidP="0091051C">
            <w:pPr>
              <w:spacing w:after="0"/>
              <w:rPr>
                <w:rFonts w:ascii="Arial" w:hAnsi="Arial" w:cs="Arial"/>
              </w:rPr>
            </w:pPr>
            <w:r w:rsidRPr="0091051C">
              <w:rPr>
                <w:rFonts w:ascii="Arial" w:hAnsi="Arial" w:cs="Arial"/>
              </w:rPr>
              <w:t>64%</w:t>
            </w:r>
          </w:p>
        </w:tc>
        <w:tc>
          <w:tcPr>
            <w:tcW w:w="1276" w:type="dxa"/>
            <w:tcBorders>
              <w:top w:val="nil"/>
              <w:left w:val="nil"/>
              <w:bottom w:val="single" w:sz="4" w:space="0" w:color="auto"/>
              <w:right w:val="nil"/>
            </w:tcBorders>
            <w:shd w:val="clear" w:color="auto" w:fill="auto"/>
            <w:noWrap/>
            <w:hideMark/>
          </w:tcPr>
          <w:p w:rsidR="0091051C" w:rsidRPr="0091051C" w:rsidRDefault="0091051C" w:rsidP="0091051C">
            <w:pPr>
              <w:spacing w:after="0" w:line="240" w:lineRule="auto"/>
              <w:rPr>
                <w:rFonts w:ascii="Arial" w:eastAsia="Times New Roman" w:hAnsi="Arial" w:cs="Arial"/>
                <w:color w:val="000000"/>
                <w:lang w:eastAsia="en-AU"/>
              </w:rPr>
            </w:pP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91051C" w:rsidRPr="0091051C" w:rsidRDefault="0091051C" w:rsidP="0091051C">
            <w:pPr>
              <w:spacing w:after="0" w:line="240" w:lineRule="auto"/>
              <w:rPr>
                <w:rFonts w:ascii="Arial" w:eastAsia="Times New Roman" w:hAnsi="Arial" w:cs="Arial"/>
                <w:color w:val="000000"/>
                <w:lang w:eastAsia="en-AU"/>
              </w:rPr>
            </w:pPr>
          </w:p>
        </w:tc>
        <w:tc>
          <w:tcPr>
            <w:tcW w:w="1276" w:type="dxa"/>
            <w:tcBorders>
              <w:top w:val="nil"/>
              <w:left w:val="nil"/>
              <w:bottom w:val="single" w:sz="4" w:space="0" w:color="auto"/>
              <w:right w:val="single" w:sz="8" w:space="0" w:color="auto"/>
            </w:tcBorders>
            <w:shd w:val="clear" w:color="auto" w:fill="auto"/>
            <w:noWrap/>
            <w:vAlign w:val="center"/>
            <w:hideMark/>
          </w:tcPr>
          <w:p w:rsidR="0091051C" w:rsidRPr="0091051C" w:rsidRDefault="0091051C" w:rsidP="0091051C">
            <w:pPr>
              <w:spacing w:after="0" w:line="240" w:lineRule="auto"/>
              <w:rPr>
                <w:rFonts w:ascii="Arial" w:eastAsia="Times New Roman" w:hAnsi="Arial" w:cs="Arial"/>
                <w:color w:val="000000"/>
                <w:lang w:eastAsia="en-AU"/>
              </w:rPr>
            </w:pPr>
          </w:p>
        </w:tc>
      </w:tr>
      <w:tr w:rsidR="0091051C" w:rsidRPr="00AD165E" w:rsidTr="00632614">
        <w:trPr>
          <w:trHeight w:val="285"/>
        </w:trPr>
        <w:tc>
          <w:tcPr>
            <w:tcW w:w="1500" w:type="dxa"/>
            <w:tcBorders>
              <w:top w:val="nil"/>
              <w:left w:val="single" w:sz="8" w:space="0" w:color="auto"/>
              <w:bottom w:val="single" w:sz="8" w:space="0" w:color="auto"/>
              <w:right w:val="nil"/>
            </w:tcBorders>
            <w:shd w:val="clear" w:color="auto" w:fill="auto"/>
            <w:noWrap/>
            <w:vAlign w:val="bottom"/>
            <w:hideMark/>
          </w:tcPr>
          <w:p w:rsidR="0091051C" w:rsidRPr="00AD165E" w:rsidRDefault="0091051C" w:rsidP="0091051C">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1 year</w:t>
            </w:r>
          </w:p>
        </w:tc>
        <w:tc>
          <w:tcPr>
            <w:tcW w:w="1325" w:type="dxa"/>
            <w:tcBorders>
              <w:top w:val="nil"/>
              <w:left w:val="single" w:sz="8" w:space="0" w:color="auto"/>
              <w:bottom w:val="single" w:sz="8" w:space="0" w:color="auto"/>
              <w:right w:val="single" w:sz="8" w:space="0" w:color="auto"/>
            </w:tcBorders>
            <w:shd w:val="clear" w:color="auto" w:fill="auto"/>
            <w:noWrap/>
            <w:vAlign w:val="center"/>
            <w:hideMark/>
          </w:tcPr>
          <w:p w:rsidR="0091051C" w:rsidRPr="0091051C" w:rsidRDefault="0091051C" w:rsidP="0091051C">
            <w:pPr>
              <w:spacing w:after="0"/>
              <w:rPr>
                <w:rFonts w:ascii="Arial" w:hAnsi="Arial" w:cs="Arial"/>
              </w:rPr>
            </w:pPr>
            <w:r w:rsidRPr="0091051C">
              <w:rPr>
                <w:rFonts w:ascii="Arial" w:hAnsi="Arial" w:cs="Arial"/>
              </w:rPr>
              <w:t>65%</w:t>
            </w:r>
          </w:p>
        </w:tc>
        <w:tc>
          <w:tcPr>
            <w:tcW w:w="1276" w:type="dxa"/>
            <w:tcBorders>
              <w:top w:val="nil"/>
              <w:left w:val="nil"/>
              <w:bottom w:val="single" w:sz="8" w:space="0" w:color="auto"/>
              <w:right w:val="nil"/>
            </w:tcBorders>
            <w:shd w:val="clear" w:color="auto" w:fill="auto"/>
            <w:noWrap/>
            <w:vAlign w:val="center"/>
            <w:hideMark/>
          </w:tcPr>
          <w:p w:rsidR="0091051C" w:rsidRPr="0091051C" w:rsidRDefault="0091051C" w:rsidP="0091051C">
            <w:pPr>
              <w:spacing w:after="0"/>
              <w:rPr>
                <w:rFonts w:ascii="Arial" w:hAnsi="Arial" w:cs="Arial"/>
              </w:rPr>
            </w:pPr>
            <w:r w:rsidRPr="0091051C">
              <w:rPr>
                <w:rFonts w:ascii="Arial" w:hAnsi="Arial" w:cs="Arial"/>
              </w:rPr>
              <w:t>64%</w:t>
            </w:r>
          </w:p>
        </w:tc>
        <w:tc>
          <w:tcPr>
            <w:tcW w:w="1276" w:type="dxa"/>
            <w:tcBorders>
              <w:top w:val="nil"/>
              <w:left w:val="single" w:sz="8" w:space="0" w:color="auto"/>
              <w:bottom w:val="single" w:sz="8" w:space="0" w:color="auto"/>
              <w:right w:val="single" w:sz="8" w:space="0" w:color="auto"/>
            </w:tcBorders>
            <w:shd w:val="clear" w:color="auto" w:fill="auto"/>
            <w:noWrap/>
            <w:hideMark/>
          </w:tcPr>
          <w:p w:rsidR="0091051C" w:rsidRPr="0091051C" w:rsidRDefault="0091051C" w:rsidP="0091051C">
            <w:pPr>
              <w:spacing w:after="0" w:line="240" w:lineRule="auto"/>
              <w:rPr>
                <w:rFonts w:ascii="Arial" w:eastAsia="Times New Roman" w:hAnsi="Arial" w:cs="Arial"/>
                <w:color w:val="000000"/>
                <w:lang w:eastAsia="en-AU"/>
              </w:rPr>
            </w:pPr>
          </w:p>
        </w:tc>
        <w:tc>
          <w:tcPr>
            <w:tcW w:w="1276" w:type="dxa"/>
            <w:tcBorders>
              <w:top w:val="nil"/>
              <w:left w:val="nil"/>
              <w:bottom w:val="single" w:sz="8" w:space="0" w:color="auto"/>
              <w:right w:val="nil"/>
            </w:tcBorders>
            <w:shd w:val="clear" w:color="auto" w:fill="auto"/>
            <w:noWrap/>
            <w:vAlign w:val="center"/>
            <w:hideMark/>
          </w:tcPr>
          <w:p w:rsidR="0091051C" w:rsidRPr="0091051C" w:rsidRDefault="0091051C" w:rsidP="0091051C">
            <w:pPr>
              <w:spacing w:after="0" w:line="240" w:lineRule="auto"/>
              <w:rPr>
                <w:rFonts w:ascii="Arial" w:eastAsia="Times New Roman" w:hAnsi="Arial" w:cs="Arial"/>
                <w:color w:val="000000"/>
                <w:lang w:eastAsia="en-AU"/>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rsidR="0091051C" w:rsidRPr="0091051C" w:rsidRDefault="0091051C" w:rsidP="0091051C">
            <w:pPr>
              <w:spacing w:after="0" w:line="240" w:lineRule="auto"/>
              <w:rPr>
                <w:rFonts w:ascii="Arial" w:eastAsia="Times New Roman" w:hAnsi="Arial" w:cs="Arial"/>
                <w:color w:val="000000"/>
                <w:lang w:eastAsia="en-AU"/>
              </w:rPr>
            </w:pPr>
          </w:p>
        </w:tc>
        <w:tc>
          <w:tcPr>
            <w:tcW w:w="1276" w:type="dxa"/>
            <w:tcBorders>
              <w:top w:val="nil"/>
              <w:left w:val="nil"/>
              <w:bottom w:val="single" w:sz="8" w:space="0" w:color="auto"/>
              <w:right w:val="single" w:sz="8" w:space="0" w:color="auto"/>
            </w:tcBorders>
            <w:shd w:val="clear" w:color="auto" w:fill="auto"/>
            <w:noWrap/>
            <w:hideMark/>
          </w:tcPr>
          <w:p w:rsidR="0091051C" w:rsidRPr="0091051C" w:rsidRDefault="0091051C" w:rsidP="0091051C">
            <w:pPr>
              <w:spacing w:after="0" w:line="240" w:lineRule="auto"/>
              <w:rPr>
                <w:rFonts w:ascii="Arial" w:eastAsia="Times New Roman" w:hAnsi="Arial" w:cs="Arial"/>
                <w:color w:val="000000"/>
                <w:lang w:eastAsia="en-AU"/>
              </w:rPr>
            </w:pPr>
          </w:p>
        </w:tc>
      </w:tr>
    </w:tbl>
    <w:p w:rsidR="00550D6D" w:rsidRDefault="00550D6D" w:rsidP="00412BE9">
      <w:pPr>
        <w:spacing w:after="240"/>
        <w:rPr>
          <w:rFonts w:cstheme="minorHAnsi"/>
        </w:rPr>
      </w:pPr>
    </w:p>
    <w:p w:rsidR="00B83265" w:rsidRDefault="00B83265" w:rsidP="00B83265">
      <w:pPr>
        <w:spacing w:after="240"/>
        <w:rPr>
          <w:rFonts w:cstheme="minorHAnsi"/>
        </w:rPr>
      </w:pPr>
      <w:r w:rsidRPr="00B8176E">
        <w:rPr>
          <w:rFonts w:cstheme="minorHAnsi"/>
        </w:rPr>
        <w:t xml:space="preserve">For more information on employment outcomes, see </w:t>
      </w:r>
      <w:hyperlink r:id="rId10" w:history="1">
        <w:r w:rsidRPr="004F2DA1">
          <w:rPr>
            <w:rStyle w:val="Hyperlink"/>
            <w:rFonts w:cstheme="minorHAnsi"/>
          </w:rPr>
          <w:t>https://data.ndis.gov.au/reports-and-analyses/outcomes-and-goals/employment-outcomes-participants-their-families-and-carers</w:t>
        </w:r>
      </w:hyperlink>
      <w:r>
        <w:rPr>
          <w:rFonts w:cstheme="minorHAnsi"/>
        </w:rPr>
        <w:t>.</w:t>
      </w:r>
    </w:p>
    <w:p w:rsidR="00B83265" w:rsidRPr="002817DE" w:rsidRDefault="00B83265" w:rsidP="002817DE">
      <w:pPr>
        <w:pStyle w:val="Heading2"/>
      </w:pPr>
      <w:bookmarkStart w:id="76" w:name="_Toc121151448"/>
      <w:r w:rsidRPr="002817DE">
        <w:t>Slide 66: Participants aged 15 and over – Employment</w:t>
      </w:r>
      <w:r w:rsidR="008E1F90">
        <w:t xml:space="preserve"> (</w:t>
      </w:r>
      <w:r w:rsidR="0080201D">
        <w:t>Footnote 1</w:t>
      </w:r>
      <w:r w:rsidR="008E1F90">
        <w:t>)</w:t>
      </w:r>
      <w:bookmarkEnd w:id="76"/>
    </w:p>
    <w:p w:rsidR="00B83265" w:rsidRPr="00752AAD" w:rsidRDefault="00B83265" w:rsidP="00B83265">
      <w:pPr>
        <w:rPr>
          <w:b/>
        </w:rPr>
      </w:pPr>
      <w:r>
        <w:rPr>
          <w:b/>
        </w:rPr>
        <w:t>Employment support received and assistance to get a job</w:t>
      </w:r>
    </w:p>
    <w:p w:rsidR="00B83265" w:rsidRPr="00752AAD" w:rsidRDefault="00B83265" w:rsidP="00B83265">
      <w:pPr>
        <w:spacing w:after="240"/>
        <w:rPr>
          <w:rFonts w:cstheme="minorHAnsi"/>
        </w:rPr>
      </w:pPr>
      <w:r w:rsidRPr="00752AAD">
        <w:rPr>
          <w:rFonts w:cstheme="minorHAnsi"/>
        </w:rPr>
        <w:t>Positive employment outcomes can be seen from long form survey results over three years.</w:t>
      </w:r>
    </w:p>
    <w:p w:rsidR="00B83265" w:rsidRPr="00752AAD" w:rsidRDefault="00B83265" w:rsidP="00B83265">
      <w:pPr>
        <w:spacing w:after="240"/>
        <w:rPr>
          <w:rFonts w:cstheme="minorHAnsi"/>
        </w:rPr>
      </w:pPr>
      <w:r w:rsidRPr="00752AAD">
        <w:rPr>
          <w:rFonts w:cstheme="minorHAnsi"/>
        </w:rPr>
        <w:t>For those participants who are currently not in a paid job, but indicate that they would like one, there is an increasing trend in the percentage who have been assisted to get a job – increases of 13.5, 16.2, and 34.9 percentage points for cohorts one, two and three, respectively. At third review, 51.2% were being assisted, compared to 16.3% at baseline (Cohort 3).</w:t>
      </w:r>
    </w:p>
    <w:p w:rsidR="00B83265" w:rsidRDefault="00B83265" w:rsidP="00B83265">
      <w:pPr>
        <w:spacing w:after="240"/>
        <w:rPr>
          <w:rFonts w:cstheme="minorHAnsi"/>
        </w:rPr>
      </w:pPr>
      <w:r>
        <w:rPr>
          <w:rFonts w:cstheme="minorHAnsi"/>
        </w:rPr>
        <w:t xml:space="preserve">For those who are currently not in a paid job, but would like one, </w:t>
      </w:r>
      <w:r w:rsidR="00C079F1">
        <w:rPr>
          <w:rFonts w:cstheme="minorHAnsi"/>
        </w:rPr>
        <w:t>the</w:t>
      </w:r>
      <w:r>
        <w:rPr>
          <w:rFonts w:cstheme="minorHAnsi"/>
        </w:rPr>
        <w:t xml:space="preserve"> chart shows the percentage who have been assisted to get a job </w:t>
      </w:r>
      <w:r w:rsidRPr="00AD4C8D">
        <w:rPr>
          <w:rFonts w:cstheme="minorHAnsi"/>
        </w:rPr>
        <w:t xml:space="preserve">at baseline and at subsequent reviews, separately for participants </w:t>
      </w:r>
      <w:r>
        <w:rPr>
          <w:rFonts w:cstheme="minorHAnsi"/>
        </w:rPr>
        <w:t>in the three years, two years and one year</w:t>
      </w:r>
      <w:r w:rsidR="00BC2B35">
        <w:rPr>
          <w:rFonts w:cstheme="minorHAnsi"/>
        </w:rPr>
        <w:t xml:space="preserve"> cohorts</w:t>
      </w:r>
      <w:r>
        <w:rPr>
          <w:rFonts w:cstheme="minorHAnsi"/>
        </w:rPr>
        <w:t xml:space="preserve">. </w:t>
      </w:r>
      <w:r w:rsidRPr="0024292A">
        <w:rPr>
          <w:rFonts w:cstheme="minorHAnsi"/>
        </w:rPr>
        <w:t>Cohort 5 (5 Years) and Cohort 4 (4 Years) have been omitted due to small numbers.</w:t>
      </w:r>
    </w:p>
    <w:p w:rsidR="00BC2B35" w:rsidRDefault="00BC2B35" w:rsidP="00BC2B35">
      <w:pPr>
        <w:spacing w:after="240"/>
        <w:rPr>
          <w:rFonts w:cstheme="minorHAnsi"/>
        </w:rPr>
      </w:pPr>
      <w:r>
        <w:rPr>
          <w:rFonts w:cstheme="minorHAnsi"/>
        </w:rPr>
        <w:t>For PSto14, analysed by time since first in P15to24, otherwise by time in Scheme.</w:t>
      </w:r>
    </w:p>
    <w:p w:rsidR="00BC2B35" w:rsidRDefault="00BC2B35" w:rsidP="00BC2B35">
      <w:pPr>
        <w:spacing w:after="240"/>
        <w:rPr>
          <w:rFonts w:cstheme="minorHAnsi"/>
        </w:rPr>
      </w:pPr>
      <w:r>
        <w:rPr>
          <w:rFonts w:cstheme="minorHAnsi"/>
        </w:rPr>
        <w:t>Th</w:t>
      </w:r>
      <w:r w:rsidR="00C079F1">
        <w:rPr>
          <w:rFonts w:cstheme="minorHAnsi"/>
        </w:rPr>
        <w:t>i</w:t>
      </w:r>
      <w:r>
        <w:rPr>
          <w:rFonts w:cstheme="minorHAnsi"/>
        </w:rPr>
        <w:t>s indicator improved.</w:t>
      </w:r>
    </w:p>
    <w:p w:rsidR="00B83265" w:rsidRDefault="00B83265" w:rsidP="00B83265">
      <w:pPr>
        <w:spacing w:after="240"/>
        <w:rPr>
          <w:rFonts w:cstheme="minorHAnsi"/>
        </w:rPr>
      </w:pPr>
      <w:r>
        <w:rPr>
          <w:rFonts w:cstheme="minorHAnsi"/>
        </w:rPr>
        <w:t>For those who are currently not in a paid job, but would like one, % who have been assisted to get a job.</w:t>
      </w:r>
    </w:p>
    <w:tbl>
      <w:tblPr>
        <w:tblW w:w="7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308"/>
        <w:gridCol w:w="1308"/>
        <w:gridCol w:w="1308"/>
        <w:gridCol w:w="1308"/>
      </w:tblGrid>
      <w:tr w:rsidR="00B83265" w:rsidRPr="007533B0" w:rsidTr="007533B0">
        <w:trPr>
          <w:trHeight w:val="264"/>
        </w:trPr>
        <w:tc>
          <w:tcPr>
            <w:tcW w:w="2689" w:type="dxa"/>
            <w:noWrap/>
            <w:vAlign w:val="center"/>
            <w:hideMark/>
          </w:tcPr>
          <w:p w:rsidR="00B83265" w:rsidRPr="007533B0" w:rsidRDefault="00B83265" w:rsidP="007533B0">
            <w:pPr>
              <w:spacing w:after="0"/>
              <w:rPr>
                <w:rFonts w:ascii="Arial" w:eastAsia="Times New Roman" w:hAnsi="Arial" w:cs="Arial"/>
                <w:b/>
                <w:bCs/>
                <w:color w:val="000000"/>
                <w:lang w:eastAsia="zh-CN"/>
              </w:rPr>
            </w:pPr>
            <w:r w:rsidRPr="007533B0">
              <w:rPr>
                <w:rFonts w:ascii="Arial" w:eastAsia="Times New Roman" w:hAnsi="Arial" w:cs="Arial"/>
                <w:b/>
                <w:bCs/>
                <w:color w:val="000000"/>
                <w:lang w:eastAsia="zh-CN"/>
              </w:rPr>
              <w:t>Cohort</w:t>
            </w:r>
          </w:p>
        </w:tc>
        <w:tc>
          <w:tcPr>
            <w:tcW w:w="1308" w:type="dxa"/>
            <w:noWrap/>
            <w:vAlign w:val="center"/>
            <w:hideMark/>
          </w:tcPr>
          <w:p w:rsidR="00B83265" w:rsidRPr="007533B0" w:rsidRDefault="00B83265" w:rsidP="007533B0">
            <w:pPr>
              <w:spacing w:after="0"/>
              <w:rPr>
                <w:rFonts w:ascii="Arial" w:eastAsia="Times New Roman" w:hAnsi="Arial" w:cs="Arial"/>
                <w:b/>
                <w:bCs/>
                <w:color w:val="000000"/>
                <w:lang w:eastAsia="zh-CN"/>
              </w:rPr>
            </w:pPr>
            <w:r w:rsidRPr="007533B0">
              <w:rPr>
                <w:rFonts w:ascii="Arial" w:eastAsia="Times New Roman" w:hAnsi="Arial" w:cs="Arial"/>
                <w:b/>
                <w:bCs/>
                <w:color w:val="000000"/>
                <w:lang w:eastAsia="zh-CN"/>
              </w:rPr>
              <w:t>Baseline</w:t>
            </w:r>
          </w:p>
        </w:tc>
        <w:tc>
          <w:tcPr>
            <w:tcW w:w="1308" w:type="dxa"/>
            <w:noWrap/>
            <w:vAlign w:val="center"/>
            <w:hideMark/>
          </w:tcPr>
          <w:p w:rsidR="00B83265" w:rsidRPr="007533B0" w:rsidRDefault="00B83265" w:rsidP="007533B0">
            <w:pPr>
              <w:spacing w:after="0"/>
              <w:rPr>
                <w:rFonts w:ascii="Arial" w:eastAsia="Times New Roman" w:hAnsi="Arial" w:cs="Arial"/>
                <w:b/>
                <w:bCs/>
                <w:color w:val="000000"/>
                <w:lang w:eastAsia="zh-CN"/>
              </w:rPr>
            </w:pPr>
            <w:r w:rsidRPr="007533B0">
              <w:rPr>
                <w:rFonts w:ascii="Arial" w:eastAsia="Times New Roman" w:hAnsi="Arial" w:cs="Arial"/>
                <w:b/>
                <w:bCs/>
                <w:color w:val="000000"/>
                <w:lang w:eastAsia="zh-CN"/>
              </w:rPr>
              <w:t>Review 1</w:t>
            </w:r>
          </w:p>
        </w:tc>
        <w:tc>
          <w:tcPr>
            <w:tcW w:w="1308" w:type="dxa"/>
            <w:noWrap/>
            <w:vAlign w:val="center"/>
            <w:hideMark/>
          </w:tcPr>
          <w:p w:rsidR="00B83265" w:rsidRPr="007533B0" w:rsidRDefault="00B83265" w:rsidP="007533B0">
            <w:pPr>
              <w:spacing w:after="0"/>
              <w:rPr>
                <w:rFonts w:ascii="Arial" w:eastAsia="Times New Roman" w:hAnsi="Arial" w:cs="Arial"/>
                <w:b/>
                <w:bCs/>
                <w:color w:val="000000"/>
                <w:lang w:eastAsia="zh-CN"/>
              </w:rPr>
            </w:pPr>
            <w:r w:rsidRPr="007533B0">
              <w:rPr>
                <w:rFonts w:ascii="Arial" w:eastAsia="Times New Roman" w:hAnsi="Arial" w:cs="Arial"/>
                <w:b/>
                <w:bCs/>
                <w:color w:val="000000"/>
                <w:lang w:eastAsia="zh-CN"/>
              </w:rPr>
              <w:t>Review 2</w:t>
            </w:r>
          </w:p>
        </w:tc>
        <w:tc>
          <w:tcPr>
            <w:tcW w:w="1308" w:type="dxa"/>
            <w:noWrap/>
            <w:vAlign w:val="center"/>
            <w:hideMark/>
          </w:tcPr>
          <w:p w:rsidR="00B83265" w:rsidRPr="007533B0" w:rsidRDefault="00B83265" w:rsidP="007533B0">
            <w:pPr>
              <w:spacing w:after="0"/>
              <w:rPr>
                <w:rFonts w:ascii="Arial" w:eastAsia="Times New Roman" w:hAnsi="Arial" w:cs="Arial"/>
                <w:b/>
                <w:bCs/>
                <w:color w:val="000000"/>
                <w:lang w:eastAsia="zh-CN"/>
              </w:rPr>
            </w:pPr>
            <w:r w:rsidRPr="007533B0">
              <w:rPr>
                <w:rFonts w:ascii="Arial" w:eastAsia="Times New Roman" w:hAnsi="Arial" w:cs="Arial"/>
                <w:b/>
                <w:bCs/>
                <w:color w:val="000000"/>
                <w:lang w:eastAsia="zh-CN"/>
              </w:rPr>
              <w:t>Review 3</w:t>
            </w:r>
          </w:p>
        </w:tc>
      </w:tr>
      <w:tr w:rsidR="00B83265" w:rsidRPr="007533B0" w:rsidTr="007533B0">
        <w:trPr>
          <w:trHeight w:val="264"/>
        </w:trPr>
        <w:tc>
          <w:tcPr>
            <w:tcW w:w="2689" w:type="dxa"/>
            <w:noWrap/>
            <w:vAlign w:val="center"/>
          </w:tcPr>
          <w:p w:rsidR="00B83265" w:rsidRPr="007533B0" w:rsidRDefault="00B83265" w:rsidP="007533B0">
            <w:pPr>
              <w:spacing w:after="0"/>
              <w:rPr>
                <w:rFonts w:ascii="Arial" w:hAnsi="Arial" w:cs="Arial"/>
              </w:rPr>
            </w:pPr>
            <w:r w:rsidRPr="007533B0">
              <w:rPr>
                <w:rFonts w:ascii="Arial" w:hAnsi="Arial" w:cs="Arial"/>
              </w:rPr>
              <w:lastRenderedPageBreak/>
              <w:t>3 years</w:t>
            </w:r>
          </w:p>
        </w:tc>
        <w:tc>
          <w:tcPr>
            <w:tcW w:w="1308" w:type="dxa"/>
            <w:noWrap/>
            <w:vAlign w:val="center"/>
          </w:tcPr>
          <w:p w:rsidR="00B83265" w:rsidRPr="007533B0" w:rsidRDefault="00B83265" w:rsidP="007533B0">
            <w:pPr>
              <w:spacing w:after="0"/>
              <w:rPr>
                <w:rFonts w:ascii="Arial" w:hAnsi="Arial" w:cs="Arial"/>
              </w:rPr>
            </w:pPr>
            <w:r w:rsidRPr="007533B0">
              <w:rPr>
                <w:rFonts w:ascii="Arial" w:hAnsi="Arial" w:cs="Arial"/>
              </w:rPr>
              <w:t>16.3%</w:t>
            </w:r>
          </w:p>
        </w:tc>
        <w:tc>
          <w:tcPr>
            <w:tcW w:w="1308" w:type="dxa"/>
            <w:noWrap/>
            <w:vAlign w:val="center"/>
          </w:tcPr>
          <w:p w:rsidR="00B83265" w:rsidRPr="007533B0" w:rsidRDefault="00B83265" w:rsidP="007533B0">
            <w:pPr>
              <w:spacing w:after="0"/>
              <w:rPr>
                <w:rFonts w:ascii="Arial" w:hAnsi="Arial" w:cs="Arial"/>
              </w:rPr>
            </w:pPr>
            <w:r w:rsidRPr="007533B0">
              <w:rPr>
                <w:rFonts w:ascii="Arial" w:hAnsi="Arial" w:cs="Arial"/>
              </w:rPr>
              <w:t>23.8%</w:t>
            </w:r>
          </w:p>
        </w:tc>
        <w:tc>
          <w:tcPr>
            <w:tcW w:w="1308" w:type="dxa"/>
            <w:noWrap/>
            <w:vAlign w:val="center"/>
          </w:tcPr>
          <w:p w:rsidR="00B83265" w:rsidRPr="007533B0" w:rsidRDefault="00B83265" w:rsidP="007533B0">
            <w:pPr>
              <w:spacing w:after="0"/>
              <w:rPr>
                <w:rFonts w:ascii="Arial" w:hAnsi="Arial" w:cs="Arial"/>
              </w:rPr>
            </w:pPr>
            <w:r w:rsidRPr="007533B0">
              <w:rPr>
                <w:rFonts w:ascii="Arial" w:hAnsi="Arial" w:cs="Arial"/>
              </w:rPr>
              <w:t>32.1%</w:t>
            </w:r>
          </w:p>
        </w:tc>
        <w:tc>
          <w:tcPr>
            <w:tcW w:w="1308" w:type="dxa"/>
            <w:noWrap/>
            <w:vAlign w:val="center"/>
          </w:tcPr>
          <w:p w:rsidR="00B83265" w:rsidRPr="007533B0" w:rsidRDefault="00B83265" w:rsidP="007533B0">
            <w:pPr>
              <w:spacing w:after="0"/>
              <w:rPr>
                <w:rFonts w:ascii="Arial" w:hAnsi="Arial" w:cs="Arial"/>
              </w:rPr>
            </w:pPr>
            <w:r w:rsidRPr="007533B0">
              <w:rPr>
                <w:rFonts w:ascii="Arial" w:hAnsi="Arial" w:cs="Arial"/>
              </w:rPr>
              <w:t>51.2%</w:t>
            </w:r>
          </w:p>
        </w:tc>
      </w:tr>
      <w:tr w:rsidR="00B83265" w:rsidRPr="007533B0" w:rsidTr="007533B0">
        <w:trPr>
          <w:trHeight w:val="264"/>
        </w:trPr>
        <w:tc>
          <w:tcPr>
            <w:tcW w:w="2689" w:type="dxa"/>
            <w:noWrap/>
            <w:vAlign w:val="center"/>
          </w:tcPr>
          <w:p w:rsidR="00B83265" w:rsidRPr="007533B0" w:rsidRDefault="00B83265" w:rsidP="007533B0">
            <w:pPr>
              <w:spacing w:after="0"/>
              <w:rPr>
                <w:rFonts w:ascii="Arial" w:hAnsi="Arial" w:cs="Arial"/>
              </w:rPr>
            </w:pPr>
            <w:r w:rsidRPr="007533B0">
              <w:rPr>
                <w:rFonts w:ascii="Arial" w:hAnsi="Arial" w:cs="Arial"/>
              </w:rPr>
              <w:t>2 years</w:t>
            </w:r>
          </w:p>
        </w:tc>
        <w:tc>
          <w:tcPr>
            <w:tcW w:w="1308" w:type="dxa"/>
            <w:noWrap/>
            <w:vAlign w:val="center"/>
          </w:tcPr>
          <w:p w:rsidR="00B83265" w:rsidRPr="007533B0" w:rsidRDefault="00B83265" w:rsidP="007533B0">
            <w:pPr>
              <w:spacing w:after="0"/>
              <w:rPr>
                <w:rFonts w:ascii="Arial" w:hAnsi="Arial" w:cs="Arial"/>
              </w:rPr>
            </w:pPr>
            <w:r w:rsidRPr="007533B0">
              <w:rPr>
                <w:rFonts w:ascii="Arial" w:hAnsi="Arial" w:cs="Arial"/>
              </w:rPr>
              <w:t>29.5%</w:t>
            </w:r>
          </w:p>
        </w:tc>
        <w:tc>
          <w:tcPr>
            <w:tcW w:w="1308" w:type="dxa"/>
            <w:noWrap/>
            <w:vAlign w:val="center"/>
          </w:tcPr>
          <w:p w:rsidR="00B83265" w:rsidRPr="007533B0" w:rsidRDefault="00B83265" w:rsidP="007533B0">
            <w:pPr>
              <w:spacing w:after="0"/>
              <w:rPr>
                <w:rFonts w:ascii="Arial" w:hAnsi="Arial" w:cs="Arial"/>
              </w:rPr>
            </w:pPr>
            <w:r w:rsidRPr="007533B0">
              <w:rPr>
                <w:rFonts w:ascii="Arial" w:hAnsi="Arial" w:cs="Arial"/>
              </w:rPr>
              <w:t>42.9%</w:t>
            </w:r>
          </w:p>
        </w:tc>
        <w:tc>
          <w:tcPr>
            <w:tcW w:w="1308" w:type="dxa"/>
            <w:noWrap/>
            <w:vAlign w:val="center"/>
          </w:tcPr>
          <w:p w:rsidR="00B83265" w:rsidRPr="007533B0" w:rsidRDefault="00B83265" w:rsidP="007533B0">
            <w:pPr>
              <w:spacing w:after="0"/>
              <w:rPr>
                <w:rFonts w:ascii="Arial" w:hAnsi="Arial" w:cs="Arial"/>
              </w:rPr>
            </w:pPr>
            <w:r w:rsidRPr="007533B0">
              <w:rPr>
                <w:rFonts w:ascii="Arial" w:hAnsi="Arial" w:cs="Arial"/>
              </w:rPr>
              <w:t>45.7%</w:t>
            </w:r>
          </w:p>
        </w:tc>
        <w:tc>
          <w:tcPr>
            <w:tcW w:w="1308" w:type="dxa"/>
            <w:noWrap/>
            <w:vAlign w:val="center"/>
          </w:tcPr>
          <w:p w:rsidR="00B83265" w:rsidRPr="007533B0" w:rsidRDefault="00B83265" w:rsidP="007533B0">
            <w:pPr>
              <w:spacing w:after="0"/>
              <w:rPr>
                <w:rFonts w:ascii="Arial" w:hAnsi="Arial" w:cs="Arial"/>
              </w:rPr>
            </w:pPr>
          </w:p>
        </w:tc>
      </w:tr>
      <w:tr w:rsidR="00B83265" w:rsidRPr="007533B0" w:rsidTr="007533B0">
        <w:trPr>
          <w:trHeight w:val="264"/>
        </w:trPr>
        <w:tc>
          <w:tcPr>
            <w:tcW w:w="2689" w:type="dxa"/>
            <w:noWrap/>
            <w:vAlign w:val="center"/>
          </w:tcPr>
          <w:p w:rsidR="00B83265" w:rsidRPr="007533B0" w:rsidRDefault="00B83265" w:rsidP="007533B0">
            <w:pPr>
              <w:spacing w:after="0"/>
              <w:rPr>
                <w:rFonts w:ascii="Arial" w:hAnsi="Arial" w:cs="Arial"/>
              </w:rPr>
            </w:pPr>
            <w:r w:rsidRPr="007533B0">
              <w:rPr>
                <w:rFonts w:ascii="Arial" w:hAnsi="Arial" w:cs="Arial"/>
              </w:rPr>
              <w:t>1 year</w:t>
            </w:r>
          </w:p>
        </w:tc>
        <w:tc>
          <w:tcPr>
            <w:tcW w:w="1308" w:type="dxa"/>
            <w:noWrap/>
            <w:vAlign w:val="center"/>
          </w:tcPr>
          <w:p w:rsidR="00B83265" w:rsidRPr="007533B0" w:rsidRDefault="00B83265" w:rsidP="007533B0">
            <w:pPr>
              <w:spacing w:after="0"/>
              <w:rPr>
                <w:rFonts w:ascii="Arial" w:hAnsi="Arial" w:cs="Arial"/>
              </w:rPr>
            </w:pPr>
            <w:r w:rsidRPr="007533B0">
              <w:rPr>
                <w:rFonts w:ascii="Arial" w:hAnsi="Arial" w:cs="Arial"/>
              </w:rPr>
              <w:t>29.6%</w:t>
            </w:r>
          </w:p>
        </w:tc>
        <w:tc>
          <w:tcPr>
            <w:tcW w:w="1308" w:type="dxa"/>
            <w:noWrap/>
            <w:vAlign w:val="center"/>
          </w:tcPr>
          <w:p w:rsidR="00B83265" w:rsidRPr="007533B0" w:rsidRDefault="00B83265" w:rsidP="007533B0">
            <w:pPr>
              <w:spacing w:after="0"/>
              <w:rPr>
                <w:rFonts w:ascii="Arial" w:hAnsi="Arial" w:cs="Arial"/>
              </w:rPr>
            </w:pPr>
            <w:r w:rsidRPr="007533B0">
              <w:rPr>
                <w:rFonts w:ascii="Arial" w:hAnsi="Arial" w:cs="Arial"/>
              </w:rPr>
              <w:t>43.0%</w:t>
            </w:r>
          </w:p>
        </w:tc>
        <w:tc>
          <w:tcPr>
            <w:tcW w:w="1308" w:type="dxa"/>
            <w:noWrap/>
            <w:vAlign w:val="center"/>
          </w:tcPr>
          <w:p w:rsidR="00B83265" w:rsidRPr="007533B0" w:rsidRDefault="00B83265" w:rsidP="007533B0">
            <w:pPr>
              <w:spacing w:after="0"/>
              <w:rPr>
                <w:rFonts w:ascii="Arial" w:hAnsi="Arial" w:cs="Arial"/>
              </w:rPr>
            </w:pPr>
          </w:p>
        </w:tc>
        <w:tc>
          <w:tcPr>
            <w:tcW w:w="1308" w:type="dxa"/>
            <w:noWrap/>
            <w:vAlign w:val="center"/>
          </w:tcPr>
          <w:p w:rsidR="00B83265" w:rsidRPr="007533B0" w:rsidRDefault="00B83265" w:rsidP="007533B0">
            <w:pPr>
              <w:spacing w:after="0"/>
              <w:rPr>
                <w:rFonts w:ascii="Arial" w:hAnsi="Arial" w:cs="Arial"/>
              </w:rPr>
            </w:pPr>
          </w:p>
        </w:tc>
      </w:tr>
    </w:tbl>
    <w:p w:rsidR="00B83265" w:rsidRDefault="00B83265" w:rsidP="00B83265">
      <w:pPr>
        <w:spacing w:after="240"/>
        <w:rPr>
          <w:rFonts w:cstheme="minorHAnsi"/>
        </w:rPr>
      </w:pPr>
    </w:p>
    <w:p w:rsidR="008E1F90" w:rsidRDefault="0080201D" w:rsidP="00B83265">
      <w:pPr>
        <w:spacing w:after="240"/>
        <w:rPr>
          <w:rFonts w:cstheme="minorHAnsi"/>
        </w:rPr>
      </w:pPr>
      <w:r>
        <w:rPr>
          <w:rFonts w:cstheme="minorHAnsi"/>
        </w:rPr>
        <w:t>Footnote 1</w:t>
      </w:r>
      <w:r w:rsidR="008E1F90">
        <w:rPr>
          <w:rFonts w:cstheme="minorHAnsi"/>
        </w:rPr>
        <w:t xml:space="preserve">: </w:t>
      </w:r>
      <w:r w:rsidR="008E1F90" w:rsidRPr="008E1F90">
        <w:rPr>
          <w:rFonts w:cstheme="minorHAnsi"/>
        </w:rPr>
        <w:t>Cohort 5 (5 Years) and Cohort 4 (4 Years) have been omitted due to small numbers.</w:t>
      </w:r>
    </w:p>
    <w:p w:rsidR="00B83265" w:rsidRPr="002817DE" w:rsidRDefault="00B83265" w:rsidP="002817DE">
      <w:pPr>
        <w:pStyle w:val="Heading2"/>
      </w:pPr>
      <w:bookmarkStart w:id="77" w:name="_Toc121151449"/>
      <w:r w:rsidRPr="002817DE">
        <w:t>Slide 67: Participants aged 15 and over – Employment (benchmark</w:t>
      </w:r>
      <w:r w:rsidR="008E1F90">
        <w:t>s</w:t>
      </w:r>
      <w:r w:rsidRPr="002817DE">
        <w:t>)</w:t>
      </w:r>
      <w:r w:rsidR="008E1F90">
        <w:t xml:space="preserve"> (</w:t>
      </w:r>
      <w:r w:rsidR="0080201D">
        <w:t>Footnote 1</w:t>
      </w:r>
      <w:r w:rsidR="008E1F90">
        <w:t>)</w:t>
      </w:r>
      <w:bookmarkEnd w:id="77"/>
    </w:p>
    <w:p w:rsidR="00B83265" w:rsidRPr="00715092" w:rsidRDefault="00B83265" w:rsidP="00B83265">
      <w:pPr>
        <w:spacing w:after="240"/>
        <w:rPr>
          <w:rFonts w:cstheme="minorHAnsi"/>
        </w:rPr>
      </w:pPr>
      <w:r w:rsidRPr="00715092">
        <w:rPr>
          <w:rFonts w:cstheme="minorHAnsi"/>
        </w:rPr>
        <w:t xml:space="preserve">This slide benchmarks participants’ </w:t>
      </w:r>
      <w:r>
        <w:rPr>
          <w:rFonts w:cstheme="minorHAnsi"/>
        </w:rPr>
        <w:t xml:space="preserve">employment outcomes </w:t>
      </w:r>
      <w:r w:rsidRPr="00715092">
        <w:rPr>
          <w:rFonts w:cstheme="minorHAnsi"/>
        </w:rPr>
        <w:t>relative to those of the Australian population.</w:t>
      </w:r>
    </w:p>
    <w:p w:rsidR="00B83265" w:rsidRDefault="00B83265" w:rsidP="00B83265">
      <w:pPr>
        <w:spacing w:after="240"/>
      </w:pPr>
      <w:r>
        <w:t>Participants’ employment outcomes are generally poorer than for the Australian population. There has been no real change in the percentage of participants working in a paid job between baseline and latest review. For participants in cohort 5, this has remained at around 25% over the five year period, which is well below the benchmark employment rate for the genera</w:t>
      </w:r>
      <w:r w:rsidR="008E1F90">
        <w:t>l Australian population (75.4%) (</w:t>
      </w:r>
      <w:r w:rsidR="0080201D">
        <w:t>Footnote 1</w:t>
      </w:r>
      <w:r w:rsidR="008E1F90">
        <w:t>).</w:t>
      </w:r>
      <w:r>
        <w:t xml:space="preserve"> However, as seen previously, participant trends differ by age group, with younger participants showing improved employment outcomes.</w:t>
      </w:r>
    </w:p>
    <w:p w:rsidR="00B83265" w:rsidRDefault="00B83265" w:rsidP="00B83265">
      <w:pPr>
        <w:spacing w:after="240"/>
      </w:pPr>
      <w:r>
        <w:t>Likewise, a lower percentage of participants aged 15 and over work 15 hours or more per week, compared with</w:t>
      </w:r>
      <w:r w:rsidR="008E1F90">
        <w:t xml:space="preserve"> the general population (80.6%) (Footnote </w:t>
      </w:r>
      <w:r w:rsidR="00412BE9">
        <w:t>1</w:t>
      </w:r>
      <w:r w:rsidR="008E1F90">
        <w:t xml:space="preserve">). </w:t>
      </w:r>
      <w:r>
        <w:t>However, there is a slight increasing trend on this indicator.</w:t>
      </w:r>
    </w:p>
    <w:p w:rsidR="00B83265" w:rsidRDefault="00B83265" w:rsidP="00B83265">
      <w:pPr>
        <w:spacing w:after="240"/>
      </w:pPr>
      <w:r>
        <w:t>About 60% of NDIS participants aged 15 and over are neither working nor looking for work, compared to 21.7% of th</w:t>
      </w:r>
      <w:r w:rsidR="008E1F90">
        <w:t>e overall Australian population (</w:t>
      </w:r>
      <w:r w:rsidR="0080201D">
        <w:t>Footnote 1</w:t>
      </w:r>
      <w:r w:rsidR="008E1F90">
        <w:t>).</w:t>
      </w:r>
    </w:p>
    <w:p w:rsidR="00B83265" w:rsidRDefault="00B83265" w:rsidP="00B83265">
      <w:pPr>
        <w:spacing w:after="240"/>
        <w:rPr>
          <w:rFonts w:cstheme="minorHAnsi"/>
        </w:rPr>
      </w:pPr>
      <w:r>
        <w:rPr>
          <w:rFonts w:cstheme="minorHAnsi"/>
        </w:rPr>
        <w:t xml:space="preserve">Three charts shows </w:t>
      </w:r>
      <w:r w:rsidRPr="00AD4C8D">
        <w:rPr>
          <w:rFonts w:cstheme="minorHAnsi"/>
        </w:rPr>
        <w:t xml:space="preserve">the percentage </w:t>
      </w:r>
      <w:r>
        <w:rPr>
          <w:rFonts w:cstheme="minorHAnsi"/>
        </w:rPr>
        <w:t xml:space="preserve">who are working in a paid job, who are working 15 or more hours per week and who are not working and not looking for work </w:t>
      </w:r>
      <w:r w:rsidRPr="00AD4C8D">
        <w:rPr>
          <w:rFonts w:cstheme="minorHAnsi"/>
        </w:rPr>
        <w:t>at baseline and at subsequent reviews, separately for participants in the five years, four years, three years, two years or one year</w:t>
      </w:r>
      <w:r w:rsidR="00C847F4">
        <w:rPr>
          <w:rFonts w:cstheme="minorHAnsi"/>
        </w:rPr>
        <w:t xml:space="preserve"> cohorts</w:t>
      </w:r>
      <w:r w:rsidRPr="00AD4C8D">
        <w:rPr>
          <w:rFonts w:cstheme="minorHAnsi"/>
        </w:rPr>
        <w:t>.</w:t>
      </w:r>
      <w:r>
        <w:rPr>
          <w:rFonts w:cstheme="minorHAnsi"/>
        </w:rPr>
        <w:t xml:space="preserve"> </w:t>
      </w:r>
      <w:r w:rsidRPr="00715092">
        <w:rPr>
          <w:rFonts w:cstheme="minorHAnsi"/>
        </w:rPr>
        <w:t>Benchmarks for the Australian population are also shown.</w:t>
      </w:r>
    </w:p>
    <w:p w:rsidR="00C847F4" w:rsidRPr="00AD4C8D" w:rsidRDefault="00C847F4" w:rsidP="00B83265">
      <w:pPr>
        <w:spacing w:after="240"/>
        <w:rPr>
          <w:rFonts w:cstheme="minorHAnsi"/>
        </w:rPr>
      </w:pPr>
      <w:r>
        <w:rPr>
          <w:rFonts w:cstheme="minorHAnsi"/>
        </w:rPr>
        <w:t>For PSto14, analysed by time since first in P15to24, otherwise by time in Scheme.</w:t>
      </w:r>
    </w:p>
    <w:p w:rsidR="00B83265" w:rsidRDefault="00B83265" w:rsidP="00B83265">
      <w:pPr>
        <w:spacing w:after="240"/>
        <w:rPr>
          <w:rFonts w:cstheme="minorHAnsi"/>
        </w:rPr>
      </w:pPr>
      <w:r>
        <w:rPr>
          <w:rFonts w:cstheme="minorHAnsi"/>
        </w:rPr>
        <w:t>Working in a paid job</w:t>
      </w:r>
    </w:p>
    <w:tbl>
      <w:tblPr>
        <w:tblpPr w:leftFromText="180" w:rightFromText="180" w:vertAnchor="text" w:tblpY="1"/>
        <w:tblOverlap w:val="never"/>
        <w:tblW w:w="9384" w:type="dxa"/>
        <w:tblLayout w:type="fixed"/>
        <w:tblLook w:val="04A0" w:firstRow="1" w:lastRow="0" w:firstColumn="1" w:lastColumn="0" w:noHBand="0" w:noVBand="1"/>
      </w:tblPr>
      <w:tblGrid>
        <w:gridCol w:w="2197"/>
        <w:gridCol w:w="1197"/>
        <w:gridCol w:w="1198"/>
        <w:gridCol w:w="1198"/>
        <w:gridCol w:w="1198"/>
        <w:gridCol w:w="1198"/>
        <w:gridCol w:w="1198"/>
      </w:tblGrid>
      <w:tr w:rsidR="007533B0" w:rsidRPr="007533B0" w:rsidTr="007533B0">
        <w:trPr>
          <w:trHeight w:val="282"/>
        </w:trPr>
        <w:tc>
          <w:tcPr>
            <w:tcW w:w="21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533B0" w:rsidRPr="007533B0" w:rsidRDefault="007533B0" w:rsidP="007533B0">
            <w:pPr>
              <w:spacing w:after="0" w:line="240" w:lineRule="auto"/>
              <w:rPr>
                <w:rFonts w:ascii="Arial" w:eastAsia="Times New Roman" w:hAnsi="Arial" w:cs="Arial"/>
                <w:b/>
                <w:bCs/>
                <w:color w:val="000000"/>
                <w:lang w:eastAsia="zh-CN"/>
              </w:rPr>
            </w:pPr>
            <w:r w:rsidRPr="007533B0">
              <w:rPr>
                <w:rFonts w:ascii="Arial" w:eastAsia="Times New Roman" w:hAnsi="Arial" w:cs="Arial"/>
                <w:b/>
                <w:bCs/>
                <w:color w:val="000000"/>
                <w:lang w:eastAsia="zh-CN"/>
              </w:rPr>
              <w:t>Cohort/Benchmark</w:t>
            </w:r>
          </w:p>
        </w:tc>
        <w:tc>
          <w:tcPr>
            <w:tcW w:w="1197" w:type="dxa"/>
            <w:tcBorders>
              <w:top w:val="single" w:sz="4" w:space="0" w:color="auto"/>
              <w:left w:val="nil"/>
              <w:bottom w:val="single" w:sz="4" w:space="0" w:color="auto"/>
              <w:right w:val="single" w:sz="4" w:space="0" w:color="auto"/>
            </w:tcBorders>
            <w:shd w:val="clear" w:color="000000" w:fill="FFFFFF"/>
            <w:noWrap/>
            <w:vAlign w:val="center"/>
            <w:hideMark/>
          </w:tcPr>
          <w:p w:rsidR="007533B0" w:rsidRPr="007533B0" w:rsidRDefault="007533B0" w:rsidP="007533B0">
            <w:pPr>
              <w:spacing w:after="0" w:line="240" w:lineRule="auto"/>
              <w:rPr>
                <w:rFonts w:ascii="Arial" w:eastAsia="Times New Roman" w:hAnsi="Arial" w:cs="Arial"/>
                <w:b/>
                <w:bCs/>
                <w:color w:val="000000"/>
                <w:lang w:eastAsia="zh-CN"/>
              </w:rPr>
            </w:pPr>
            <w:r w:rsidRPr="007533B0">
              <w:rPr>
                <w:rFonts w:ascii="Arial" w:eastAsia="Times New Roman" w:hAnsi="Arial" w:cs="Arial"/>
                <w:b/>
                <w:bCs/>
                <w:color w:val="000000"/>
                <w:lang w:eastAsia="zh-CN"/>
              </w:rPr>
              <w:t>Baseline</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7533B0" w:rsidRPr="007533B0" w:rsidRDefault="007533B0" w:rsidP="007533B0">
            <w:pPr>
              <w:spacing w:after="0" w:line="240" w:lineRule="auto"/>
              <w:rPr>
                <w:rFonts w:ascii="Arial" w:eastAsia="Times New Roman" w:hAnsi="Arial" w:cs="Arial"/>
                <w:b/>
                <w:bCs/>
                <w:color w:val="000000"/>
                <w:lang w:eastAsia="zh-CN"/>
              </w:rPr>
            </w:pPr>
            <w:r w:rsidRPr="007533B0">
              <w:rPr>
                <w:rFonts w:ascii="Arial" w:eastAsia="Times New Roman" w:hAnsi="Arial" w:cs="Arial"/>
                <w:b/>
                <w:bCs/>
                <w:color w:val="000000"/>
                <w:lang w:eastAsia="zh-CN"/>
              </w:rPr>
              <w:t>Review 1</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7533B0" w:rsidRPr="007533B0" w:rsidRDefault="007533B0" w:rsidP="007533B0">
            <w:pPr>
              <w:spacing w:after="0" w:line="240" w:lineRule="auto"/>
              <w:rPr>
                <w:rFonts w:ascii="Arial" w:eastAsia="Times New Roman" w:hAnsi="Arial" w:cs="Arial"/>
                <w:b/>
                <w:bCs/>
                <w:color w:val="000000"/>
                <w:lang w:eastAsia="zh-CN"/>
              </w:rPr>
            </w:pPr>
            <w:r w:rsidRPr="007533B0">
              <w:rPr>
                <w:rFonts w:ascii="Arial" w:eastAsia="Times New Roman" w:hAnsi="Arial" w:cs="Arial"/>
                <w:b/>
                <w:bCs/>
                <w:color w:val="000000"/>
                <w:lang w:eastAsia="zh-CN"/>
              </w:rPr>
              <w:t>Review 2</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7533B0" w:rsidRPr="007533B0" w:rsidRDefault="007533B0" w:rsidP="007533B0">
            <w:pPr>
              <w:spacing w:after="0" w:line="240" w:lineRule="auto"/>
              <w:rPr>
                <w:rFonts w:ascii="Arial" w:eastAsia="Times New Roman" w:hAnsi="Arial" w:cs="Arial"/>
                <w:b/>
                <w:bCs/>
                <w:color w:val="000000"/>
                <w:lang w:eastAsia="zh-CN"/>
              </w:rPr>
            </w:pPr>
            <w:r w:rsidRPr="007533B0">
              <w:rPr>
                <w:rFonts w:ascii="Arial" w:eastAsia="Times New Roman" w:hAnsi="Arial" w:cs="Arial"/>
                <w:b/>
                <w:bCs/>
                <w:color w:val="000000"/>
                <w:lang w:eastAsia="zh-CN"/>
              </w:rPr>
              <w:t>Review 3</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7533B0" w:rsidRPr="007533B0" w:rsidRDefault="007533B0" w:rsidP="007533B0">
            <w:pPr>
              <w:spacing w:after="0" w:line="240" w:lineRule="auto"/>
              <w:rPr>
                <w:rFonts w:ascii="Arial" w:eastAsia="Times New Roman" w:hAnsi="Arial" w:cs="Arial"/>
                <w:b/>
                <w:bCs/>
                <w:color w:val="000000"/>
                <w:lang w:eastAsia="zh-CN"/>
              </w:rPr>
            </w:pPr>
            <w:r w:rsidRPr="007533B0">
              <w:rPr>
                <w:rFonts w:ascii="Arial" w:eastAsia="Times New Roman" w:hAnsi="Arial" w:cs="Arial"/>
                <w:b/>
                <w:bCs/>
                <w:color w:val="000000"/>
                <w:lang w:eastAsia="zh-CN"/>
              </w:rPr>
              <w:t>Review 4</w:t>
            </w:r>
          </w:p>
        </w:tc>
        <w:tc>
          <w:tcPr>
            <w:tcW w:w="1198" w:type="dxa"/>
            <w:tcBorders>
              <w:top w:val="single" w:sz="4" w:space="0" w:color="auto"/>
              <w:left w:val="nil"/>
              <w:bottom w:val="single" w:sz="4" w:space="0" w:color="auto"/>
              <w:right w:val="single" w:sz="4" w:space="0" w:color="auto"/>
            </w:tcBorders>
            <w:shd w:val="clear" w:color="000000" w:fill="FFFFFF"/>
            <w:vAlign w:val="center"/>
          </w:tcPr>
          <w:p w:rsidR="007533B0" w:rsidRPr="007533B0" w:rsidRDefault="007533B0" w:rsidP="007533B0">
            <w:pPr>
              <w:spacing w:after="0" w:line="240" w:lineRule="auto"/>
              <w:rPr>
                <w:rFonts w:ascii="Arial" w:eastAsia="Times New Roman" w:hAnsi="Arial" w:cs="Arial"/>
                <w:b/>
                <w:bCs/>
                <w:color w:val="000000"/>
                <w:lang w:eastAsia="zh-CN"/>
              </w:rPr>
            </w:pPr>
            <w:r w:rsidRPr="007533B0">
              <w:rPr>
                <w:rFonts w:ascii="Arial" w:eastAsia="Times New Roman" w:hAnsi="Arial" w:cs="Arial"/>
                <w:b/>
                <w:bCs/>
                <w:color w:val="000000"/>
                <w:lang w:eastAsia="zh-CN"/>
              </w:rPr>
              <w:t>Review 5</w:t>
            </w:r>
          </w:p>
        </w:tc>
      </w:tr>
      <w:tr w:rsidR="00B83265" w:rsidRPr="007533B0" w:rsidTr="007533B0">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center"/>
            <w:hideMark/>
          </w:tcPr>
          <w:p w:rsidR="00B83265" w:rsidRPr="007533B0" w:rsidRDefault="00B83265" w:rsidP="007533B0">
            <w:pPr>
              <w:spacing w:after="0"/>
              <w:rPr>
                <w:rFonts w:ascii="Arial" w:hAnsi="Arial" w:cs="Arial"/>
              </w:rPr>
            </w:pPr>
            <w:r w:rsidRPr="007533B0">
              <w:rPr>
                <w:rFonts w:ascii="Arial" w:hAnsi="Arial" w:cs="Arial"/>
              </w:rPr>
              <w:t>Benchmark</w:t>
            </w:r>
          </w:p>
        </w:tc>
        <w:tc>
          <w:tcPr>
            <w:tcW w:w="1197" w:type="dxa"/>
            <w:tcBorders>
              <w:top w:val="nil"/>
              <w:left w:val="nil"/>
              <w:bottom w:val="single" w:sz="4" w:space="0" w:color="auto"/>
              <w:right w:val="single" w:sz="4" w:space="0" w:color="auto"/>
            </w:tcBorders>
            <w:shd w:val="clear" w:color="000000" w:fill="FFFFFF"/>
            <w:noWrap/>
            <w:vAlign w:val="center"/>
          </w:tcPr>
          <w:p w:rsidR="00B83265" w:rsidRPr="007533B0" w:rsidRDefault="00B83265" w:rsidP="007533B0">
            <w:pPr>
              <w:spacing w:after="0"/>
              <w:rPr>
                <w:rFonts w:ascii="Arial" w:hAnsi="Arial" w:cs="Arial"/>
              </w:rPr>
            </w:pPr>
            <w:r w:rsidRPr="007533B0">
              <w:rPr>
                <w:rFonts w:ascii="Arial" w:hAnsi="Arial" w:cs="Arial"/>
              </w:rPr>
              <w:t>75.4%</w:t>
            </w:r>
          </w:p>
        </w:tc>
        <w:tc>
          <w:tcPr>
            <w:tcW w:w="1198" w:type="dxa"/>
            <w:tcBorders>
              <w:top w:val="nil"/>
              <w:left w:val="nil"/>
              <w:bottom w:val="single" w:sz="4" w:space="0" w:color="auto"/>
              <w:right w:val="single" w:sz="4" w:space="0" w:color="auto"/>
            </w:tcBorders>
            <w:shd w:val="clear" w:color="000000" w:fill="FFFFFF"/>
            <w:noWrap/>
            <w:vAlign w:val="center"/>
          </w:tcPr>
          <w:p w:rsidR="00B83265" w:rsidRPr="007533B0" w:rsidRDefault="00B83265" w:rsidP="007533B0">
            <w:pPr>
              <w:spacing w:after="0"/>
              <w:rPr>
                <w:rFonts w:ascii="Arial" w:hAnsi="Arial" w:cs="Arial"/>
              </w:rPr>
            </w:pPr>
            <w:r w:rsidRPr="007533B0">
              <w:rPr>
                <w:rFonts w:ascii="Arial" w:hAnsi="Arial" w:cs="Arial"/>
              </w:rPr>
              <w:t>75.4%</w:t>
            </w:r>
          </w:p>
        </w:tc>
        <w:tc>
          <w:tcPr>
            <w:tcW w:w="1198" w:type="dxa"/>
            <w:tcBorders>
              <w:top w:val="nil"/>
              <w:left w:val="nil"/>
              <w:bottom w:val="single" w:sz="4" w:space="0" w:color="auto"/>
              <w:right w:val="single" w:sz="4" w:space="0" w:color="auto"/>
            </w:tcBorders>
            <w:shd w:val="clear" w:color="000000" w:fill="FFFFFF"/>
            <w:noWrap/>
            <w:vAlign w:val="center"/>
          </w:tcPr>
          <w:p w:rsidR="00B83265" w:rsidRPr="007533B0" w:rsidRDefault="00B83265" w:rsidP="007533B0">
            <w:pPr>
              <w:spacing w:after="0"/>
              <w:rPr>
                <w:rFonts w:ascii="Arial" w:hAnsi="Arial" w:cs="Arial"/>
              </w:rPr>
            </w:pPr>
            <w:r w:rsidRPr="007533B0">
              <w:rPr>
                <w:rFonts w:ascii="Arial" w:hAnsi="Arial" w:cs="Arial"/>
              </w:rPr>
              <w:t>75.4%</w:t>
            </w:r>
          </w:p>
        </w:tc>
        <w:tc>
          <w:tcPr>
            <w:tcW w:w="1198" w:type="dxa"/>
            <w:tcBorders>
              <w:top w:val="nil"/>
              <w:left w:val="nil"/>
              <w:bottom w:val="single" w:sz="4" w:space="0" w:color="auto"/>
              <w:right w:val="single" w:sz="4" w:space="0" w:color="auto"/>
            </w:tcBorders>
            <w:shd w:val="clear" w:color="000000" w:fill="FFFFFF"/>
            <w:noWrap/>
            <w:vAlign w:val="center"/>
          </w:tcPr>
          <w:p w:rsidR="00B83265" w:rsidRPr="007533B0" w:rsidRDefault="00B83265" w:rsidP="007533B0">
            <w:pPr>
              <w:spacing w:after="0"/>
              <w:rPr>
                <w:rFonts w:ascii="Arial" w:hAnsi="Arial" w:cs="Arial"/>
              </w:rPr>
            </w:pPr>
            <w:r w:rsidRPr="007533B0">
              <w:rPr>
                <w:rFonts w:ascii="Arial" w:hAnsi="Arial" w:cs="Arial"/>
              </w:rPr>
              <w:t>75.4%</w:t>
            </w:r>
          </w:p>
        </w:tc>
        <w:tc>
          <w:tcPr>
            <w:tcW w:w="1198" w:type="dxa"/>
            <w:tcBorders>
              <w:top w:val="nil"/>
              <w:left w:val="nil"/>
              <w:bottom w:val="single" w:sz="4" w:space="0" w:color="auto"/>
              <w:right w:val="single" w:sz="4" w:space="0" w:color="auto"/>
            </w:tcBorders>
            <w:shd w:val="clear" w:color="000000" w:fill="FFFFFF"/>
            <w:noWrap/>
            <w:vAlign w:val="center"/>
          </w:tcPr>
          <w:p w:rsidR="00B83265" w:rsidRPr="007533B0" w:rsidRDefault="00B83265" w:rsidP="007533B0">
            <w:pPr>
              <w:spacing w:after="0"/>
              <w:rPr>
                <w:rFonts w:ascii="Arial" w:hAnsi="Arial" w:cs="Arial"/>
              </w:rPr>
            </w:pPr>
            <w:r w:rsidRPr="007533B0">
              <w:rPr>
                <w:rFonts w:ascii="Arial" w:hAnsi="Arial" w:cs="Arial"/>
              </w:rPr>
              <w:t>75.4%</w:t>
            </w:r>
          </w:p>
        </w:tc>
        <w:tc>
          <w:tcPr>
            <w:tcW w:w="1198" w:type="dxa"/>
            <w:tcBorders>
              <w:top w:val="nil"/>
              <w:left w:val="nil"/>
              <w:bottom w:val="single" w:sz="4" w:space="0" w:color="auto"/>
              <w:right w:val="single" w:sz="4" w:space="0" w:color="auto"/>
            </w:tcBorders>
            <w:shd w:val="clear" w:color="000000" w:fill="FFFFFF"/>
            <w:vAlign w:val="center"/>
          </w:tcPr>
          <w:p w:rsidR="00B83265" w:rsidRPr="007533B0" w:rsidRDefault="00B83265" w:rsidP="007533B0">
            <w:pPr>
              <w:spacing w:after="0"/>
              <w:rPr>
                <w:rFonts w:ascii="Arial" w:hAnsi="Arial" w:cs="Arial"/>
              </w:rPr>
            </w:pPr>
            <w:r w:rsidRPr="007533B0">
              <w:rPr>
                <w:rFonts w:ascii="Arial" w:hAnsi="Arial" w:cs="Arial"/>
              </w:rPr>
              <w:t>75.4%</w:t>
            </w:r>
          </w:p>
        </w:tc>
      </w:tr>
      <w:tr w:rsidR="007533B0" w:rsidRPr="007533B0" w:rsidTr="007533B0">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bottom"/>
          </w:tcPr>
          <w:p w:rsidR="007533B0" w:rsidRPr="007533B0" w:rsidRDefault="007533B0" w:rsidP="007533B0">
            <w:pPr>
              <w:spacing w:after="0" w:line="240" w:lineRule="auto"/>
              <w:rPr>
                <w:rFonts w:ascii="Arial" w:eastAsia="Times New Roman" w:hAnsi="Arial" w:cs="Arial"/>
                <w:bCs/>
                <w:color w:val="000000"/>
                <w:lang w:eastAsia="en-AU"/>
              </w:rPr>
            </w:pPr>
            <w:r w:rsidRPr="007533B0">
              <w:rPr>
                <w:rFonts w:ascii="Arial" w:eastAsia="Times New Roman" w:hAnsi="Arial" w:cs="Arial"/>
                <w:bCs/>
                <w:color w:val="000000"/>
                <w:lang w:eastAsia="en-AU"/>
              </w:rPr>
              <w:t>5 years</w:t>
            </w:r>
          </w:p>
        </w:tc>
        <w:tc>
          <w:tcPr>
            <w:tcW w:w="1197" w:type="dxa"/>
            <w:tcBorders>
              <w:top w:val="nil"/>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r w:rsidRPr="007533B0">
              <w:rPr>
                <w:rFonts w:ascii="Arial" w:hAnsi="Arial" w:cs="Arial"/>
              </w:rPr>
              <w:t>24.7%</w:t>
            </w:r>
          </w:p>
        </w:tc>
        <w:tc>
          <w:tcPr>
            <w:tcW w:w="1198" w:type="dxa"/>
            <w:tcBorders>
              <w:top w:val="nil"/>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r w:rsidRPr="007533B0">
              <w:rPr>
                <w:rFonts w:ascii="Arial" w:hAnsi="Arial" w:cs="Arial"/>
              </w:rPr>
              <w:t>26.0%</w:t>
            </w:r>
          </w:p>
        </w:tc>
        <w:tc>
          <w:tcPr>
            <w:tcW w:w="1198" w:type="dxa"/>
            <w:tcBorders>
              <w:top w:val="nil"/>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r w:rsidRPr="007533B0">
              <w:rPr>
                <w:rFonts w:ascii="Arial" w:hAnsi="Arial" w:cs="Arial"/>
              </w:rPr>
              <w:t>24.4%</w:t>
            </w:r>
          </w:p>
        </w:tc>
        <w:tc>
          <w:tcPr>
            <w:tcW w:w="1198" w:type="dxa"/>
            <w:tcBorders>
              <w:top w:val="nil"/>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r w:rsidRPr="007533B0">
              <w:rPr>
                <w:rFonts w:ascii="Arial" w:hAnsi="Arial" w:cs="Arial"/>
              </w:rPr>
              <w:t>26.4%</w:t>
            </w:r>
          </w:p>
        </w:tc>
        <w:tc>
          <w:tcPr>
            <w:tcW w:w="1198" w:type="dxa"/>
            <w:tcBorders>
              <w:top w:val="nil"/>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r w:rsidRPr="007533B0">
              <w:rPr>
                <w:rFonts w:ascii="Arial" w:hAnsi="Arial" w:cs="Arial"/>
              </w:rPr>
              <w:t>22.7%</w:t>
            </w:r>
          </w:p>
        </w:tc>
        <w:tc>
          <w:tcPr>
            <w:tcW w:w="1198" w:type="dxa"/>
            <w:tcBorders>
              <w:top w:val="nil"/>
              <w:left w:val="nil"/>
              <w:bottom w:val="single" w:sz="4" w:space="0" w:color="auto"/>
              <w:right w:val="single" w:sz="4" w:space="0" w:color="auto"/>
            </w:tcBorders>
            <w:shd w:val="clear" w:color="000000" w:fill="FFFFFF"/>
            <w:vAlign w:val="center"/>
          </w:tcPr>
          <w:p w:rsidR="007533B0" w:rsidRPr="007533B0" w:rsidRDefault="007533B0" w:rsidP="007533B0">
            <w:pPr>
              <w:spacing w:after="0"/>
              <w:rPr>
                <w:rFonts w:ascii="Arial" w:hAnsi="Arial" w:cs="Arial"/>
              </w:rPr>
            </w:pPr>
            <w:r w:rsidRPr="007533B0">
              <w:rPr>
                <w:rFonts w:ascii="Arial" w:hAnsi="Arial" w:cs="Arial"/>
              </w:rPr>
              <w:t>25.2%</w:t>
            </w:r>
          </w:p>
        </w:tc>
      </w:tr>
      <w:tr w:rsidR="007533B0" w:rsidRPr="007533B0" w:rsidTr="007533B0">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bottom"/>
            <w:hideMark/>
          </w:tcPr>
          <w:p w:rsidR="007533B0" w:rsidRPr="007533B0" w:rsidRDefault="007533B0" w:rsidP="007533B0">
            <w:pPr>
              <w:spacing w:after="0" w:line="240" w:lineRule="auto"/>
              <w:rPr>
                <w:rFonts w:ascii="Arial" w:eastAsia="Times New Roman" w:hAnsi="Arial" w:cs="Arial"/>
                <w:bCs/>
                <w:color w:val="000000"/>
                <w:lang w:eastAsia="en-AU"/>
              </w:rPr>
            </w:pPr>
            <w:r w:rsidRPr="007533B0">
              <w:rPr>
                <w:rFonts w:ascii="Arial" w:eastAsia="Times New Roman" w:hAnsi="Arial" w:cs="Arial"/>
                <w:bCs/>
                <w:color w:val="000000"/>
                <w:lang w:eastAsia="en-AU"/>
              </w:rPr>
              <w:t>4 years</w:t>
            </w:r>
          </w:p>
        </w:tc>
        <w:tc>
          <w:tcPr>
            <w:tcW w:w="1197" w:type="dxa"/>
            <w:tcBorders>
              <w:top w:val="nil"/>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r w:rsidRPr="007533B0">
              <w:rPr>
                <w:rFonts w:ascii="Arial" w:hAnsi="Arial" w:cs="Arial"/>
              </w:rPr>
              <w:t>23.9%</w:t>
            </w:r>
          </w:p>
        </w:tc>
        <w:tc>
          <w:tcPr>
            <w:tcW w:w="1198" w:type="dxa"/>
            <w:tcBorders>
              <w:top w:val="nil"/>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r w:rsidRPr="007533B0">
              <w:rPr>
                <w:rFonts w:ascii="Arial" w:hAnsi="Arial" w:cs="Arial"/>
              </w:rPr>
              <w:t>24.8%</w:t>
            </w:r>
          </w:p>
        </w:tc>
        <w:tc>
          <w:tcPr>
            <w:tcW w:w="1198" w:type="dxa"/>
            <w:tcBorders>
              <w:top w:val="nil"/>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r w:rsidRPr="007533B0">
              <w:rPr>
                <w:rFonts w:ascii="Arial" w:hAnsi="Arial" w:cs="Arial"/>
              </w:rPr>
              <w:t>24.4%</w:t>
            </w:r>
          </w:p>
        </w:tc>
        <w:tc>
          <w:tcPr>
            <w:tcW w:w="1198" w:type="dxa"/>
            <w:tcBorders>
              <w:top w:val="nil"/>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r w:rsidRPr="007533B0">
              <w:rPr>
                <w:rFonts w:ascii="Arial" w:hAnsi="Arial" w:cs="Arial"/>
              </w:rPr>
              <w:t>21.8%</w:t>
            </w:r>
          </w:p>
        </w:tc>
        <w:tc>
          <w:tcPr>
            <w:tcW w:w="1198" w:type="dxa"/>
            <w:tcBorders>
              <w:top w:val="nil"/>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r w:rsidRPr="007533B0">
              <w:rPr>
                <w:rFonts w:ascii="Arial" w:hAnsi="Arial" w:cs="Arial"/>
              </w:rPr>
              <w:t>24.6%</w:t>
            </w:r>
          </w:p>
        </w:tc>
        <w:tc>
          <w:tcPr>
            <w:tcW w:w="1198" w:type="dxa"/>
            <w:tcBorders>
              <w:top w:val="nil"/>
              <w:left w:val="nil"/>
              <w:bottom w:val="single" w:sz="4" w:space="0" w:color="auto"/>
              <w:right w:val="single" w:sz="4" w:space="0" w:color="auto"/>
            </w:tcBorders>
            <w:shd w:val="clear" w:color="000000" w:fill="FFFFFF"/>
            <w:vAlign w:val="center"/>
          </w:tcPr>
          <w:p w:rsidR="007533B0" w:rsidRPr="007533B0" w:rsidRDefault="007533B0" w:rsidP="007533B0">
            <w:pPr>
              <w:spacing w:after="0"/>
              <w:rPr>
                <w:rFonts w:ascii="Arial" w:hAnsi="Arial" w:cs="Arial"/>
              </w:rPr>
            </w:pPr>
          </w:p>
        </w:tc>
      </w:tr>
      <w:tr w:rsidR="007533B0" w:rsidRPr="007533B0" w:rsidTr="007533B0">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bottom"/>
            <w:hideMark/>
          </w:tcPr>
          <w:p w:rsidR="007533B0" w:rsidRPr="007533B0" w:rsidRDefault="007533B0" w:rsidP="007533B0">
            <w:pPr>
              <w:spacing w:after="0" w:line="240" w:lineRule="auto"/>
              <w:rPr>
                <w:rFonts w:ascii="Arial" w:eastAsia="Times New Roman" w:hAnsi="Arial" w:cs="Arial"/>
                <w:bCs/>
                <w:color w:val="000000"/>
                <w:lang w:eastAsia="en-AU"/>
              </w:rPr>
            </w:pPr>
            <w:r w:rsidRPr="007533B0">
              <w:rPr>
                <w:rFonts w:ascii="Arial" w:eastAsia="Times New Roman" w:hAnsi="Arial" w:cs="Arial"/>
                <w:bCs/>
                <w:color w:val="000000"/>
                <w:lang w:eastAsia="en-AU"/>
              </w:rPr>
              <w:t>3 years</w:t>
            </w:r>
          </w:p>
        </w:tc>
        <w:tc>
          <w:tcPr>
            <w:tcW w:w="1197" w:type="dxa"/>
            <w:tcBorders>
              <w:top w:val="nil"/>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r w:rsidRPr="007533B0">
              <w:rPr>
                <w:rFonts w:ascii="Arial" w:hAnsi="Arial" w:cs="Arial"/>
              </w:rPr>
              <w:t>20.8%</w:t>
            </w:r>
          </w:p>
        </w:tc>
        <w:tc>
          <w:tcPr>
            <w:tcW w:w="1198" w:type="dxa"/>
            <w:tcBorders>
              <w:top w:val="nil"/>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r w:rsidRPr="007533B0">
              <w:rPr>
                <w:rFonts w:ascii="Arial" w:hAnsi="Arial" w:cs="Arial"/>
              </w:rPr>
              <w:t>21.6%</w:t>
            </w:r>
          </w:p>
        </w:tc>
        <w:tc>
          <w:tcPr>
            <w:tcW w:w="1198" w:type="dxa"/>
            <w:tcBorders>
              <w:top w:val="nil"/>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r w:rsidRPr="007533B0">
              <w:rPr>
                <w:rFonts w:ascii="Arial" w:hAnsi="Arial" w:cs="Arial"/>
              </w:rPr>
              <w:t>18.9%</w:t>
            </w:r>
          </w:p>
        </w:tc>
        <w:tc>
          <w:tcPr>
            <w:tcW w:w="1198" w:type="dxa"/>
            <w:tcBorders>
              <w:top w:val="nil"/>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r w:rsidRPr="007533B0">
              <w:rPr>
                <w:rFonts w:ascii="Arial" w:hAnsi="Arial" w:cs="Arial"/>
              </w:rPr>
              <w:t>21.6%</w:t>
            </w:r>
          </w:p>
        </w:tc>
        <w:tc>
          <w:tcPr>
            <w:tcW w:w="1198" w:type="dxa"/>
            <w:tcBorders>
              <w:top w:val="nil"/>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p>
        </w:tc>
        <w:tc>
          <w:tcPr>
            <w:tcW w:w="1198" w:type="dxa"/>
            <w:tcBorders>
              <w:top w:val="nil"/>
              <w:left w:val="nil"/>
              <w:bottom w:val="single" w:sz="4" w:space="0" w:color="auto"/>
              <w:right w:val="single" w:sz="4" w:space="0" w:color="auto"/>
            </w:tcBorders>
            <w:shd w:val="clear" w:color="000000" w:fill="FFFFFF"/>
            <w:vAlign w:val="center"/>
          </w:tcPr>
          <w:p w:rsidR="007533B0" w:rsidRPr="007533B0" w:rsidRDefault="007533B0" w:rsidP="007533B0">
            <w:pPr>
              <w:spacing w:after="0"/>
              <w:rPr>
                <w:rFonts w:ascii="Arial" w:hAnsi="Arial" w:cs="Arial"/>
              </w:rPr>
            </w:pPr>
          </w:p>
        </w:tc>
      </w:tr>
      <w:tr w:rsidR="007533B0" w:rsidRPr="007533B0" w:rsidTr="007533B0">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bottom"/>
            <w:hideMark/>
          </w:tcPr>
          <w:p w:rsidR="007533B0" w:rsidRPr="007533B0" w:rsidRDefault="007533B0" w:rsidP="007533B0">
            <w:pPr>
              <w:spacing w:after="0" w:line="240" w:lineRule="auto"/>
              <w:rPr>
                <w:rFonts w:ascii="Arial" w:eastAsia="Times New Roman" w:hAnsi="Arial" w:cs="Arial"/>
                <w:bCs/>
                <w:color w:val="000000"/>
                <w:lang w:eastAsia="en-AU"/>
              </w:rPr>
            </w:pPr>
            <w:r w:rsidRPr="007533B0">
              <w:rPr>
                <w:rFonts w:ascii="Arial" w:eastAsia="Times New Roman" w:hAnsi="Arial" w:cs="Arial"/>
                <w:bCs/>
                <w:color w:val="000000"/>
                <w:lang w:eastAsia="en-AU"/>
              </w:rPr>
              <w:t>2 years</w:t>
            </w:r>
          </w:p>
        </w:tc>
        <w:tc>
          <w:tcPr>
            <w:tcW w:w="1197" w:type="dxa"/>
            <w:tcBorders>
              <w:top w:val="nil"/>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r w:rsidRPr="007533B0">
              <w:rPr>
                <w:rFonts w:ascii="Arial" w:hAnsi="Arial" w:cs="Arial"/>
              </w:rPr>
              <w:t>19.3%</w:t>
            </w:r>
          </w:p>
        </w:tc>
        <w:tc>
          <w:tcPr>
            <w:tcW w:w="1198" w:type="dxa"/>
            <w:tcBorders>
              <w:top w:val="nil"/>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r w:rsidRPr="007533B0">
              <w:rPr>
                <w:rFonts w:ascii="Arial" w:hAnsi="Arial" w:cs="Arial"/>
              </w:rPr>
              <w:t>19.4%</w:t>
            </w:r>
          </w:p>
        </w:tc>
        <w:tc>
          <w:tcPr>
            <w:tcW w:w="1198" w:type="dxa"/>
            <w:tcBorders>
              <w:top w:val="nil"/>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r w:rsidRPr="007533B0">
              <w:rPr>
                <w:rFonts w:ascii="Arial" w:hAnsi="Arial" w:cs="Arial"/>
              </w:rPr>
              <w:t>20.4%</w:t>
            </w:r>
          </w:p>
        </w:tc>
        <w:tc>
          <w:tcPr>
            <w:tcW w:w="1198" w:type="dxa"/>
            <w:tcBorders>
              <w:top w:val="nil"/>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p>
        </w:tc>
        <w:tc>
          <w:tcPr>
            <w:tcW w:w="1198" w:type="dxa"/>
            <w:tcBorders>
              <w:top w:val="nil"/>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p>
        </w:tc>
        <w:tc>
          <w:tcPr>
            <w:tcW w:w="1198" w:type="dxa"/>
            <w:tcBorders>
              <w:top w:val="nil"/>
              <w:left w:val="nil"/>
              <w:bottom w:val="single" w:sz="4" w:space="0" w:color="auto"/>
              <w:right w:val="single" w:sz="4" w:space="0" w:color="auto"/>
            </w:tcBorders>
            <w:shd w:val="clear" w:color="000000" w:fill="FFFFFF"/>
            <w:vAlign w:val="center"/>
          </w:tcPr>
          <w:p w:rsidR="007533B0" w:rsidRPr="007533B0" w:rsidRDefault="007533B0" w:rsidP="007533B0">
            <w:pPr>
              <w:spacing w:after="0"/>
              <w:rPr>
                <w:rFonts w:ascii="Arial" w:hAnsi="Arial" w:cs="Arial"/>
              </w:rPr>
            </w:pPr>
          </w:p>
        </w:tc>
      </w:tr>
      <w:tr w:rsidR="007533B0" w:rsidRPr="007533B0" w:rsidTr="007533B0">
        <w:trPr>
          <w:trHeight w:val="282"/>
        </w:trPr>
        <w:tc>
          <w:tcPr>
            <w:tcW w:w="219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533B0" w:rsidRPr="007533B0" w:rsidRDefault="007533B0" w:rsidP="007533B0">
            <w:pPr>
              <w:spacing w:after="0" w:line="240" w:lineRule="auto"/>
              <w:rPr>
                <w:rFonts w:ascii="Arial" w:eastAsia="Times New Roman" w:hAnsi="Arial" w:cs="Arial"/>
                <w:bCs/>
                <w:color w:val="000000"/>
                <w:lang w:eastAsia="en-AU"/>
              </w:rPr>
            </w:pPr>
            <w:r w:rsidRPr="007533B0">
              <w:rPr>
                <w:rFonts w:ascii="Arial" w:eastAsia="Times New Roman" w:hAnsi="Arial" w:cs="Arial"/>
                <w:bCs/>
                <w:color w:val="000000"/>
                <w:lang w:eastAsia="en-AU"/>
              </w:rPr>
              <w:t>1 year</w:t>
            </w:r>
          </w:p>
        </w:tc>
        <w:tc>
          <w:tcPr>
            <w:tcW w:w="1197" w:type="dxa"/>
            <w:tcBorders>
              <w:top w:val="single" w:sz="4" w:space="0" w:color="auto"/>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r w:rsidRPr="007533B0">
              <w:rPr>
                <w:rFonts w:ascii="Arial" w:hAnsi="Arial" w:cs="Arial"/>
              </w:rPr>
              <w:t>19.3%</w:t>
            </w:r>
          </w:p>
        </w:tc>
        <w:tc>
          <w:tcPr>
            <w:tcW w:w="1198" w:type="dxa"/>
            <w:tcBorders>
              <w:top w:val="single" w:sz="4" w:space="0" w:color="auto"/>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r w:rsidRPr="007533B0">
              <w:rPr>
                <w:rFonts w:ascii="Arial" w:hAnsi="Arial" w:cs="Arial"/>
              </w:rPr>
              <w:t>20.2%</w:t>
            </w:r>
          </w:p>
        </w:tc>
        <w:tc>
          <w:tcPr>
            <w:tcW w:w="1198" w:type="dxa"/>
            <w:tcBorders>
              <w:top w:val="single" w:sz="4" w:space="0" w:color="auto"/>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p>
        </w:tc>
        <w:tc>
          <w:tcPr>
            <w:tcW w:w="1198" w:type="dxa"/>
            <w:tcBorders>
              <w:top w:val="single" w:sz="4" w:space="0" w:color="auto"/>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p>
        </w:tc>
        <w:tc>
          <w:tcPr>
            <w:tcW w:w="1198" w:type="dxa"/>
            <w:tcBorders>
              <w:top w:val="single" w:sz="4" w:space="0" w:color="auto"/>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p>
        </w:tc>
        <w:tc>
          <w:tcPr>
            <w:tcW w:w="1198" w:type="dxa"/>
            <w:tcBorders>
              <w:top w:val="single" w:sz="4" w:space="0" w:color="auto"/>
              <w:left w:val="nil"/>
              <w:bottom w:val="single" w:sz="4" w:space="0" w:color="auto"/>
              <w:right w:val="single" w:sz="4" w:space="0" w:color="auto"/>
            </w:tcBorders>
            <w:shd w:val="clear" w:color="000000" w:fill="FFFFFF"/>
            <w:vAlign w:val="center"/>
          </w:tcPr>
          <w:p w:rsidR="007533B0" w:rsidRPr="007533B0" w:rsidRDefault="007533B0" w:rsidP="007533B0">
            <w:pPr>
              <w:spacing w:after="0"/>
              <w:rPr>
                <w:rFonts w:ascii="Arial" w:hAnsi="Arial" w:cs="Arial"/>
              </w:rPr>
            </w:pPr>
          </w:p>
        </w:tc>
      </w:tr>
    </w:tbl>
    <w:p w:rsidR="00B83265" w:rsidRDefault="00B83265" w:rsidP="00B83265">
      <w:pPr>
        <w:spacing w:after="240"/>
        <w:rPr>
          <w:rFonts w:cstheme="minorHAnsi"/>
        </w:rPr>
      </w:pPr>
    </w:p>
    <w:p w:rsidR="00B83265" w:rsidRDefault="00B83265" w:rsidP="00B83265">
      <w:pPr>
        <w:spacing w:after="240"/>
        <w:rPr>
          <w:rFonts w:cstheme="minorHAnsi"/>
        </w:rPr>
      </w:pPr>
      <w:r>
        <w:rPr>
          <w:rFonts w:cstheme="minorHAnsi"/>
        </w:rPr>
        <w:t>Working 15 or more hours per week</w:t>
      </w:r>
    </w:p>
    <w:tbl>
      <w:tblPr>
        <w:tblpPr w:leftFromText="180" w:rightFromText="180" w:vertAnchor="text" w:tblpY="1"/>
        <w:tblOverlap w:val="never"/>
        <w:tblW w:w="9384" w:type="dxa"/>
        <w:tblLayout w:type="fixed"/>
        <w:tblLook w:val="04A0" w:firstRow="1" w:lastRow="0" w:firstColumn="1" w:lastColumn="0" w:noHBand="0" w:noVBand="1"/>
      </w:tblPr>
      <w:tblGrid>
        <w:gridCol w:w="2197"/>
        <w:gridCol w:w="1197"/>
        <w:gridCol w:w="1198"/>
        <w:gridCol w:w="1198"/>
        <w:gridCol w:w="1198"/>
        <w:gridCol w:w="1198"/>
        <w:gridCol w:w="1198"/>
      </w:tblGrid>
      <w:tr w:rsidR="007533B0" w:rsidRPr="007533B0" w:rsidTr="00B32499">
        <w:trPr>
          <w:trHeight w:val="282"/>
        </w:trPr>
        <w:tc>
          <w:tcPr>
            <w:tcW w:w="21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533B0" w:rsidRPr="007533B0" w:rsidRDefault="007533B0" w:rsidP="007533B0">
            <w:pPr>
              <w:spacing w:after="0" w:line="240" w:lineRule="auto"/>
              <w:rPr>
                <w:rFonts w:ascii="Arial" w:eastAsia="Times New Roman" w:hAnsi="Arial" w:cs="Arial"/>
                <w:b/>
                <w:bCs/>
                <w:color w:val="000000"/>
                <w:lang w:eastAsia="zh-CN"/>
              </w:rPr>
            </w:pPr>
            <w:r w:rsidRPr="007533B0">
              <w:rPr>
                <w:rFonts w:ascii="Arial" w:eastAsia="Times New Roman" w:hAnsi="Arial" w:cs="Arial"/>
                <w:b/>
                <w:bCs/>
                <w:color w:val="000000"/>
                <w:lang w:eastAsia="zh-CN"/>
              </w:rPr>
              <w:t>Cohort/Benchmark</w:t>
            </w:r>
          </w:p>
        </w:tc>
        <w:tc>
          <w:tcPr>
            <w:tcW w:w="1197" w:type="dxa"/>
            <w:tcBorders>
              <w:top w:val="single" w:sz="4" w:space="0" w:color="auto"/>
              <w:left w:val="nil"/>
              <w:bottom w:val="single" w:sz="4" w:space="0" w:color="auto"/>
              <w:right w:val="single" w:sz="4" w:space="0" w:color="auto"/>
            </w:tcBorders>
            <w:shd w:val="clear" w:color="000000" w:fill="FFFFFF"/>
            <w:noWrap/>
            <w:vAlign w:val="center"/>
            <w:hideMark/>
          </w:tcPr>
          <w:p w:rsidR="007533B0" w:rsidRPr="007533B0" w:rsidRDefault="007533B0" w:rsidP="007533B0">
            <w:pPr>
              <w:spacing w:after="0" w:line="240" w:lineRule="auto"/>
              <w:rPr>
                <w:rFonts w:ascii="Arial" w:eastAsia="Times New Roman" w:hAnsi="Arial" w:cs="Arial"/>
                <w:b/>
                <w:bCs/>
                <w:color w:val="000000"/>
                <w:lang w:eastAsia="zh-CN"/>
              </w:rPr>
            </w:pPr>
            <w:r w:rsidRPr="007533B0">
              <w:rPr>
                <w:rFonts w:ascii="Arial" w:eastAsia="Times New Roman" w:hAnsi="Arial" w:cs="Arial"/>
                <w:b/>
                <w:bCs/>
                <w:color w:val="000000"/>
                <w:lang w:eastAsia="zh-CN"/>
              </w:rPr>
              <w:t>Baseline</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7533B0" w:rsidRPr="007533B0" w:rsidRDefault="007533B0" w:rsidP="007533B0">
            <w:pPr>
              <w:spacing w:after="0" w:line="240" w:lineRule="auto"/>
              <w:rPr>
                <w:rFonts w:ascii="Arial" w:eastAsia="Times New Roman" w:hAnsi="Arial" w:cs="Arial"/>
                <w:b/>
                <w:bCs/>
                <w:color w:val="000000"/>
                <w:lang w:eastAsia="zh-CN"/>
              </w:rPr>
            </w:pPr>
            <w:r w:rsidRPr="007533B0">
              <w:rPr>
                <w:rFonts w:ascii="Arial" w:eastAsia="Times New Roman" w:hAnsi="Arial" w:cs="Arial"/>
                <w:b/>
                <w:bCs/>
                <w:color w:val="000000"/>
                <w:lang w:eastAsia="zh-CN"/>
              </w:rPr>
              <w:t>Review 1</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7533B0" w:rsidRPr="007533B0" w:rsidRDefault="007533B0" w:rsidP="007533B0">
            <w:pPr>
              <w:spacing w:after="0" w:line="240" w:lineRule="auto"/>
              <w:rPr>
                <w:rFonts w:ascii="Arial" w:eastAsia="Times New Roman" w:hAnsi="Arial" w:cs="Arial"/>
                <w:b/>
                <w:bCs/>
                <w:color w:val="000000"/>
                <w:lang w:eastAsia="zh-CN"/>
              </w:rPr>
            </w:pPr>
            <w:r w:rsidRPr="007533B0">
              <w:rPr>
                <w:rFonts w:ascii="Arial" w:eastAsia="Times New Roman" w:hAnsi="Arial" w:cs="Arial"/>
                <w:b/>
                <w:bCs/>
                <w:color w:val="000000"/>
                <w:lang w:eastAsia="zh-CN"/>
              </w:rPr>
              <w:t>Review 2</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7533B0" w:rsidRPr="007533B0" w:rsidRDefault="007533B0" w:rsidP="007533B0">
            <w:pPr>
              <w:spacing w:after="0" w:line="240" w:lineRule="auto"/>
              <w:rPr>
                <w:rFonts w:ascii="Arial" w:eastAsia="Times New Roman" w:hAnsi="Arial" w:cs="Arial"/>
                <w:b/>
                <w:bCs/>
                <w:color w:val="000000"/>
                <w:lang w:eastAsia="zh-CN"/>
              </w:rPr>
            </w:pPr>
            <w:r w:rsidRPr="007533B0">
              <w:rPr>
                <w:rFonts w:ascii="Arial" w:eastAsia="Times New Roman" w:hAnsi="Arial" w:cs="Arial"/>
                <w:b/>
                <w:bCs/>
                <w:color w:val="000000"/>
                <w:lang w:eastAsia="zh-CN"/>
              </w:rPr>
              <w:t>Review 3</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7533B0" w:rsidRPr="007533B0" w:rsidRDefault="007533B0" w:rsidP="007533B0">
            <w:pPr>
              <w:spacing w:after="0" w:line="240" w:lineRule="auto"/>
              <w:rPr>
                <w:rFonts w:ascii="Arial" w:eastAsia="Times New Roman" w:hAnsi="Arial" w:cs="Arial"/>
                <w:b/>
                <w:bCs/>
                <w:color w:val="000000"/>
                <w:lang w:eastAsia="zh-CN"/>
              </w:rPr>
            </w:pPr>
            <w:r w:rsidRPr="007533B0">
              <w:rPr>
                <w:rFonts w:ascii="Arial" w:eastAsia="Times New Roman" w:hAnsi="Arial" w:cs="Arial"/>
                <w:b/>
                <w:bCs/>
                <w:color w:val="000000"/>
                <w:lang w:eastAsia="zh-CN"/>
              </w:rPr>
              <w:t>Review 4</w:t>
            </w:r>
          </w:p>
        </w:tc>
        <w:tc>
          <w:tcPr>
            <w:tcW w:w="1198" w:type="dxa"/>
            <w:tcBorders>
              <w:top w:val="single" w:sz="4" w:space="0" w:color="auto"/>
              <w:left w:val="nil"/>
              <w:bottom w:val="single" w:sz="4" w:space="0" w:color="auto"/>
              <w:right w:val="single" w:sz="4" w:space="0" w:color="auto"/>
            </w:tcBorders>
            <w:shd w:val="clear" w:color="000000" w:fill="FFFFFF"/>
            <w:vAlign w:val="center"/>
          </w:tcPr>
          <w:p w:rsidR="007533B0" w:rsidRPr="007533B0" w:rsidRDefault="007533B0" w:rsidP="007533B0">
            <w:pPr>
              <w:spacing w:after="0" w:line="240" w:lineRule="auto"/>
              <w:rPr>
                <w:rFonts w:ascii="Arial" w:eastAsia="Times New Roman" w:hAnsi="Arial" w:cs="Arial"/>
                <w:b/>
                <w:bCs/>
                <w:color w:val="000000"/>
                <w:lang w:eastAsia="zh-CN"/>
              </w:rPr>
            </w:pPr>
            <w:r w:rsidRPr="007533B0">
              <w:rPr>
                <w:rFonts w:ascii="Arial" w:eastAsia="Times New Roman" w:hAnsi="Arial" w:cs="Arial"/>
                <w:b/>
                <w:bCs/>
                <w:color w:val="000000"/>
                <w:lang w:eastAsia="zh-CN"/>
              </w:rPr>
              <w:t>Review 5</w:t>
            </w:r>
          </w:p>
        </w:tc>
      </w:tr>
      <w:tr w:rsidR="00B83265" w:rsidRPr="007533B0" w:rsidTr="00B32499">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center"/>
            <w:hideMark/>
          </w:tcPr>
          <w:p w:rsidR="00B83265" w:rsidRPr="007533B0" w:rsidRDefault="00B83265" w:rsidP="007533B0">
            <w:pPr>
              <w:spacing w:after="0"/>
              <w:rPr>
                <w:rFonts w:ascii="Arial" w:hAnsi="Arial" w:cs="Arial"/>
              </w:rPr>
            </w:pPr>
            <w:r w:rsidRPr="007533B0">
              <w:rPr>
                <w:rFonts w:ascii="Arial" w:hAnsi="Arial" w:cs="Arial"/>
              </w:rPr>
              <w:t>Benchmark</w:t>
            </w:r>
          </w:p>
        </w:tc>
        <w:tc>
          <w:tcPr>
            <w:tcW w:w="1197" w:type="dxa"/>
            <w:tcBorders>
              <w:top w:val="nil"/>
              <w:left w:val="nil"/>
              <w:bottom w:val="single" w:sz="4" w:space="0" w:color="auto"/>
              <w:right w:val="single" w:sz="4" w:space="0" w:color="auto"/>
            </w:tcBorders>
            <w:shd w:val="clear" w:color="000000" w:fill="FFFFFF"/>
            <w:noWrap/>
            <w:vAlign w:val="center"/>
          </w:tcPr>
          <w:p w:rsidR="00B83265" w:rsidRPr="007533B0" w:rsidRDefault="00B83265" w:rsidP="007533B0">
            <w:pPr>
              <w:spacing w:after="0"/>
              <w:rPr>
                <w:rFonts w:ascii="Arial" w:hAnsi="Arial" w:cs="Arial"/>
              </w:rPr>
            </w:pPr>
            <w:r w:rsidRPr="007533B0">
              <w:rPr>
                <w:rFonts w:ascii="Arial" w:hAnsi="Arial" w:cs="Arial"/>
              </w:rPr>
              <w:t>58.4%</w:t>
            </w:r>
          </w:p>
        </w:tc>
        <w:tc>
          <w:tcPr>
            <w:tcW w:w="1198" w:type="dxa"/>
            <w:tcBorders>
              <w:top w:val="nil"/>
              <w:left w:val="nil"/>
              <w:bottom w:val="single" w:sz="4" w:space="0" w:color="auto"/>
              <w:right w:val="single" w:sz="4" w:space="0" w:color="auto"/>
            </w:tcBorders>
            <w:shd w:val="clear" w:color="000000" w:fill="FFFFFF"/>
            <w:noWrap/>
            <w:vAlign w:val="center"/>
          </w:tcPr>
          <w:p w:rsidR="00B83265" w:rsidRPr="007533B0" w:rsidRDefault="00B83265" w:rsidP="007533B0">
            <w:pPr>
              <w:spacing w:after="0"/>
              <w:rPr>
                <w:rFonts w:ascii="Arial" w:hAnsi="Arial" w:cs="Arial"/>
              </w:rPr>
            </w:pPr>
            <w:r w:rsidRPr="007533B0">
              <w:rPr>
                <w:rFonts w:ascii="Arial" w:hAnsi="Arial" w:cs="Arial"/>
              </w:rPr>
              <w:t>58.4%</w:t>
            </w:r>
          </w:p>
        </w:tc>
        <w:tc>
          <w:tcPr>
            <w:tcW w:w="1198" w:type="dxa"/>
            <w:tcBorders>
              <w:top w:val="nil"/>
              <w:left w:val="nil"/>
              <w:bottom w:val="single" w:sz="4" w:space="0" w:color="auto"/>
              <w:right w:val="single" w:sz="4" w:space="0" w:color="auto"/>
            </w:tcBorders>
            <w:shd w:val="clear" w:color="000000" w:fill="FFFFFF"/>
            <w:noWrap/>
            <w:vAlign w:val="center"/>
          </w:tcPr>
          <w:p w:rsidR="00B83265" w:rsidRPr="007533B0" w:rsidRDefault="00B83265" w:rsidP="007533B0">
            <w:pPr>
              <w:spacing w:after="0"/>
              <w:rPr>
                <w:rFonts w:ascii="Arial" w:hAnsi="Arial" w:cs="Arial"/>
              </w:rPr>
            </w:pPr>
            <w:r w:rsidRPr="007533B0">
              <w:rPr>
                <w:rFonts w:ascii="Arial" w:hAnsi="Arial" w:cs="Arial"/>
              </w:rPr>
              <w:t>58.4%</w:t>
            </w:r>
          </w:p>
        </w:tc>
        <w:tc>
          <w:tcPr>
            <w:tcW w:w="1198" w:type="dxa"/>
            <w:tcBorders>
              <w:top w:val="nil"/>
              <w:left w:val="nil"/>
              <w:bottom w:val="single" w:sz="4" w:space="0" w:color="auto"/>
              <w:right w:val="single" w:sz="4" w:space="0" w:color="auto"/>
            </w:tcBorders>
            <w:shd w:val="clear" w:color="000000" w:fill="FFFFFF"/>
            <w:noWrap/>
            <w:vAlign w:val="center"/>
          </w:tcPr>
          <w:p w:rsidR="00B83265" w:rsidRPr="007533B0" w:rsidRDefault="00B83265" w:rsidP="007533B0">
            <w:pPr>
              <w:spacing w:after="0"/>
              <w:rPr>
                <w:rFonts w:ascii="Arial" w:hAnsi="Arial" w:cs="Arial"/>
              </w:rPr>
            </w:pPr>
            <w:r w:rsidRPr="007533B0">
              <w:rPr>
                <w:rFonts w:ascii="Arial" w:hAnsi="Arial" w:cs="Arial"/>
              </w:rPr>
              <w:t>58.4%</w:t>
            </w:r>
          </w:p>
        </w:tc>
        <w:tc>
          <w:tcPr>
            <w:tcW w:w="1198" w:type="dxa"/>
            <w:tcBorders>
              <w:top w:val="nil"/>
              <w:left w:val="nil"/>
              <w:bottom w:val="single" w:sz="4" w:space="0" w:color="auto"/>
              <w:right w:val="single" w:sz="4" w:space="0" w:color="auto"/>
            </w:tcBorders>
            <w:shd w:val="clear" w:color="000000" w:fill="FFFFFF"/>
            <w:noWrap/>
            <w:vAlign w:val="center"/>
          </w:tcPr>
          <w:p w:rsidR="00B83265" w:rsidRPr="007533B0" w:rsidRDefault="00B83265" w:rsidP="007533B0">
            <w:pPr>
              <w:spacing w:after="0"/>
              <w:rPr>
                <w:rFonts w:ascii="Arial" w:hAnsi="Arial" w:cs="Arial"/>
              </w:rPr>
            </w:pPr>
            <w:r w:rsidRPr="007533B0">
              <w:rPr>
                <w:rFonts w:ascii="Arial" w:hAnsi="Arial" w:cs="Arial"/>
              </w:rPr>
              <w:t>58.4%</w:t>
            </w:r>
          </w:p>
        </w:tc>
        <w:tc>
          <w:tcPr>
            <w:tcW w:w="1198" w:type="dxa"/>
            <w:tcBorders>
              <w:top w:val="nil"/>
              <w:left w:val="nil"/>
              <w:bottom w:val="single" w:sz="4" w:space="0" w:color="auto"/>
              <w:right w:val="single" w:sz="4" w:space="0" w:color="auto"/>
            </w:tcBorders>
            <w:shd w:val="clear" w:color="000000" w:fill="FFFFFF"/>
            <w:vAlign w:val="center"/>
          </w:tcPr>
          <w:p w:rsidR="00B83265" w:rsidRPr="007533B0" w:rsidRDefault="00B83265" w:rsidP="007533B0">
            <w:pPr>
              <w:spacing w:after="0"/>
              <w:rPr>
                <w:rFonts w:ascii="Arial" w:hAnsi="Arial" w:cs="Arial"/>
              </w:rPr>
            </w:pPr>
            <w:r w:rsidRPr="007533B0">
              <w:rPr>
                <w:rFonts w:ascii="Arial" w:hAnsi="Arial" w:cs="Arial"/>
              </w:rPr>
              <w:t>58.4%</w:t>
            </w:r>
          </w:p>
        </w:tc>
      </w:tr>
      <w:tr w:rsidR="007533B0" w:rsidRPr="007533B0" w:rsidTr="00B32499">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bottom"/>
          </w:tcPr>
          <w:p w:rsidR="007533B0" w:rsidRPr="007533B0" w:rsidRDefault="007533B0" w:rsidP="007533B0">
            <w:pPr>
              <w:spacing w:after="0" w:line="240" w:lineRule="auto"/>
              <w:rPr>
                <w:rFonts w:ascii="Arial" w:eastAsia="Times New Roman" w:hAnsi="Arial" w:cs="Arial"/>
                <w:bCs/>
                <w:color w:val="000000"/>
                <w:lang w:eastAsia="en-AU"/>
              </w:rPr>
            </w:pPr>
            <w:r w:rsidRPr="007533B0">
              <w:rPr>
                <w:rFonts w:ascii="Arial" w:eastAsia="Times New Roman" w:hAnsi="Arial" w:cs="Arial"/>
                <w:bCs/>
                <w:color w:val="000000"/>
                <w:lang w:eastAsia="en-AU"/>
              </w:rPr>
              <w:t>5 years</w:t>
            </w:r>
          </w:p>
        </w:tc>
        <w:tc>
          <w:tcPr>
            <w:tcW w:w="1197" w:type="dxa"/>
            <w:tcBorders>
              <w:top w:val="nil"/>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r w:rsidRPr="007533B0">
              <w:rPr>
                <w:rFonts w:ascii="Arial" w:hAnsi="Arial" w:cs="Arial"/>
              </w:rPr>
              <w:t>64.8%</w:t>
            </w:r>
          </w:p>
        </w:tc>
        <w:tc>
          <w:tcPr>
            <w:tcW w:w="1198" w:type="dxa"/>
            <w:tcBorders>
              <w:top w:val="nil"/>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r w:rsidRPr="007533B0">
              <w:rPr>
                <w:rFonts w:ascii="Arial" w:hAnsi="Arial" w:cs="Arial"/>
              </w:rPr>
              <w:t>69.2%</w:t>
            </w:r>
          </w:p>
        </w:tc>
        <w:tc>
          <w:tcPr>
            <w:tcW w:w="1198" w:type="dxa"/>
            <w:tcBorders>
              <w:top w:val="nil"/>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r w:rsidRPr="007533B0">
              <w:rPr>
                <w:rFonts w:ascii="Arial" w:hAnsi="Arial" w:cs="Arial"/>
              </w:rPr>
              <w:t>67.7%</w:t>
            </w:r>
          </w:p>
        </w:tc>
        <w:tc>
          <w:tcPr>
            <w:tcW w:w="1198" w:type="dxa"/>
            <w:tcBorders>
              <w:top w:val="nil"/>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r w:rsidRPr="007533B0">
              <w:rPr>
                <w:rFonts w:ascii="Arial" w:hAnsi="Arial" w:cs="Arial"/>
              </w:rPr>
              <w:t>71.3%</w:t>
            </w:r>
          </w:p>
        </w:tc>
        <w:tc>
          <w:tcPr>
            <w:tcW w:w="1198" w:type="dxa"/>
            <w:tcBorders>
              <w:top w:val="nil"/>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r w:rsidRPr="007533B0">
              <w:rPr>
                <w:rFonts w:ascii="Arial" w:hAnsi="Arial" w:cs="Arial"/>
              </w:rPr>
              <w:t>69.1%</w:t>
            </w:r>
          </w:p>
        </w:tc>
        <w:tc>
          <w:tcPr>
            <w:tcW w:w="1198" w:type="dxa"/>
            <w:tcBorders>
              <w:top w:val="nil"/>
              <w:left w:val="nil"/>
              <w:bottom w:val="single" w:sz="4" w:space="0" w:color="auto"/>
              <w:right w:val="single" w:sz="4" w:space="0" w:color="auto"/>
            </w:tcBorders>
            <w:shd w:val="clear" w:color="000000" w:fill="FFFFFF"/>
            <w:vAlign w:val="center"/>
          </w:tcPr>
          <w:p w:rsidR="007533B0" w:rsidRPr="007533B0" w:rsidRDefault="007533B0" w:rsidP="007533B0">
            <w:pPr>
              <w:spacing w:after="0"/>
              <w:rPr>
                <w:rFonts w:ascii="Arial" w:hAnsi="Arial" w:cs="Arial"/>
              </w:rPr>
            </w:pPr>
            <w:r w:rsidRPr="007533B0">
              <w:rPr>
                <w:rFonts w:ascii="Arial" w:hAnsi="Arial" w:cs="Arial"/>
              </w:rPr>
              <w:t>69.5%</w:t>
            </w:r>
          </w:p>
        </w:tc>
      </w:tr>
      <w:tr w:rsidR="007533B0" w:rsidRPr="007533B0" w:rsidTr="00B32499">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bottom"/>
            <w:hideMark/>
          </w:tcPr>
          <w:p w:rsidR="007533B0" w:rsidRPr="007533B0" w:rsidRDefault="007533B0" w:rsidP="007533B0">
            <w:pPr>
              <w:spacing w:after="0" w:line="240" w:lineRule="auto"/>
              <w:rPr>
                <w:rFonts w:ascii="Arial" w:eastAsia="Times New Roman" w:hAnsi="Arial" w:cs="Arial"/>
                <w:bCs/>
                <w:color w:val="000000"/>
                <w:lang w:eastAsia="en-AU"/>
              </w:rPr>
            </w:pPr>
            <w:r w:rsidRPr="007533B0">
              <w:rPr>
                <w:rFonts w:ascii="Arial" w:eastAsia="Times New Roman" w:hAnsi="Arial" w:cs="Arial"/>
                <w:bCs/>
                <w:color w:val="000000"/>
                <w:lang w:eastAsia="en-AU"/>
              </w:rPr>
              <w:t>4 years</w:t>
            </w:r>
          </w:p>
        </w:tc>
        <w:tc>
          <w:tcPr>
            <w:tcW w:w="1197" w:type="dxa"/>
            <w:tcBorders>
              <w:top w:val="nil"/>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r w:rsidRPr="007533B0">
              <w:rPr>
                <w:rFonts w:ascii="Arial" w:hAnsi="Arial" w:cs="Arial"/>
              </w:rPr>
              <w:t>65.8%</w:t>
            </w:r>
          </w:p>
        </w:tc>
        <w:tc>
          <w:tcPr>
            <w:tcW w:w="1198" w:type="dxa"/>
            <w:tcBorders>
              <w:top w:val="nil"/>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r w:rsidRPr="007533B0">
              <w:rPr>
                <w:rFonts w:ascii="Arial" w:hAnsi="Arial" w:cs="Arial"/>
              </w:rPr>
              <w:t>69.8%</w:t>
            </w:r>
          </w:p>
        </w:tc>
        <w:tc>
          <w:tcPr>
            <w:tcW w:w="1198" w:type="dxa"/>
            <w:tcBorders>
              <w:top w:val="nil"/>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r w:rsidRPr="007533B0">
              <w:rPr>
                <w:rFonts w:ascii="Arial" w:hAnsi="Arial" w:cs="Arial"/>
              </w:rPr>
              <w:t>69.9%</w:t>
            </w:r>
          </w:p>
        </w:tc>
        <w:tc>
          <w:tcPr>
            <w:tcW w:w="1198" w:type="dxa"/>
            <w:tcBorders>
              <w:top w:val="nil"/>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r w:rsidRPr="007533B0">
              <w:rPr>
                <w:rFonts w:ascii="Arial" w:hAnsi="Arial" w:cs="Arial"/>
              </w:rPr>
              <w:t>69.8%</w:t>
            </w:r>
          </w:p>
        </w:tc>
        <w:tc>
          <w:tcPr>
            <w:tcW w:w="1198" w:type="dxa"/>
            <w:tcBorders>
              <w:top w:val="nil"/>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r w:rsidRPr="007533B0">
              <w:rPr>
                <w:rFonts w:ascii="Arial" w:hAnsi="Arial" w:cs="Arial"/>
              </w:rPr>
              <w:t>70.0%</w:t>
            </w:r>
          </w:p>
        </w:tc>
        <w:tc>
          <w:tcPr>
            <w:tcW w:w="1198" w:type="dxa"/>
            <w:tcBorders>
              <w:top w:val="nil"/>
              <w:left w:val="nil"/>
              <w:bottom w:val="single" w:sz="4" w:space="0" w:color="auto"/>
              <w:right w:val="single" w:sz="4" w:space="0" w:color="auto"/>
            </w:tcBorders>
            <w:shd w:val="clear" w:color="000000" w:fill="FFFFFF"/>
            <w:vAlign w:val="center"/>
          </w:tcPr>
          <w:p w:rsidR="007533B0" w:rsidRPr="007533B0" w:rsidRDefault="007533B0" w:rsidP="007533B0">
            <w:pPr>
              <w:spacing w:after="0"/>
              <w:rPr>
                <w:rFonts w:ascii="Arial" w:hAnsi="Arial" w:cs="Arial"/>
              </w:rPr>
            </w:pPr>
          </w:p>
        </w:tc>
      </w:tr>
      <w:tr w:rsidR="007533B0" w:rsidRPr="007533B0" w:rsidTr="00B32499">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bottom"/>
            <w:hideMark/>
          </w:tcPr>
          <w:p w:rsidR="007533B0" w:rsidRPr="007533B0" w:rsidRDefault="007533B0" w:rsidP="007533B0">
            <w:pPr>
              <w:spacing w:after="0" w:line="240" w:lineRule="auto"/>
              <w:rPr>
                <w:rFonts w:ascii="Arial" w:eastAsia="Times New Roman" w:hAnsi="Arial" w:cs="Arial"/>
                <w:bCs/>
                <w:color w:val="000000"/>
                <w:lang w:eastAsia="en-AU"/>
              </w:rPr>
            </w:pPr>
            <w:r w:rsidRPr="007533B0">
              <w:rPr>
                <w:rFonts w:ascii="Arial" w:eastAsia="Times New Roman" w:hAnsi="Arial" w:cs="Arial"/>
                <w:bCs/>
                <w:color w:val="000000"/>
                <w:lang w:eastAsia="en-AU"/>
              </w:rPr>
              <w:lastRenderedPageBreak/>
              <w:t>3 years</w:t>
            </w:r>
          </w:p>
        </w:tc>
        <w:tc>
          <w:tcPr>
            <w:tcW w:w="1197" w:type="dxa"/>
            <w:tcBorders>
              <w:top w:val="nil"/>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r w:rsidRPr="007533B0">
              <w:rPr>
                <w:rFonts w:ascii="Arial" w:hAnsi="Arial" w:cs="Arial"/>
              </w:rPr>
              <w:t>64.7%</w:t>
            </w:r>
          </w:p>
        </w:tc>
        <w:tc>
          <w:tcPr>
            <w:tcW w:w="1198" w:type="dxa"/>
            <w:tcBorders>
              <w:top w:val="nil"/>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r w:rsidRPr="007533B0">
              <w:rPr>
                <w:rFonts w:ascii="Arial" w:hAnsi="Arial" w:cs="Arial"/>
              </w:rPr>
              <w:t>67.6%</w:t>
            </w:r>
          </w:p>
        </w:tc>
        <w:tc>
          <w:tcPr>
            <w:tcW w:w="1198" w:type="dxa"/>
            <w:tcBorders>
              <w:top w:val="nil"/>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r w:rsidRPr="007533B0">
              <w:rPr>
                <w:rFonts w:ascii="Arial" w:hAnsi="Arial" w:cs="Arial"/>
              </w:rPr>
              <w:t>67.1%</w:t>
            </w:r>
          </w:p>
        </w:tc>
        <w:tc>
          <w:tcPr>
            <w:tcW w:w="1198" w:type="dxa"/>
            <w:tcBorders>
              <w:top w:val="nil"/>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r w:rsidRPr="007533B0">
              <w:rPr>
                <w:rFonts w:ascii="Arial" w:hAnsi="Arial" w:cs="Arial"/>
              </w:rPr>
              <w:t>68.5%</w:t>
            </w:r>
          </w:p>
        </w:tc>
        <w:tc>
          <w:tcPr>
            <w:tcW w:w="1198" w:type="dxa"/>
            <w:tcBorders>
              <w:top w:val="nil"/>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p>
        </w:tc>
        <w:tc>
          <w:tcPr>
            <w:tcW w:w="1198" w:type="dxa"/>
            <w:tcBorders>
              <w:top w:val="nil"/>
              <w:left w:val="nil"/>
              <w:bottom w:val="single" w:sz="4" w:space="0" w:color="auto"/>
              <w:right w:val="single" w:sz="4" w:space="0" w:color="auto"/>
            </w:tcBorders>
            <w:shd w:val="clear" w:color="000000" w:fill="FFFFFF"/>
            <w:vAlign w:val="center"/>
          </w:tcPr>
          <w:p w:rsidR="007533B0" w:rsidRPr="007533B0" w:rsidRDefault="007533B0" w:rsidP="007533B0">
            <w:pPr>
              <w:spacing w:after="0"/>
              <w:rPr>
                <w:rFonts w:ascii="Arial" w:hAnsi="Arial" w:cs="Arial"/>
              </w:rPr>
            </w:pPr>
          </w:p>
        </w:tc>
      </w:tr>
      <w:tr w:rsidR="007533B0" w:rsidRPr="007533B0" w:rsidTr="00B32499">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bottom"/>
            <w:hideMark/>
          </w:tcPr>
          <w:p w:rsidR="007533B0" w:rsidRPr="007533B0" w:rsidRDefault="007533B0" w:rsidP="007533B0">
            <w:pPr>
              <w:spacing w:after="0" w:line="240" w:lineRule="auto"/>
              <w:rPr>
                <w:rFonts w:ascii="Arial" w:eastAsia="Times New Roman" w:hAnsi="Arial" w:cs="Arial"/>
                <w:bCs/>
                <w:color w:val="000000"/>
                <w:lang w:eastAsia="en-AU"/>
              </w:rPr>
            </w:pPr>
            <w:r w:rsidRPr="007533B0">
              <w:rPr>
                <w:rFonts w:ascii="Arial" w:eastAsia="Times New Roman" w:hAnsi="Arial" w:cs="Arial"/>
                <w:bCs/>
                <w:color w:val="000000"/>
                <w:lang w:eastAsia="en-AU"/>
              </w:rPr>
              <w:t>2 years</w:t>
            </w:r>
          </w:p>
        </w:tc>
        <w:tc>
          <w:tcPr>
            <w:tcW w:w="1197" w:type="dxa"/>
            <w:tcBorders>
              <w:top w:val="nil"/>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r w:rsidRPr="007533B0">
              <w:rPr>
                <w:rFonts w:ascii="Arial" w:hAnsi="Arial" w:cs="Arial"/>
              </w:rPr>
              <w:t>62.4%</w:t>
            </w:r>
          </w:p>
        </w:tc>
        <w:tc>
          <w:tcPr>
            <w:tcW w:w="1198" w:type="dxa"/>
            <w:tcBorders>
              <w:top w:val="nil"/>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r w:rsidRPr="007533B0">
              <w:rPr>
                <w:rFonts w:ascii="Arial" w:hAnsi="Arial" w:cs="Arial"/>
              </w:rPr>
              <w:t>65.0%</w:t>
            </w:r>
          </w:p>
        </w:tc>
        <w:tc>
          <w:tcPr>
            <w:tcW w:w="1198" w:type="dxa"/>
            <w:tcBorders>
              <w:top w:val="nil"/>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r w:rsidRPr="007533B0">
              <w:rPr>
                <w:rFonts w:ascii="Arial" w:hAnsi="Arial" w:cs="Arial"/>
              </w:rPr>
              <w:t>66.6%</w:t>
            </w:r>
          </w:p>
        </w:tc>
        <w:tc>
          <w:tcPr>
            <w:tcW w:w="1198" w:type="dxa"/>
            <w:tcBorders>
              <w:top w:val="nil"/>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p>
        </w:tc>
        <w:tc>
          <w:tcPr>
            <w:tcW w:w="1198" w:type="dxa"/>
            <w:tcBorders>
              <w:top w:val="nil"/>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p>
        </w:tc>
        <w:tc>
          <w:tcPr>
            <w:tcW w:w="1198" w:type="dxa"/>
            <w:tcBorders>
              <w:top w:val="nil"/>
              <w:left w:val="nil"/>
              <w:bottom w:val="single" w:sz="4" w:space="0" w:color="auto"/>
              <w:right w:val="single" w:sz="4" w:space="0" w:color="auto"/>
            </w:tcBorders>
            <w:shd w:val="clear" w:color="000000" w:fill="FFFFFF"/>
            <w:vAlign w:val="center"/>
          </w:tcPr>
          <w:p w:rsidR="007533B0" w:rsidRPr="007533B0" w:rsidRDefault="007533B0" w:rsidP="007533B0">
            <w:pPr>
              <w:spacing w:after="0"/>
              <w:rPr>
                <w:rFonts w:ascii="Arial" w:hAnsi="Arial" w:cs="Arial"/>
              </w:rPr>
            </w:pPr>
          </w:p>
        </w:tc>
      </w:tr>
      <w:tr w:rsidR="007533B0" w:rsidRPr="007533B0" w:rsidTr="00B32499">
        <w:trPr>
          <w:trHeight w:val="282"/>
        </w:trPr>
        <w:tc>
          <w:tcPr>
            <w:tcW w:w="219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533B0" w:rsidRPr="007533B0" w:rsidRDefault="007533B0" w:rsidP="007533B0">
            <w:pPr>
              <w:spacing w:after="0" w:line="240" w:lineRule="auto"/>
              <w:rPr>
                <w:rFonts w:ascii="Arial" w:eastAsia="Times New Roman" w:hAnsi="Arial" w:cs="Arial"/>
                <w:bCs/>
                <w:color w:val="000000"/>
                <w:lang w:eastAsia="en-AU"/>
              </w:rPr>
            </w:pPr>
            <w:r w:rsidRPr="007533B0">
              <w:rPr>
                <w:rFonts w:ascii="Arial" w:eastAsia="Times New Roman" w:hAnsi="Arial" w:cs="Arial"/>
                <w:bCs/>
                <w:color w:val="000000"/>
                <w:lang w:eastAsia="en-AU"/>
              </w:rPr>
              <w:t>1 year</w:t>
            </w:r>
          </w:p>
        </w:tc>
        <w:tc>
          <w:tcPr>
            <w:tcW w:w="1197" w:type="dxa"/>
            <w:tcBorders>
              <w:top w:val="single" w:sz="4" w:space="0" w:color="auto"/>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r w:rsidRPr="007533B0">
              <w:rPr>
                <w:rFonts w:ascii="Arial" w:hAnsi="Arial" w:cs="Arial"/>
              </w:rPr>
              <w:t>61.9%</w:t>
            </w:r>
          </w:p>
        </w:tc>
        <w:tc>
          <w:tcPr>
            <w:tcW w:w="1198" w:type="dxa"/>
            <w:tcBorders>
              <w:top w:val="single" w:sz="4" w:space="0" w:color="auto"/>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r w:rsidRPr="007533B0">
              <w:rPr>
                <w:rFonts w:ascii="Arial" w:hAnsi="Arial" w:cs="Arial"/>
              </w:rPr>
              <w:t>63.6%</w:t>
            </w:r>
          </w:p>
        </w:tc>
        <w:tc>
          <w:tcPr>
            <w:tcW w:w="1198" w:type="dxa"/>
            <w:tcBorders>
              <w:top w:val="single" w:sz="4" w:space="0" w:color="auto"/>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p>
        </w:tc>
        <w:tc>
          <w:tcPr>
            <w:tcW w:w="1198" w:type="dxa"/>
            <w:tcBorders>
              <w:top w:val="single" w:sz="4" w:space="0" w:color="auto"/>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p>
        </w:tc>
        <w:tc>
          <w:tcPr>
            <w:tcW w:w="1198" w:type="dxa"/>
            <w:tcBorders>
              <w:top w:val="single" w:sz="4" w:space="0" w:color="auto"/>
              <w:left w:val="nil"/>
              <w:bottom w:val="single" w:sz="4" w:space="0" w:color="auto"/>
              <w:right w:val="single" w:sz="4" w:space="0" w:color="auto"/>
            </w:tcBorders>
            <w:shd w:val="clear" w:color="000000" w:fill="FFFFFF"/>
            <w:noWrap/>
            <w:vAlign w:val="center"/>
          </w:tcPr>
          <w:p w:rsidR="007533B0" w:rsidRPr="007533B0" w:rsidRDefault="007533B0" w:rsidP="007533B0">
            <w:pPr>
              <w:spacing w:after="0"/>
              <w:rPr>
                <w:rFonts w:ascii="Arial" w:hAnsi="Arial" w:cs="Arial"/>
              </w:rPr>
            </w:pPr>
          </w:p>
        </w:tc>
        <w:tc>
          <w:tcPr>
            <w:tcW w:w="1198" w:type="dxa"/>
            <w:tcBorders>
              <w:top w:val="single" w:sz="4" w:space="0" w:color="auto"/>
              <w:left w:val="nil"/>
              <w:bottom w:val="single" w:sz="4" w:space="0" w:color="auto"/>
              <w:right w:val="single" w:sz="4" w:space="0" w:color="auto"/>
            </w:tcBorders>
            <w:shd w:val="clear" w:color="000000" w:fill="FFFFFF"/>
            <w:vAlign w:val="center"/>
          </w:tcPr>
          <w:p w:rsidR="007533B0" w:rsidRPr="007533B0" w:rsidRDefault="007533B0" w:rsidP="007533B0">
            <w:pPr>
              <w:spacing w:after="0"/>
              <w:rPr>
                <w:rFonts w:ascii="Arial" w:hAnsi="Arial" w:cs="Arial"/>
              </w:rPr>
            </w:pPr>
          </w:p>
        </w:tc>
      </w:tr>
    </w:tbl>
    <w:p w:rsidR="00B83265" w:rsidRDefault="00B83265" w:rsidP="00B83265">
      <w:pPr>
        <w:spacing w:after="240"/>
        <w:rPr>
          <w:rFonts w:cstheme="minorHAnsi"/>
        </w:rPr>
      </w:pPr>
    </w:p>
    <w:p w:rsidR="00B83265" w:rsidRDefault="00B83265" w:rsidP="00B83265">
      <w:pPr>
        <w:spacing w:after="240"/>
        <w:rPr>
          <w:rFonts w:cstheme="minorHAnsi"/>
        </w:rPr>
      </w:pPr>
      <w:r>
        <w:rPr>
          <w:rFonts w:cstheme="minorHAnsi"/>
        </w:rPr>
        <w:t>Not working and not looking for work</w:t>
      </w:r>
    </w:p>
    <w:tbl>
      <w:tblPr>
        <w:tblpPr w:leftFromText="180" w:rightFromText="180" w:vertAnchor="text" w:tblpY="1"/>
        <w:tblOverlap w:val="never"/>
        <w:tblW w:w="9384" w:type="dxa"/>
        <w:tblLayout w:type="fixed"/>
        <w:tblLook w:val="04A0" w:firstRow="1" w:lastRow="0" w:firstColumn="1" w:lastColumn="0" w:noHBand="0" w:noVBand="1"/>
      </w:tblPr>
      <w:tblGrid>
        <w:gridCol w:w="2197"/>
        <w:gridCol w:w="1197"/>
        <w:gridCol w:w="1198"/>
        <w:gridCol w:w="1198"/>
        <w:gridCol w:w="1198"/>
        <w:gridCol w:w="1198"/>
        <w:gridCol w:w="1198"/>
      </w:tblGrid>
      <w:tr w:rsidR="007533B0" w:rsidRPr="00B32499" w:rsidTr="00B32499">
        <w:trPr>
          <w:trHeight w:val="282"/>
        </w:trPr>
        <w:tc>
          <w:tcPr>
            <w:tcW w:w="21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533B0" w:rsidRPr="00B32499" w:rsidRDefault="007533B0" w:rsidP="00B32499">
            <w:pPr>
              <w:spacing w:after="0" w:line="240" w:lineRule="auto"/>
              <w:rPr>
                <w:rFonts w:ascii="Arial" w:eastAsia="Times New Roman" w:hAnsi="Arial" w:cs="Arial"/>
                <w:b/>
                <w:bCs/>
                <w:color w:val="000000"/>
                <w:lang w:eastAsia="zh-CN"/>
              </w:rPr>
            </w:pPr>
            <w:r w:rsidRPr="00B32499">
              <w:rPr>
                <w:rFonts w:ascii="Arial" w:eastAsia="Times New Roman" w:hAnsi="Arial" w:cs="Arial"/>
                <w:b/>
                <w:bCs/>
                <w:color w:val="000000"/>
                <w:lang w:eastAsia="zh-CN"/>
              </w:rPr>
              <w:t>Cohort/Benchmark</w:t>
            </w:r>
          </w:p>
        </w:tc>
        <w:tc>
          <w:tcPr>
            <w:tcW w:w="1197" w:type="dxa"/>
            <w:tcBorders>
              <w:top w:val="single" w:sz="4" w:space="0" w:color="auto"/>
              <w:left w:val="nil"/>
              <w:bottom w:val="single" w:sz="4" w:space="0" w:color="auto"/>
              <w:right w:val="single" w:sz="4" w:space="0" w:color="auto"/>
            </w:tcBorders>
            <w:shd w:val="clear" w:color="000000" w:fill="FFFFFF"/>
            <w:noWrap/>
            <w:vAlign w:val="center"/>
            <w:hideMark/>
          </w:tcPr>
          <w:p w:rsidR="007533B0" w:rsidRPr="00B32499" w:rsidRDefault="007533B0" w:rsidP="00B32499">
            <w:pPr>
              <w:spacing w:after="0" w:line="240" w:lineRule="auto"/>
              <w:rPr>
                <w:rFonts w:ascii="Arial" w:eastAsia="Times New Roman" w:hAnsi="Arial" w:cs="Arial"/>
                <w:b/>
                <w:bCs/>
                <w:color w:val="000000"/>
                <w:lang w:eastAsia="zh-CN"/>
              </w:rPr>
            </w:pPr>
            <w:r w:rsidRPr="00B32499">
              <w:rPr>
                <w:rFonts w:ascii="Arial" w:eastAsia="Times New Roman" w:hAnsi="Arial" w:cs="Arial"/>
                <w:b/>
                <w:bCs/>
                <w:color w:val="000000"/>
                <w:lang w:eastAsia="zh-CN"/>
              </w:rPr>
              <w:t>Baseline</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7533B0" w:rsidRPr="00B32499" w:rsidRDefault="007533B0" w:rsidP="00B32499">
            <w:pPr>
              <w:spacing w:after="0" w:line="240" w:lineRule="auto"/>
              <w:rPr>
                <w:rFonts w:ascii="Arial" w:eastAsia="Times New Roman" w:hAnsi="Arial" w:cs="Arial"/>
                <w:b/>
                <w:bCs/>
                <w:color w:val="000000"/>
                <w:lang w:eastAsia="zh-CN"/>
              </w:rPr>
            </w:pPr>
            <w:r w:rsidRPr="00B32499">
              <w:rPr>
                <w:rFonts w:ascii="Arial" w:eastAsia="Times New Roman" w:hAnsi="Arial" w:cs="Arial"/>
                <w:b/>
                <w:bCs/>
                <w:color w:val="000000"/>
                <w:lang w:eastAsia="zh-CN"/>
              </w:rPr>
              <w:t>Review 1</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7533B0" w:rsidRPr="00B32499" w:rsidRDefault="007533B0" w:rsidP="00B32499">
            <w:pPr>
              <w:spacing w:after="0" w:line="240" w:lineRule="auto"/>
              <w:rPr>
                <w:rFonts w:ascii="Arial" w:eastAsia="Times New Roman" w:hAnsi="Arial" w:cs="Arial"/>
                <w:b/>
                <w:bCs/>
                <w:color w:val="000000"/>
                <w:lang w:eastAsia="zh-CN"/>
              </w:rPr>
            </w:pPr>
            <w:r w:rsidRPr="00B32499">
              <w:rPr>
                <w:rFonts w:ascii="Arial" w:eastAsia="Times New Roman" w:hAnsi="Arial" w:cs="Arial"/>
                <w:b/>
                <w:bCs/>
                <w:color w:val="000000"/>
                <w:lang w:eastAsia="zh-CN"/>
              </w:rPr>
              <w:t>Review 2</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7533B0" w:rsidRPr="00B32499" w:rsidRDefault="007533B0" w:rsidP="00B32499">
            <w:pPr>
              <w:spacing w:after="0" w:line="240" w:lineRule="auto"/>
              <w:rPr>
                <w:rFonts w:ascii="Arial" w:eastAsia="Times New Roman" w:hAnsi="Arial" w:cs="Arial"/>
                <w:b/>
                <w:bCs/>
                <w:color w:val="000000"/>
                <w:lang w:eastAsia="zh-CN"/>
              </w:rPr>
            </w:pPr>
            <w:r w:rsidRPr="00B32499">
              <w:rPr>
                <w:rFonts w:ascii="Arial" w:eastAsia="Times New Roman" w:hAnsi="Arial" w:cs="Arial"/>
                <w:b/>
                <w:bCs/>
                <w:color w:val="000000"/>
                <w:lang w:eastAsia="zh-CN"/>
              </w:rPr>
              <w:t>Review 3</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7533B0" w:rsidRPr="00B32499" w:rsidRDefault="007533B0" w:rsidP="00B32499">
            <w:pPr>
              <w:spacing w:after="0" w:line="240" w:lineRule="auto"/>
              <w:rPr>
                <w:rFonts w:ascii="Arial" w:eastAsia="Times New Roman" w:hAnsi="Arial" w:cs="Arial"/>
                <w:b/>
                <w:bCs/>
                <w:color w:val="000000"/>
                <w:lang w:eastAsia="zh-CN"/>
              </w:rPr>
            </w:pPr>
            <w:r w:rsidRPr="00B32499">
              <w:rPr>
                <w:rFonts w:ascii="Arial" w:eastAsia="Times New Roman" w:hAnsi="Arial" w:cs="Arial"/>
                <w:b/>
                <w:bCs/>
                <w:color w:val="000000"/>
                <w:lang w:eastAsia="zh-CN"/>
              </w:rPr>
              <w:t>Review 4</w:t>
            </w:r>
          </w:p>
        </w:tc>
        <w:tc>
          <w:tcPr>
            <w:tcW w:w="1198" w:type="dxa"/>
            <w:tcBorders>
              <w:top w:val="single" w:sz="4" w:space="0" w:color="auto"/>
              <w:left w:val="nil"/>
              <w:bottom w:val="single" w:sz="4" w:space="0" w:color="auto"/>
              <w:right w:val="single" w:sz="4" w:space="0" w:color="auto"/>
            </w:tcBorders>
            <w:shd w:val="clear" w:color="000000" w:fill="FFFFFF"/>
            <w:vAlign w:val="center"/>
          </w:tcPr>
          <w:p w:rsidR="007533B0" w:rsidRPr="00B32499" w:rsidRDefault="007533B0" w:rsidP="00B32499">
            <w:pPr>
              <w:spacing w:after="0" w:line="240" w:lineRule="auto"/>
              <w:rPr>
                <w:rFonts w:ascii="Arial" w:eastAsia="Times New Roman" w:hAnsi="Arial" w:cs="Arial"/>
                <w:b/>
                <w:bCs/>
                <w:color w:val="000000"/>
                <w:lang w:eastAsia="zh-CN"/>
              </w:rPr>
            </w:pPr>
            <w:r w:rsidRPr="00B32499">
              <w:rPr>
                <w:rFonts w:ascii="Arial" w:eastAsia="Times New Roman" w:hAnsi="Arial" w:cs="Arial"/>
                <w:b/>
                <w:bCs/>
                <w:color w:val="000000"/>
                <w:lang w:eastAsia="zh-CN"/>
              </w:rPr>
              <w:t>Review 5</w:t>
            </w:r>
          </w:p>
        </w:tc>
      </w:tr>
      <w:tr w:rsidR="00B83265" w:rsidRPr="00B32499" w:rsidTr="00B32499">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center"/>
            <w:hideMark/>
          </w:tcPr>
          <w:p w:rsidR="00B83265" w:rsidRPr="00B32499" w:rsidRDefault="00B83265" w:rsidP="00B32499">
            <w:pPr>
              <w:spacing w:after="0"/>
              <w:rPr>
                <w:rFonts w:ascii="Arial" w:hAnsi="Arial" w:cs="Arial"/>
              </w:rPr>
            </w:pPr>
            <w:r w:rsidRPr="00B32499">
              <w:rPr>
                <w:rFonts w:ascii="Arial" w:hAnsi="Arial" w:cs="Arial"/>
              </w:rPr>
              <w:t>Benchmark</w:t>
            </w:r>
          </w:p>
        </w:tc>
        <w:tc>
          <w:tcPr>
            <w:tcW w:w="1197" w:type="dxa"/>
            <w:tcBorders>
              <w:top w:val="nil"/>
              <w:left w:val="nil"/>
              <w:bottom w:val="single" w:sz="4" w:space="0" w:color="auto"/>
              <w:right w:val="single" w:sz="4" w:space="0" w:color="auto"/>
            </w:tcBorders>
            <w:shd w:val="clear" w:color="000000" w:fill="FFFFFF"/>
            <w:noWrap/>
            <w:vAlign w:val="center"/>
          </w:tcPr>
          <w:p w:rsidR="00B83265" w:rsidRPr="00B32499" w:rsidRDefault="00B83265" w:rsidP="00B32499">
            <w:pPr>
              <w:spacing w:after="0"/>
              <w:rPr>
                <w:rFonts w:ascii="Arial" w:hAnsi="Arial" w:cs="Arial"/>
              </w:rPr>
            </w:pPr>
            <w:r w:rsidRPr="00B32499">
              <w:rPr>
                <w:rFonts w:ascii="Arial" w:hAnsi="Arial" w:cs="Arial"/>
              </w:rPr>
              <w:t>58.4%</w:t>
            </w:r>
          </w:p>
        </w:tc>
        <w:tc>
          <w:tcPr>
            <w:tcW w:w="1198" w:type="dxa"/>
            <w:tcBorders>
              <w:top w:val="nil"/>
              <w:left w:val="nil"/>
              <w:bottom w:val="single" w:sz="4" w:space="0" w:color="auto"/>
              <w:right w:val="single" w:sz="4" w:space="0" w:color="auto"/>
            </w:tcBorders>
            <w:shd w:val="clear" w:color="000000" w:fill="FFFFFF"/>
            <w:noWrap/>
            <w:vAlign w:val="center"/>
          </w:tcPr>
          <w:p w:rsidR="00B83265" w:rsidRPr="00B32499" w:rsidRDefault="00B83265" w:rsidP="00B32499">
            <w:pPr>
              <w:spacing w:after="0"/>
              <w:rPr>
                <w:rFonts w:ascii="Arial" w:hAnsi="Arial" w:cs="Arial"/>
              </w:rPr>
            </w:pPr>
            <w:r w:rsidRPr="00B32499">
              <w:rPr>
                <w:rFonts w:ascii="Arial" w:hAnsi="Arial" w:cs="Arial"/>
              </w:rPr>
              <w:t>58.4%</w:t>
            </w:r>
          </w:p>
        </w:tc>
        <w:tc>
          <w:tcPr>
            <w:tcW w:w="1198" w:type="dxa"/>
            <w:tcBorders>
              <w:top w:val="nil"/>
              <w:left w:val="nil"/>
              <w:bottom w:val="single" w:sz="4" w:space="0" w:color="auto"/>
              <w:right w:val="single" w:sz="4" w:space="0" w:color="auto"/>
            </w:tcBorders>
            <w:shd w:val="clear" w:color="000000" w:fill="FFFFFF"/>
            <w:noWrap/>
            <w:vAlign w:val="center"/>
          </w:tcPr>
          <w:p w:rsidR="00B83265" w:rsidRPr="00B32499" w:rsidRDefault="00B83265" w:rsidP="00B32499">
            <w:pPr>
              <w:spacing w:after="0"/>
              <w:rPr>
                <w:rFonts w:ascii="Arial" w:hAnsi="Arial" w:cs="Arial"/>
              </w:rPr>
            </w:pPr>
            <w:r w:rsidRPr="00B32499">
              <w:rPr>
                <w:rFonts w:ascii="Arial" w:hAnsi="Arial" w:cs="Arial"/>
              </w:rPr>
              <w:t>58.4%</w:t>
            </w:r>
          </w:p>
        </w:tc>
        <w:tc>
          <w:tcPr>
            <w:tcW w:w="1198" w:type="dxa"/>
            <w:tcBorders>
              <w:top w:val="nil"/>
              <w:left w:val="nil"/>
              <w:bottom w:val="single" w:sz="4" w:space="0" w:color="auto"/>
              <w:right w:val="single" w:sz="4" w:space="0" w:color="auto"/>
            </w:tcBorders>
            <w:shd w:val="clear" w:color="000000" w:fill="FFFFFF"/>
            <w:noWrap/>
            <w:vAlign w:val="center"/>
          </w:tcPr>
          <w:p w:rsidR="00B83265" w:rsidRPr="00B32499" w:rsidRDefault="00B83265" w:rsidP="00B32499">
            <w:pPr>
              <w:spacing w:after="0"/>
              <w:rPr>
                <w:rFonts w:ascii="Arial" w:hAnsi="Arial" w:cs="Arial"/>
              </w:rPr>
            </w:pPr>
            <w:r w:rsidRPr="00B32499">
              <w:rPr>
                <w:rFonts w:ascii="Arial" w:hAnsi="Arial" w:cs="Arial"/>
              </w:rPr>
              <w:t>58.4%</w:t>
            </w:r>
          </w:p>
        </w:tc>
        <w:tc>
          <w:tcPr>
            <w:tcW w:w="1198" w:type="dxa"/>
            <w:tcBorders>
              <w:top w:val="nil"/>
              <w:left w:val="nil"/>
              <w:bottom w:val="single" w:sz="4" w:space="0" w:color="auto"/>
              <w:right w:val="single" w:sz="4" w:space="0" w:color="auto"/>
            </w:tcBorders>
            <w:shd w:val="clear" w:color="000000" w:fill="FFFFFF"/>
            <w:noWrap/>
            <w:vAlign w:val="center"/>
          </w:tcPr>
          <w:p w:rsidR="00B83265" w:rsidRPr="00B32499" w:rsidRDefault="00B83265" w:rsidP="00B32499">
            <w:pPr>
              <w:spacing w:after="0"/>
              <w:rPr>
                <w:rFonts w:ascii="Arial" w:hAnsi="Arial" w:cs="Arial"/>
              </w:rPr>
            </w:pPr>
            <w:r w:rsidRPr="00B32499">
              <w:rPr>
                <w:rFonts w:ascii="Arial" w:hAnsi="Arial" w:cs="Arial"/>
              </w:rPr>
              <w:t>58.4%</w:t>
            </w:r>
          </w:p>
        </w:tc>
        <w:tc>
          <w:tcPr>
            <w:tcW w:w="1198" w:type="dxa"/>
            <w:tcBorders>
              <w:top w:val="nil"/>
              <w:left w:val="nil"/>
              <w:bottom w:val="single" w:sz="4" w:space="0" w:color="auto"/>
              <w:right w:val="single" w:sz="4" w:space="0" w:color="auto"/>
            </w:tcBorders>
            <w:shd w:val="clear" w:color="000000" w:fill="FFFFFF"/>
            <w:vAlign w:val="center"/>
          </w:tcPr>
          <w:p w:rsidR="00B83265" w:rsidRPr="00B32499" w:rsidRDefault="00B83265" w:rsidP="00B32499">
            <w:pPr>
              <w:spacing w:after="0"/>
              <w:rPr>
                <w:rFonts w:ascii="Arial" w:hAnsi="Arial" w:cs="Arial"/>
              </w:rPr>
            </w:pPr>
            <w:r w:rsidRPr="00B32499">
              <w:rPr>
                <w:rFonts w:ascii="Arial" w:hAnsi="Arial" w:cs="Arial"/>
              </w:rPr>
              <w:t>58.4%</w:t>
            </w:r>
          </w:p>
        </w:tc>
      </w:tr>
      <w:tr w:rsidR="007533B0" w:rsidRPr="00B32499" w:rsidTr="00B32499">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bottom"/>
          </w:tcPr>
          <w:p w:rsidR="007533B0" w:rsidRPr="00B32499" w:rsidRDefault="007533B0" w:rsidP="00B32499">
            <w:pPr>
              <w:spacing w:after="0" w:line="240" w:lineRule="auto"/>
              <w:rPr>
                <w:rFonts w:ascii="Arial" w:eastAsia="Times New Roman" w:hAnsi="Arial" w:cs="Arial"/>
                <w:bCs/>
                <w:color w:val="000000"/>
                <w:lang w:eastAsia="en-AU"/>
              </w:rPr>
            </w:pPr>
            <w:r w:rsidRPr="00B32499">
              <w:rPr>
                <w:rFonts w:ascii="Arial" w:eastAsia="Times New Roman" w:hAnsi="Arial" w:cs="Arial"/>
                <w:bCs/>
                <w:color w:val="000000"/>
                <w:lang w:eastAsia="en-AU"/>
              </w:rPr>
              <w:t>5 years</w:t>
            </w:r>
          </w:p>
        </w:tc>
        <w:tc>
          <w:tcPr>
            <w:tcW w:w="1197" w:type="dxa"/>
            <w:tcBorders>
              <w:top w:val="nil"/>
              <w:left w:val="nil"/>
              <w:bottom w:val="single" w:sz="4" w:space="0" w:color="auto"/>
              <w:right w:val="single" w:sz="4" w:space="0" w:color="auto"/>
            </w:tcBorders>
            <w:shd w:val="clear" w:color="000000" w:fill="FFFFFF"/>
            <w:noWrap/>
            <w:vAlign w:val="center"/>
          </w:tcPr>
          <w:p w:rsidR="007533B0" w:rsidRPr="00B32499" w:rsidRDefault="007533B0" w:rsidP="00B32499">
            <w:pPr>
              <w:spacing w:after="0"/>
              <w:rPr>
                <w:rFonts w:ascii="Arial" w:hAnsi="Arial" w:cs="Arial"/>
              </w:rPr>
            </w:pPr>
            <w:r w:rsidRPr="00B32499">
              <w:rPr>
                <w:rFonts w:ascii="Arial" w:hAnsi="Arial" w:cs="Arial"/>
              </w:rPr>
              <w:t>61.2%</w:t>
            </w:r>
          </w:p>
        </w:tc>
        <w:tc>
          <w:tcPr>
            <w:tcW w:w="1198" w:type="dxa"/>
            <w:tcBorders>
              <w:top w:val="nil"/>
              <w:left w:val="nil"/>
              <w:bottom w:val="single" w:sz="4" w:space="0" w:color="auto"/>
              <w:right w:val="single" w:sz="4" w:space="0" w:color="auto"/>
            </w:tcBorders>
            <w:shd w:val="clear" w:color="000000" w:fill="FFFFFF"/>
            <w:noWrap/>
            <w:vAlign w:val="center"/>
          </w:tcPr>
          <w:p w:rsidR="007533B0" w:rsidRPr="00B32499" w:rsidRDefault="007533B0" w:rsidP="00B32499">
            <w:pPr>
              <w:spacing w:after="0"/>
              <w:rPr>
                <w:rFonts w:ascii="Arial" w:hAnsi="Arial" w:cs="Arial"/>
              </w:rPr>
            </w:pPr>
            <w:r w:rsidRPr="00B32499">
              <w:rPr>
                <w:rFonts w:ascii="Arial" w:hAnsi="Arial" w:cs="Arial"/>
              </w:rPr>
              <w:t>58.8%</w:t>
            </w:r>
          </w:p>
        </w:tc>
        <w:tc>
          <w:tcPr>
            <w:tcW w:w="1198" w:type="dxa"/>
            <w:tcBorders>
              <w:top w:val="nil"/>
              <w:left w:val="nil"/>
              <w:bottom w:val="single" w:sz="4" w:space="0" w:color="auto"/>
              <w:right w:val="single" w:sz="4" w:space="0" w:color="auto"/>
            </w:tcBorders>
            <w:shd w:val="clear" w:color="000000" w:fill="FFFFFF"/>
            <w:noWrap/>
            <w:vAlign w:val="center"/>
          </w:tcPr>
          <w:p w:rsidR="007533B0" w:rsidRPr="00B32499" w:rsidRDefault="007533B0" w:rsidP="00B32499">
            <w:pPr>
              <w:spacing w:after="0"/>
              <w:rPr>
                <w:rFonts w:ascii="Arial" w:hAnsi="Arial" w:cs="Arial"/>
              </w:rPr>
            </w:pPr>
            <w:r w:rsidRPr="00B32499">
              <w:rPr>
                <w:rFonts w:ascii="Arial" w:hAnsi="Arial" w:cs="Arial"/>
              </w:rPr>
              <w:t>59.3%</w:t>
            </w:r>
          </w:p>
        </w:tc>
        <w:tc>
          <w:tcPr>
            <w:tcW w:w="1198" w:type="dxa"/>
            <w:tcBorders>
              <w:top w:val="nil"/>
              <w:left w:val="nil"/>
              <w:bottom w:val="single" w:sz="4" w:space="0" w:color="auto"/>
              <w:right w:val="single" w:sz="4" w:space="0" w:color="auto"/>
            </w:tcBorders>
            <w:shd w:val="clear" w:color="000000" w:fill="FFFFFF"/>
            <w:noWrap/>
            <w:vAlign w:val="center"/>
          </w:tcPr>
          <w:p w:rsidR="007533B0" w:rsidRPr="00B32499" w:rsidRDefault="007533B0" w:rsidP="00B32499">
            <w:pPr>
              <w:spacing w:after="0"/>
              <w:rPr>
                <w:rFonts w:ascii="Arial" w:hAnsi="Arial" w:cs="Arial"/>
              </w:rPr>
            </w:pPr>
            <w:r w:rsidRPr="00B32499">
              <w:rPr>
                <w:rFonts w:ascii="Arial" w:hAnsi="Arial" w:cs="Arial"/>
              </w:rPr>
              <w:t>57.5%</w:t>
            </w:r>
          </w:p>
        </w:tc>
        <w:tc>
          <w:tcPr>
            <w:tcW w:w="1198" w:type="dxa"/>
            <w:tcBorders>
              <w:top w:val="nil"/>
              <w:left w:val="nil"/>
              <w:bottom w:val="single" w:sz="4" w:space="0" w:color="auto"/>
              <w:right w:val="single" w:sz="4" w:space="0" w:color="auto"/>
            </w:tcBorders>
            <w:shd w:val="clear" w:color="000000" w:fill="FFFFFF"/>
            <w:noWrap/>
            <w:vAlign w:val="center"/>
          </w:tcPr>
          <w:p w:rsidR="007533B0" w:rsidRPr="00B32499" w:rsidRDefault="007533B0" w:rsidP="00B32499">
            <w:pPr>
              <w:spacing w:after="0"/>
              <w:rPr>
                <w:rFonts w:ascii="Arial" w:hAnsi="Arial" w:cs="Arial"/>
              </w:rPr>
            </w:pPr>
            <w:r w:rsidRPr="00B32499">
              <w:rPr>
                <w:rFonts w:ascii="Arial" w:hAnsi="Arial" w:cs="Arial"/>
              </w:rPr>
              <w:t>59.9%</w:t>
            </w:r>
          </w:p>
        </w:tc>
        <w:tc>
          <w:tcPr>
            <w:tcW w:w="1198" w:type="dxa"/>
            <w:tcBorders>
              <w:top w:val="nil"/>
              <w:left w:val="nil"/>
              <w:bottom w:val="single" w:sz="4" w:space="0" w:color="auto"/>
              <w:right w:val="single" w:sz="4" w:space="0" w:color="auto"/>
            </w:tcBorders>
            <w:shd w:val="clear" w:color="000000" w:fill="FFFFFF"/>
            <w:vAlign w:val="center"/>
          </w:tcPr>
          <w:p w:rsidR="007533B0" w:rsidRPr="00B32499" w:rsidRDefault="007533B0" w:rsidP="00B32499">
            <w:pPr>
              <w:spacing w:after="0"/>
              <w:rPr>
                <w:rFonts w:ascii="Arial" w:hAnsi="Arial" w:cs="Arial"/>
              </w:rPr>
            </w:pPr>
            <w:r w:rsidRPr="00B32499">
              <w:rPr>
                <w:rFonts w:ascii="Arial" w:hAnsi="Arial" w:cs="Arial"/>
              </w:rPr>
              <w:t>60.8%</w:t>
            </w:r>
          </w:p>
        </w:tc>
      </w:tr>
      <w:tr w:rsidR="007533B0" w:rsidRPr="00B32499" w:rsidTr="00B32499">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bottom"/>
            <w:hideMark/>
          </w:tcPr>
          <w:p w:rsidR="007533B0" w:rsidRPr="00B32499" w:rsidRDefault="007533B0" w:rsidP="00B32499">
            <w:pPr>
              <w:spacing w:after="0" w:line="240" w:lineRule="auto"/>
              <w:rPr>
                <w:rFonts w:ascii="Arial" w:eastAsia="Times New Roman" w:hAnsi="Arial" w:cs="Arial"/>
                <w:bCs/>
                <w:color w:val="000000"/>
                <w:lang w:eastAsia="en-AU"/>
              </w:rPr>
            </w:pPr>
            <w:r w:rsidRPr="00B32499">
              <w:rPr>
                <w:rFonts w:ascii="Arial" w:eastAsia="Times New Roman" w:hAnsi="Arial" w:cs="Arial"/>
                <w:bCs/>
                <w:color w:val="000000"/>
                <w:lang w:eastAsia="en-AU"/>
              </w:rPr>
              <w:t>4 years</w:t>
            </w:r>
          </w:p>
        </w:tc>
        <w:tc>
          <w:tcPr>
            <w:tcW w:w="1197" w:type="dxa"/>
            <w:tcBorders>
              <w:top w:val="nil"/>
              <w:left w:val="nil"/>
              <w:bottom w:val="single" w:sz="4" w:space="0" w:color="auto"/>
              <w:right w:val="single" w:sz="4" w:space="0" w:color="auto"/>
            </w:tcBorders>
            <w:shd w:val="clear" w:color="000000" w:fill="FFFFFF"/>
            <w:noWrap/>
            <w:vAlign w:val="center"/>
          </w:tcPr>
          <w:p w:rsidR="007533B0" w:rsidRPr="00B32499" w:rsidRDefault="007533B0" w:rsidP="00B32499">
            <w:pPr>
              <w:spacing w:after="0"/>
              <w:rPr>
                <w:rFonts w:ascii="Arial" w:hAnsi="Arial" w:cs="Arial"/>
              </w:rPr>
            </w:pPr>
            <w:r w:rsidRPr="00B32499">
              <w:rPr>
                <w:rFonts w:ascii="Arial" w:hAnsi="Arial" w:cs="Arial"/>
              </w:rPr>
              <w:t>61.6%</w:t>
            </w:r>
          </w:p>
        </w:tc>
        <w:tc>
          <w:tcPr>
            <w:tcW w:w="1198" w:type="dxa"/>
            <w:tcBorders>
              <w:top w:val="nil"/>
              <w:left w:val="nil"/>
              <w:bottom w:val="single" w:sz="4" w:space="0" w:color="auto"/>
              <w:right w:val="single" w:sz="4" w:space="0" w:color="auto"/>
            </w:tcBorders>
            <w:shd w:val="clear" w:color="000000" w:fill="FFFFFF"/>
            <w:noWrap/>
            <w:vAlign w:val="center"/>
          </w:tcPr>
          <w:p w:rsidR="007533B0" w:rsidRPr="00B32499" w:rsidRDefault="007533B0" w:rsidP="00B32499">
            <w:pPr>
              <w:spacing w:after="0"/>
              <w:rPr>
                <w:rFonts w:ascii="Arial" w:hAnsi="Arial" w:cs="Arial"/>
              </w:rPr>
            </w:pPr>
            <w:r w:rsidRPr="00B32499">
              <w:rPr>
                <w:rFonts w:ascii="Arial" w:hAnsi="Arial" w:cs="Arial"/>
              </w:rPr>
              <w:t>60.2%</w:t>
            </w:r>
          </w:p>
        </w:tc>
        <w:tc>
          <w:tcPr>
            <w:tcW w:w="1198" w:type="dxa"/>
            <w:tcBorders>
              <w:top w:val="nil"/>
              <w:left w:val="nil"/>
              <w:bottom w:val="single" w:sz="4" w:space="0" w:color="auto"/>
              <w:right w:val="single" w:sz="4" w:space="0" w:color="auto"/>
            </w:tcBorders>
            <w:shd w:val="clear" w:color="000000" w:fill="FFFFFF"/>
            <w:noWrap/>
            <w:vAlign w:val="center"/>
          </w:tcPr>
          <w:p w:rsidR="007533B0" w:rsidRPr="00B32499" w:rsidRDefault="007533B0" w:rsidP="00B32499">
            <w:pPr>
              <w:spacing w:after="0"/>
              <w:rPr>
                <w:rFonts w:ascii="Arial" w:hAnsi="Arial" w:cs="Arial"/>
              </w:rPr>
            </w:pPr>
            <w:r w:rsidRPr="00B32499">
              <w:rPr>
                <w:rFonts w:ascii="Arial" w:hAnsi="Arial" w:cs="Arial"/>
              </w:rPr>
              <w:t>59.7%</w:t>
            </w:r>
          </w:p>
        </w:tc>
        <w:tc>
          <w:tcPr>
            <w:tcW w:w="1198" w:type="dxa"/>
            <w:tcBorders>
              <w:top w:val="nil"/>
              <w:left w:val="nil"/>
              <w:bottom w:val="single" w:sz="4" w:space="0" w:color="auto"/>
              <w:right w:val="single" w:sz="4" w:space="0" w:color="auto"/>
            </w:tcBorders>
            <w:shd w:val="clear" w:color="000000" w:fill="FFFFFF"/>
            <w:noWrap/>
            <w:vAlign w:val="center"/>
          </w:tcPr>
          <w:p w:rsidR="007533B0" w:rsidRPr="00B32499" w:rsidRDefault="007533B0" w:rsidP="00B32499">
            <w:pPr>
              <w:spacing w:after="0"/>
              <w:rPr>
                <w:rFonts w:ascii="Arial" w:hAnsi="Arial" w:cs="Arial"/>
              </w:rPr>
            </w:pPr>
            <w:r w:rsidRPr="00B32499">
              <w:rPr>
                <w:rFonts w:ascii="Arial" w:hAnsi="Arial" w:cs="Arial"/>
              </w:rPr>
              <w:t>60.7%</w:t>
            </w:r>
          </w:p>
        </w:tc>
        <w:tc>
          <w:tcPr>
            <w:tcW w:w="1198" w:type="dxa"/>
            <w:tcBorders>
              <w:top w:val="nil"/>
              <w:left w:val="nil"/>
              <w:bottom w:val="single" w:sz="4" w:space="0" w:color="auto"/>
              <w:right w:val="single" w:sz="4" w:space="0" w:color="auto"/>
            </w:tcBorders>
            <w:shd w:val="clear" w:color="000000" w:fill="FFFFFF"/>
            <w:noWrap/>
            <w:vAlign w:val="center"/>
          </w:tcPr>
          <w:p w:rsidR="007533B0" w:rsidRPr="00B32499" w:rsidRDefault="007533B0" w:rsidP="00B32499">
            <w:pPr>
              <w:spacing w:after="0"/>
              <w:rPr>
                <w:rFonts w:ascii="Arial" w:hAnsi="Arial" w:cs="Arial"/>
              </w:rPr>
            </w:pPr>
            <w:r w:rsidRPr="00B32499">
              <w:rPr>
                <w:rFonts w:ascii="Arial" w:hAnsi="Arial" w:cs="Arial"/>
              </w:rPr>
              <w:t>59.9%</w:t>
            </w:r>
          </w:p>
        </w:tc>
        <w:tc>
          <w:tcPr>
            <w:tcW w:w="1198" w:type="dxa"/>
            <w:tcBorders>
              <w:top w:val="nil"/>
              <w:left w:val="nil"/>
              <w:bottom w:val="single" w:sz="4" w:space="0" w:color="auto"/>
              <w:right w:val="single" w:sz="4" w:space="0" w:color="auto"/>
            </w:tcBorders>
            <w:shd w:val="clear" w:color="000000" w:fill="FFFFFF"/>
            <w:vAlign w:val="center"/>
          </w:tcPr>
          <w:p w:rsidR="007533B0" w:rsidRPr="00B32499" w:rsidRDefault="007533B0" w:rsidP="00B32499">
            <w:pPr>
              <w:spacing w:after="0"/>
              <w:rPr>
                <w:rFonts w:ascii="Arial" w:hAnsi="Arial" w:cs="Arial"/>
              </w:rPr>
            </w:pPr>
          </w:p>
        </w:tc>
      </w:tr>
      <w:tr w:rsidR="007533B0" w:rsidRPr="00B32499" w:rsidTr="00B32499">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bottom"/>
            <w:hideMark/>
          </w:tcPr>
          <w:p w:rsidR="007533B0" w:rsidRPr="00B32499" w:rsidRDefault="007533B0" w:rsidP="00B32499">
            <w:pPr>
              <w:spacing w:after="0" w:line="240" w:lineRule="auto"/>
              <w:rPr>
                <w:rFonts w:ascii="Arial" w:eastAsia="Times New Roman" w:hAnsi="Arial" w:cs="Arial"/>
                <w:bCs/>
                <w:color w:val="000000"/>
                <w:lang w:eastAsia="en-AU"/>
              </w:rPr>
            </w:pPr>
            <w:r w:rsidRPr="00B32499">
              <w:rPr>
                <w:rFonts w:ascii="Arial" w:eastAsia="Times New Roman" w:hAnsi="Arial" w:cs="Arial"/>
                <w:bCs/>
                <w:color w:val="000000"/>
                <w:lang w:eastAsia="en-AU"/>
              </w:rPr>
              <w:t>3 years</w:t>
            </w:r>
          </w:p>
        </w:tc>
        <w:tc>
          <w:tcPr>
            <w:tcW w:w="1197" w:type="dxa"/>
            <w:tcBorders>
              <w:top w:val="nil"/>
              <w:left w:val="nil"/>
              <w:bottom w:val="single" w:sz="4" w:space="0" w:color="auto"/>
              <w:right w:val="single" w:sz="4" w:space="0" w:color="auto"/>
            </w:tcBorders>
            <w:shd w:val="clear" w:color="000000" w:fill="FFFFFF"/>
            <w:noWrap/>
            <w:vAlign w:val="center"/>
          </w:tcPr>
          <w:p w:rsidR="007533B0" w:rsidRPr="00B32499" w:rsidRDefault="007533B0" w:rsidP="00B32499">
            <w:pPr>
              <w:spacing w:after="0"/>
              <w:rPr>
                <w:rFonts w:ascii="Arial" w:hAnsi="Arial" w:cs="Arial"/>
              </w:rPr>
            </w:pPr>
            <w:r w:rsidRPr="00B32499">
              <w:rPr>
                <w:rFonts w:ascii="Arial" w:hAnsi="Arial" w:cs="Arial"/>
              </w:rPr>
              <w:t>64.9%</w:t>
            </w:r>
          </w:p>
        </w:tc>
        <w:tc>
          <w:tcPr>
            <w:tcW w:w="1198" w:type="dxa"/>
            <w:tcBorders>
              <w:top w:val="nil"/>
              <w:left w:val="nil"/>
              <w:bottom w:val="single" w:sz="4" w:space="0" w:color="auto"/>
              <w:right w:val="single" w:sz="4" w:space="0" w:color="auto"/>
            </w:tcBorders>
            <w:shd w:val="clear" w:color="000000" w:fill="FFFFFF"/>
            <w:noWrap/>
            <w:vAlign w:val="center"/>
          </w:tcPr>
          <w:p w:rsidR="007533B0" w:rsidRPr="00B32499" w:rsidRDefault="007533B0" w:rsidP="00B32499">
            <w:pPr>
              <w:spacing w:after="0"/>
              <w:rPr>
                <w:rFonts w:ascii="Arial" w:hAnsi="Arial" w:cs="Arial"/>
              </w:rPr>
            </w:pPr>
            <w:r w:rsidRPr="00B32499">
              <w:rPr>
                <w:rFonts w:ascii="Arial" w:hAnsi="Arial" w:cs="Arial"/>
              </w:rPr>
              <w:t>63.4%</w:t>
            </w:r>
          </w:p>
        </w:tc>
        <w:tc>
          <w:tcPr>
            <w:tcW w:w="1198" w:type="dxa"/>
            <w:tcBorders>
              <w:top w:val="nil"/>
              <w:left w:val="nil"/>
              <w:bottom w:val="single" w:sz="4" w:space="0" w:color="auto"/>
              <w:right w:val="single" w:sz="4" w:space="0" w:color="auto"/>
            </w:tcBorders>
            <w:shd w:val="clear" w:color="000000" w:fill="FFFFFF"/>
            <w:noWrap/>
            <w:vAlign w:val="center"/>
          </w:tcPr>
          <w:p w:rsidR="007533B0" w:rsidRPr="00B32499" w:rsidRDefault="007533B0" w:rsidP="00B32499">
            <w:pPr>
              <w:spacing w:after="0"/>
              <w:rPr>
                <w:rFonts w:ascii="Arial" w:hAnsi="Arial" w:cs="Arial"/>
              </w:rPr>
            </w:pPr>
            <w:r w:rsidRPr="00B32499">
              <w:rPr>
                <w:rFonts w:ascii="Arial" w:hAnsi="Arial" w:cs="Arial"/>
              </w:rPr>
              <w:t>64.4%</w:t>
            </w:r>
          </w:p>
        </w:tc>
        <w:tc>
          <w:tcPr>
            <w:tcW w:w="1198" w:type="dxa"/>
            <w:tcBorders>
              <w:top w:val="nil"/>
              <w:left w:val="nil"/>
              <w:bottom w:val="single" w:sz="4" w:space="0" w:color="auto"/>
              <w:right w:val="single" w:sz="4" w:space="0" w:color="auto"/>
            </w:tcBorders>
            <w:shd w:val="clear" w:color="000000" w:fill="FFFFFF"/>
            <w:noWrap/>
            <w:vAlign w:val="center"/>
          </w:tcPr>
          <w:p w:rsidR="007533B0" w:rsidRPr="00B32499" w:rsidRDefault="007533B0" w:rsidP="00B32499">
            <w:pPr>
              <w:spacing w:after="0"/>
              <w:rPr>
                <w:rFonts w:ascii="Arial" w:hAnsi="Arial" w:cs="Arial"/>
              </w:rPr>
            </w:pPr>
            <w:r w:rsidRPr="00B32499">
              <w:rPr>
                <w:rFonts w:ascii="Arial" w:hAnsi="Arial" w:cs="Arial"/>
              </w:rPr>
              <w:t>62.5%</w:t>
            </w:r>
          </w:p>
        </w:tc>
        <w:tc>
          <w:tcPr>
            <w:tcW w:w="1198" w:type="dxa"/>
            <w:tcBorders>
              <w:top w:val="nil"/>
              <w:left w:val="nil"/>
              <w:bottom w:val="single" w:sz="4" w:space="0" w:color="auto"/>
              <w:right w:val="single" w:sz="4" w:space="0" w:color="auto"/>
            </w:tcBorders>
            <w:shd w:val="clear" w:color="000000" w:fill="FFFFFF"/>
            <w:noWrap/>
            <w:vAlign w:val="center"/>
          </w:tcPr>
          <w:p w:rsidR="007533B0" w:rsidRPr="00B32499" w:rsidRDefault="007533B0" w:rsidP="00B32499">
            <w:pPr>
              <w:spacing w:after="0"/>
              <w:rPr>
                <w:rFonts w:ascii="Arial" w:hAnsi="Arial" w:cs="Arial"/>
              </w:rPr>
            </w:pPr>
          </w:p>
        </w:tc>
        <w:tc>
          <w:tcPr>
            <w:tcW w:w="1198" w:type="dxa"/>
            <w:tcBorders>
              <w:top w:val="nil"/>
              <w:left w:val="nil"/>
              <w:bottom w:val="single" w:sz="4" w:space="0" w:color="auto"/>
              <w:right w:val="single" w:sz="4" w:space="0" w:color="auto"/>
            </w:tcBorders>
            <w:shd w:val="clear" w:color="000000" w:fill="FFFFFF"/>
            <w:vAlign w:val="center"/>
          </w:tcPr>
          <w:p w:rsidR="007533B0" w:rsidRPr="00B32499" w:rsidRDefault="007533B0" w:rsidP="00B32499">
            <w:pPr>
              <w:spacing w:after="0"/>
              <w:rPr>
                <w:rFonts w:ascii="Arial" w:hAnsi="Arial" w:cs="Arial"/>
              </w:rPr>
            </w:pPr>
          </w:p>
        </w:tc>
      </w:tr>
      <w:tr w:rsidR="007533B0" w:rsidRPr="00B32499" w:rsidTr="00B32499">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bottom"/>
            <w:hideMark/>
          </w:tcPr>
          <w:p w:rsidR="007533B0" w:rsidRPr="00B32499" w:rsidRDefault="007533B0" w:rsidP="00B32499">
            <w:pPr>
              <w:spacing w:after="0" w:line="240" w:lineRule="auto"/>
              <w:rPr>
                <w:rFonts w:ascii="Arial" w:eastAsia="Times New Roman" w:hAnsi="Arial" w:cs="Arial"/>
                <w:bCs/>
                <w:color w:val="000000"/>
                <w:lang w:eastAsia="en-AU"/>
              </w:rPr>
            </w:pPr>
            <w:r w:rsidRPr="00B32499">
              <w:rPr>
                <w:rFonts w:ascii="Arial" w:eastAsia="Times New Roman" w:hAnsi="Arial" w:cs="Arial"/>
                <w:bCs/>
                <w:color w:val="000000"/>
                <w:lang w:eastAsia="en-AU"/>
              </w:rPr>
              <w:t>2 years</w:t>
            </w:r>
          </w:p>
        </w:tc>
        <w:tc>
          <w:tcPr>
            <w:tcW w:w="1197" w:type="dxa"/>
            <w:tcBorders>
              <w:top w:val="nil"/>
              <w:left w:val="nil"/>
              <w:bottom w:val="single" w:sz="4" w:space="0" w:color="auto"/>
              <w:right w:val="single" w:sz="4" w:space="0" w:color="auto"/>
            </w:tcBorders>
            <w:shd w:val="clear" w:color="000000" w:fill="FFFFFF"/>
            <w:noWrap/>
            <w:vAlign w:val="center"/>
          </w:tcPr>
          <w:p w:rsidR="007533B0" w:rsidRPr="00B32499" w:rsidRDefault="007533B0" w:rsidP="00B32499">
            <w:pPr>
              <w:spacing w:after="0"/>
              <w:rPr>
                <w:rFonts w:ascii="Arial" w:hAnsi="Arial" w:cs="Arial"/>
              </w:rPr>
            </w:pPr>
            <w:r w:rsidRPr="00B32499">
              <w:rPr>
                <w:rFonts w:ascii="Arial" w:hAnsi="Arial" w:cs="Arial"/>
              </w:rPr>
              <w:t>65.9%</w:t>
            </w:r>
          </w:p>
        </w:tc>
        <w:tc>
          <w:tcPr>
            <w:tcW w:w="1198" w:type="dxa"/>
            <w:tcBorders>
              <w:top w:val="nil"/>
              <w:left w:val="nil"/>
              <w:bottom w:val="single" w:sz="4" w:space="0" w:color="auto"/>
              <w:right w:val="single" w:sz="4" w:space="0" w:color="auto"/>
            </w:tcBorders>
            <w:shd w:val="clear" w:color="000000" w:fill="FFFFFF"/>
            <w:noWrap/>
            <w:vAlign w:val="center"/>
          </w:tcPr>
          <w:p w:rsidR="007533B0" w:rsidRPr="00B32499" w:rsidRDefault="007533B0" w:rsidP="00B32499">
            <w:pPr>
              <w:spacing w:after="0"/>
              <w:rPr>
                <w:rFonts w:ascii="Arial" w:hAnsi="Arial" w:cs="Arial"/>
              </w:rPr>
            </w:pPr>
            <w:r w:rsidRPr="00B32499">
              <w:rPr>
                <w:rFonts w:ascii="Arial" w:hAnsi="Arial" w:cs="Arial"/>
              </w:rPr>
              <w:t>64.7%</w:t>
            </w:r>
          </w:p>
        </w:tc>
        <w:tc>
          <w:tcPr>
            <w:tcW w:w="1198" w:type="dxa"/>
            <w:tcBorders>
              <w:top w:val="nil"/>
              <w:left w:val="nil"/>
              <w:bottom w:val="single" w:sz="4" w:space="0" w:color="auto"/>
              <w:right w:val="single" w:sz="4" w:space="0" w:color="auto"/>
            </w:tcBorders>
            <w:shd w:val="clear" w:color="000000" w:fill="FFFFFF"/>
            <w:noWrap/>
            <w:vAlign w:val="center"/>
          </w:tcPr>
          <w:p w:rsidR="007533B0" w:rsidRPr="00B32499" w:rsidRDefault="007533B0" w:rsidP="00B32499">
            <w:pPr>
              <w:spacing w:after="0"/>
              <w:rPr>
                <w:rFonts w:ascii="Arial" w:hAnsi="Arial" w:cs="Arial"/>
              </w:rPr>
            </w:pPr>
            <w:r w:rsidRPr="00B32499">
              <w:rPr>
                <w:rFonts w:ascii="Arial" w:hAnsi="Arial" w:cs="Arial"/>
              </w:rPr>
              <w:t>63.8%</w:t>
            </w:r>
          </w:p>
        </w:tc>
        <w:tc>
          <w:tcPr>
            <w:tcW w:w="1198" w:type="dxa"/>
            <w:tcBorders>
              <w:top w:val="nil"/>
              <w:left w:val="nil"/>
              <w:bottom w:val="single" w:sz="4" w:space="0" w:color="auto"/>
              <w:right w:val="single" w:sz="4" w:space="0" w:color="auto"/>
            </w:tcBorders>
            <w:shd w:val="clear" w:color="000000" w:fill="FFFFFF"/>
            <w:noWrap/>
            <w:vAlign w:val="center"/>
          </w:tcPr>
          <w:p w:rsidR="007533B0" w:rsidRPr="00B32499" w:rsidRDefault="007533B0" w:rsidP="00B32499">
            <w:pPr>
              <w:spacing w:after="0"/>
              <w:rPr>
                <w:rFonts w:ascii="Arial" w:hAnsi="Arial" w:cs="Arial"/>
              </w:rPr>
            </w:pPr>
          </w:p>
        </w:tc>
        <w:tc>
          <w:tcPr>
            <w:tcW w:w="1198" w:type="dxa"/>
            <w:tcBorders>
              <w:top w:val="nil"/>
              <w:left w:val="nil"/>
              <w:bottom w:val="single" w:sz="4" w:space="0" w:color="auto"/>
              <w:right w:val="single" w:sz="4" w:space="0" w:color="auto"/>
            </w:tcBorders>
            <w:shd w:val="clear" w:color="000000" w:fill="FFFFFF"/>
            <w:noWrap/>
            <w:vAlign w:val="center"/>
          </w:tcPr>
          <w:p w:rsidR="007533B0" w:rsidRPr="00B32499" w:rsidRDefault="007533B0" w:rsidP="00B32499">
            <w:pPr>
              <w:spacing w:after="0"/>
              <w:rPr>
                <w:rFonts w:ascii="Arial" w:hAnsi="Arial" w:cs="Arial"/>
              </w:rPr>
            </w:pPr>
          </w:p>
        </w:tc>
        <w:tc>
          <w:tcPr>
            <w:tcW w:w="1198" w:type="dxa"/>
            <w:tcBorders>
              <w:top w:val="nil"/>
              <w:left w:val="nil"/>
              <w:bottom w:val="single" w:sz="4" w:space="0" w:color="auto"/>
              <w:right w:val="single" w:sz="4" w:space="0" w:color="auto"/>
            </w:tcBorders>
            <w:shd w:val="clear" w:color="000000" w:fill="FFFFFF"/>
            <w:vAlign w:val="center"/>
          </w:tcPr>
          <w:p w:rsidR="007533B0" w:rsidRPr="00B32499" w:rsidRDefault="007533B0" w:rsidP="00B32499">
            <w:pPr>
              <w:spacing w:after="0"/>
              <w:rPr>
                <w:rFonts w:ascii="Arial" w:hAnsi="Arial" w:cs="Arial"/>
              </w:rPr>
            </w:pPr>
          </w:p>
        </w:tc>
      </w:tr>
      <w:tr w:rsidR="007533B0" w:rsidRPr="00B32499" w:rsidTr="00B32499">
        <w:trPr>
          <w:trHeight w:val="282"/>
        </w:trPr>
        <w:tc>
          <w:tcPr>
            <w:tcW w:w="219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533B0" w:rsidRPr="00B32499" w:rsidRDefault="007533B0" w:rsidP="00B32499">
            <w:pPr>
              <w:spacing w:after="0" w:line="240" w:lineRule="auto"/>
              <w:rPr>
                <w:rFonts w:ascii="Arial" w:eastAsia="Times New Roman" w:hAnsi="Arial" w:cs="Arial"/>
                <w:bCs/>
                <w:color w:val="000000"/>
                <w:lang w:eastAsia="en-AU"/>
              </w:rPr>
            </w:pPr>
            <w:r w:rsidRPr="00B32499">
              <w:rPr>
                <w:rFonts w:ascii="Arial" w:eastAsia="Times New Roman" w:hAnsi="Arial" w:cs="Arial"/>
                <w:bCs/>
                <w:color w:val="000000"/>
                <w:lang w:eastAsia="en-AU"/>
              </w:rPr>
              <w:t>1 year</w:t>
            </w:r>
          </w:p>
        </w:tc>
        <w:tc>
          <w:tcPr>
            <w:tcW w:w="1197" w:type="dxa"/>
            <w:tcBorders>
              <w:top w:val="single" w:sz="4" w:space="0" w:color="auto"/>
              <w:left w:val="nil"/>
              <w:bottom w:val="single" w:sz="4" w:space="0" w:color="auto"/>
              <w:right w:val="single" w:sz="4" w:space="0" w:color="auto"/>
            </w:tcBorders>
            <w:shd w:val="clear" w:color="000000" w:fill="FFFFFF"/>
            <w:noWrap/>
            <w:vAlign w:val="center"/>
          </w:tcPr>
          <w:p w:rsidR="007533B0" w:rsidRPr="00B32499" w:rsidRDefault="007533B0" w:rsidP="00B32499">
            <w:pPr>
              <w:spacing w:after="0"/>
              <w:rPr>
                <w:rFonts w:ascii="Arial" w:hAnsi="Arial" w:cs="Arial"/>
              </w:rPr>
            </w:pPr>
            <w:r w:rsidRPr="00B32499">
              <w:rPr>
                <w:rFonts w:ascii="Arial" w:hAnsi="Arial" w:cs="Arial"/>
              </w:rPr>
              <w:t>65.3%</w:t>
            </w:r>
          </w:p>
        </w:tc>
        <w:tc>
          <w:tcPr>
            <w:tcW w:w="1198" w:type="dxa"/>
            <w:tcBorders>
              <w:top w:val="single" w:sz="4" w:space="0" w:color="auto"/>
              <w:left w:val="nil"/>
              <w:bottom w:val="single" w:sz="4" w:space="0" w:color="auto"/>
              <w:right w:val="single" w:sz="4" w:space="0" w:color="auto"/>
            </w:tcBorders>
            <w:shd w:val="clear" w:color="000000" w:fill="FFFFFF"/>
            <w:noWrap/>
            <w:vAlign w:val="center"/>
          </w:tcPr>
          <w:p w:rsidR="007533B0" w:rsidRPr="00B32499" w:rsidRDefault="007533B0" w:rsidP="00B32499">
            <w:pPr>
              <w:spacing w:after="0"/>
              <w:rPr>
                <w:rFonts w:ascii="Arial" w:hAnsi="Arial" w:cs="Arial"/>
              </w:rPr>
            </w:pPr>
            <w:r w:rsidRPr="00B32499">
              <w:rPr>
                <w:rFonts w:ascii="Arial" w:hAnsi="Arial" w:cs="Arial"/>
              </w:rPr>
              <w:t>64.3%</w:t>
            </w:r>
          </w:p>
        </w:tc>
        <w:tc>
          <w:tcPr>
            <w:tcW w:w="1198" w:type="dxa"/>
            <w:tcBorders>
              <w:top w:val="single" w:sz="4" w:space="0" w:color="auto"/>
              <w:left w:val="nil"/>
              <w:bottom w:val="single" w:sz="4" w:space="0" w:color="auto"/>
              <w:right w:val="single" w:sz="4" w:space="0" w:color="auto"/>
            </w:tcBorders>
            <w:shd w:val="clear" w:color="000000" w:fill="FFFFFF"/>
            <w:noWrap/>
            <w:vAlign w:val="center"/>
          </w:tcPr>
          <w:p w:rsidR="007533B0" w:rsidRPr="00B32499" w:rsidRDefault="007533B0" w:rsidP="00B32499">
            <w:pPr>
              <w:spacing w:after="0"/>
              <w:rPr>
                <w:rFonts w:ascii="Arial" w:hAnsi="Arial" w:cs="Arial"/>
              </w:rPr>
            </w:pPr>
          </w:p>
        </w:tc>
        <w:tc>
          <w:tcPr>
            <w:tcW w:w="1198" w:type="dxa"/>
            <w:tcBorders>
              <w:top w:val="single" w:sz="4" w:space="0" w:color="auto"/>
              <w:left w:val="nil"/>
              <w:bottom w:val="single" w:sz="4" w:space="0" w:color="auto"/>
              <w:right w:val="single" w:sz="4" w:space="0" w:color="auto"/>
            </w:tcBorders>
            <w:shd w:val="clear" w:color="000000" w:fill="FFFFFF"/>
            <w:noWrap/>
            <w:vAlign w:val="center"/>
          </w:tcPr>
          <w:p w:rsidR="007533B0" w:rsidRPr="00B32499" w:rsidRDefault="007533B0" w:rsidP="00B32499">
            <w:pPr>
              <w:spacing w:after="0"/>
              <w:rPr>
                <w:rFonts w:ascii="Arial" w:hAnsi="Arial" w:cs="Arial"/>
              </w:rPr>
            </w:pPr>
          </w:p>
        </w:tc>
        <w:tc>
          <w:tcPr>
            <w:tcW w:w="1198" w:type="dxa"/>
            <w:tcBorders>
              <w:top w:val="single" w:sz="4" w:space="0" w:color="auto"/>
              <w:left w:val="nil"/>
              <w:bottom w:val="single" w:sz="4" w:space="0" w:color="auto"/>
              <w:right w:val="single" w:sz="4" w:space="0" w:color="auto"/>
            </w:tcBorders>
            <w:shd w:val="clear" w:color="000000" w:fill="FFFFFF"/>
            <w:noWrap/>
            <w:vAlign w:val="center"/>
          </w:tcPr>
          <w:p w:rsidR="007533B0" w:rsidRPr="00B32499" w:rsidRDefault="007533B0" w:rsidP="00B32499">
            <w:pPr>
              <w:spacing w:after="0"/>
              <w:rPr>
                <w:rFonts w:ascii="Arial" w:hAnsi="Arial" w:cs="Arial"/>
              </w:rPr>
            </w:pPr>
          </w:p>
        </w:tc>
        <w:tc>
          <w:tcPr>
            <w:tcW w:w="1198" w:type="dxa"/>
            <w:tcBorders>
              <w:top w:val="single" w:sz="4" w:space="0" w:color="auto"/>
              <w:left w:val="nil"/>
              <w:bottom w:val="single" w:sz="4" w:space="0" w:color="auto"/>
              <w:right w:val="single" w:sz="4" w:space="0" w:color="auto"/>
            </w:tcBorders>
            <w:shd w:val="clear" w:color="000000" w:fill="FFFFFF"/>
            <w:vAlign w:val="center"/>
          </w:tcPr>
          <w:p w:rsidR="007533B0" w:rsidRPr="00B32499" w:rsidRDefault="007533B0" w:rsidP="00B32499">
            <w:pPr>
              <w:spacing w:after="0"/>
              <w:rPr>
                <w:rFonts w:ascii="Arial" w:hAnsi="Arial" w:cs="Arial"/>
              </w:rPr>
            </w:pPr>
          </w:p>
        </w:tc>
      </w:tr>
    </w:tbl>
    <w:p w:rsidR="00B83265" w:rsidRDefault="00B83265" w:rsidP="00B83265">
      <w:pPr>
        <w:spacing w:after="240"/>
        <w:rPr>
          <w:rFonts w:cstheme="minorHAnsi"/>
        </w:rPr>
      </w:pPr>
    </w:p>
    <w:p w:rsidR="008E1F90" w:rsidRDefault="0080201D" w:rsidP="00B83265">
      <w:pPr>
        <w:spacing w:after="240"/>
        <w:rPr>
          <w:rFonts w:cstheme="minorHAnsi"/>
        </w:rPr>
      </w:pPr>
      <w:r>
        <w:rPr>
          <w:rFonts w:cstheme="minorHAnsi"/>
        </w:rPr>
        <w:t>Footnote 1</w:t>
      </w:r>
      <w:r w:rsidR="008E1F90">
        <w:rPr>
          <w:rFonts w:cstheme="minorHAnsi"/>
        </w:rPr>
        <w:t>:</w:t>
      </w:r>
    </w:p>
    <w:p w:rsidR="00B83265" w:rsidRDefault="00B83265" w:rsidP="00B83265">
      <w:pPr>
        <w:spacing w:after="240"/>
        <w:rPr>
          <w:rFonts w:cstheme="minorHAnsi"/>
        </w:rPr>
      </w:pPr>
      <w:r w:rsidRPr="0084525C">
        <w:rPr>
          <w:rFonts w:cstheme="minorHAnsi"/>
        </w:rPr>
        <w:t>Population benchmark figures are from:</w:t>
      </w:r>
    </w:p>
    <w:p w:rsidR="00B83265" w:rsidRDefault="00B83265" w:rsidP="00B83265">
      <w:pPr>
        <w:pStyle w:val="ListParagraph"/>
        <w:numPr>
          <w:ilvl w:val="0"/>
          <w:numId w:val="32"/>
        </w:numPr>
        <w:spacing w:after="240"/>
        <w:rPr>
          <w:rFonts w:cstheme="minorHAnsi"/>
        </w:rPr>
      </w:pPr>
      <w:r w:rsidRPr="0084525C">
        <w:rPr>
          <w:rFonts w:cstheme="minorHAnsi"/>
        </w:rPr>
        <w:t>Working in a paid job: Australian Bureau of Statistics (ABS), Labour Force Status June 2022, standardised for NDIS participant age and gender distribution.</w:t>
      </w:r>
    </w:p>
    <w:p w:rsidR="00B83265" w:rsidRDefault="00B83265" w:rsidP="00B83265">
      <w:pPr>
        <w:pStyle w:val="ListParagraph"/>
        <w:numPr>
          <w:ilvl w:val="0"/>
          <w:numId w:val="32"/>
        </w:numPr>
        <w:spacing w:after="240"/>
        <w:rPr>
          <w:rFonts w:cstheme="minorHAnsi"/>
        </w:rPr>
      </w:pPr>
      <w:r w:rsidRPr="0084525C">
        <w:rPr>
          <w:rFonts w:cstheme="minorHAnsi"/>
        </w:rPr>
        <w:t>Working 15 hours or more per week: ABS, TableBuilder (Employment, Income and Education) 2016, standardised for NDIS participant age and gender distribution.</w:t>
      </w:r>
    </w:p>
    <w:p w:rsidR="00B83265" w:rsidRDefault="00B83265" w:rsidP="00B83265">
      <w:pPr>
        <w:pStyle w:val="ListParagraph"/>
        <w:numPr>
          <w:ilvl w:val="0"/>
          <w:numId w:val="32"/>
        </w:numPr>
        <w:spacing w:after="240"/>
        <w:rPr>
          <w:rFonts w:cstheme="minorHAnsi"/>
        </w:rPr>
      </w:pPr>
      <w:r w:rsidRPr="0084525C">
        <w:rPr>
          <w:rFonts w:cstheme="minorHAnsi"/>
        </w:rPr>
        <w:t>Not working and not looking for work: ABS, Labour Force Status June 2022, standardised for NDIS participant age and gender distribution.</w:t>
      </w:r>
    </w:p>
    <w:p w:rsidR="00B83265" w:rsidRPr="002817DE" w:rsidRDefault="00B83265" w:rsidP="002817DE">
      <w:pPr>
        <w:pStyle w:val="Heading2"/>
      </w:pPr>
      <w:bookmarkStart w:id="78" w:name="_Toc121151450"/>
      <w:r w:rsidRPr="002817DE">
        <w:t>Slide 68: Participants aged 15 and over – Health and wellbeing</w:t>
      </w:r>
      <w:r w:rsidR="0080201D">
        <w:t xml:space="preserve"> (Footnote 1)</w:t>
      </w:r>
      <w:bookmarkEnd w:id="78"/>
    </w:p>
    <w:p w:rsidR="00B83265" w:rsidRPr="00B8176E" w:rsidRDefault="00B83265" w:rsidP="00B83265">
      <w:pPr>
        <w:spacing w:after="240"/>
        <w:rPr>
          <w:b/>
        </w:rPr>
      </w:pPr>
      <w:r w:rsidRPr="00B8176E">
        <w:rPr>
          <w:b/>
        </w:rPr>
        <w:t xml:space="preserve">% </w:t>
      </w:r>
      <w:r>
        <w:rPr>
          <w:b/>
        </w:rPr>
        <w:t>who have a doctor they see on a regular basis</w:t>
      </w:r>
    </w:p>
    <w:p w:rsidR="00B83265" w:rsidRDefault="00B83265" w:rsidP="00B83265">
      <w:pPr>
        <w:spacing w:after="240"/>
      </w:pPr>
      <w:r>
        <w:t>Across all cohorts, an increasing percentage of participants say they have a regular doctor:</w:t>
      </w:r>
    </w:p>
    <w:p w:rsidR="00B83265" w:rsidRDefault="00B83265" w:rsidP="00B83265">
      <w:pPr>
        <w:pStyle w:val="ListParagraph"/>
        <w:numPr>
          <w:ilvl w:val="0"/>
          <w:numId w:val="34"/>
        </w:numPr>
        <w:spacing w:after="240"/>
      </w:pPr>
      <w:r>
        <w:t>8.8 percentage point increase for Cohort 5 from 85.1% at baseline to 93.9% at fifth review.</w:t>
      </w:r>
    </w:p>
    <w:p w:rsidR="00B83265" w:rsidRDefault="00B83265" w:rsidP="00B83265">
      <w:pPr>
        <w:pStyle w:val="ListParagraph"/>
        <w:numPr>
          <w:ilvl w:val="0"/>
          <w:numId w:val="33"/>
        </w:numPr>
        <w:spacing w:after="240"/>
      </w:pPr>
      <w:r>
        <w:t>6.2 percentage point increase for Cohort 4 from 87.6% (baseline) to 93.8% (fourth review).</w:t>
      </w:r>
    </w:p>
    <w:p w:rsidR="00B83265" w:rsidRDefault="00B83265" w:rsidP="00B83265">
      <w:pPr>
        <w:pStyle w:val="ListParagraph"/>
        <w:numPr>
          <w:ilvl w:val="0"/>
          <w:numId w:val="33"/>
        </w:numPr>
        <w:spacing w:after="240"/>
      </w:pPr>
      <w:r>
        <w:t>5.0 percentage point increase for Cohort 3 from 88.2% (baseline) to 93.2% (third review).</w:t>
      </w:r>
    </w:p>
    <w:p w:rsidR="00B83265" w:rsidRDefault="00B83265" w:rsidP="00B83265">
      <w:pPr>
        <w:pStyle w:val="ListParagraph"/>
        <w:numPr>
          <w:ilvl w:val="0"/>
          <w:numId w:val="33"/>
        </w:numPr>
        <w:spacing w:after="240"/>
      </w:pPr>
      <w:r>
        <w:t>4.3 percentage point increase for Cohort 2 from 86.7% (baseline) to 91.1% (second review).</w:t>
      </w:r>
    </w:p>
    <w:p w:rsidR="00B83265" w:rsidRDefault="00B83265" w:rsidP="00B83265">
      <w:pPr>
        <w:pStyle w:val="ListParagraph"/>
        <w:numPr>
          <w:ilvl w:val="0"/>
          <w:numId w:val="33"/>
        </w:numPr>
        <w:spacing w:after="240"/>
      </w:pPr>
      <w:r>
        <w:t>3.3 percentage point increase for Cohort 1 from 85.8% (baseline) to 89.0% (first review).</w:t>
      </w:r>
    </w:p>
    <w:p w:rsidR="00B83265" w:rsidRDefault="00B83265" w:rsidP="00B83265">
      <w:pPr>
        <w:spacing w:after="240"/>
      </w:pPr>
      <w:r>
        <w:t>Overall, most age groups are quite consistent and follow a similar trend.</w:t>
      </w:r>
    </w:p>
    <w:p w:rsidR="00412BE9" w:rsidRDefault="00B83265" w:rsidP="00412BE9">
      <w:pPr>
        <w:spacing w:after="240"/>
        <w:rPr>
          <w:rFonts w:cstheme="minorHAnsi"/>
        </w:rPr>
      </w:pPr>
      <w:r>
        <w:rPr>
          <w:rFonts w:cstheme="minorHAnsi"/>
        </w:rPr>
        <w:t xml:space="preserve">Five charts shows </w:t>
      </w:r>
      <w:r w:rsidRPr="00AD4C8D">
        <w:rPr>
          <w:rFonts w:cstheme="minorHAnsi"/>
        </w:rPr>
        <w:t xml:space="preserve">the percentage </w:t>
      </w:r>
      <w:r w:rsidRPr="0084525C">
        <w:rPr>
          <w:rFonts w:cstheme="minorHAnsi"/>
        </w:rPr>
        <w:t xml:space="preserve">who have a doctor they see on a regular basis </w:t>
      </w:r>
      <w:r w:rsidRPr="00AD4C8D">
        <w:rPr>
          <w:rFonts w:cstheme="minorHAnsi"/>
        </w:rPr>
        <w:t>at baseline and at subsequent reviews</w:t>
      </w:r>
      <w:r w:rsidR="00412BE9" w:rsidRPr="00715092">
        <w:rPr>
          <w:rFonts w:cstheme="minorHAnsi"/>
        </w:rPr>
        <w:t xml:space="preserve">, separately for participants in the </w:t>
      </w:r>
      <w:r w:rsidR="00412BE9">
        <w:rPr>
          <w:rFonts w:cstheme="minorHAnsi"/>
        </w:rPr>
        <w:t xml:space="preserve">five years, </w:t>
      </w:r>
      <w:r w:rsidR="00412BE9" w:rsidRPr="00715092">
        <w:rPr>
          <w:rFonts w:cstheme="minorHAnsi"/>
        </w:rPr>
        <w:t>four years, three years, two years or one year</w:t>
      </w:r>
      <w:r w:rsidR="00412BE9">
        <w:rPr>
          <w:rFonts w:cstheme="minorHAnsi"/>
        </w:rPr>
        <w:t xml:space="preserve"> cohorts</w:t>
      </w:r>
      <w:r w:rsidR="00412BE9" w:rsidRPr="00715092">
        <w:rPr>
          <w:rFonts w:cstheme="minorHAnsi"/>
        </w:rPr>
        <w:t>.</w:t>
      </w:r>
      <w:r w:rsidR="00412BE9">
        <w:rPr>
          <w:rFonts w:cstheme="minorHAnsi"/>
        </w:rPr>
        <w:t xml:space="preserve"> Separate lines on each chart show results for all participants, and for participants in the S-14/15-24, 15-24, 15-24/25+ and 25+ age groups.</w:t>
      </w:r>
    </w:p>
    <w:p w:rsidR="00412BE9" w:rsidRDefault="00412BE9" w:rsidP="00412BE9">
      <w:pPr>
        <w:spacing w:after="240"/>
        <w:rPr>
          <w:rFonts w:cstheme="minorHAnsi"/>
        </w:rPr>
      </w:pPr>
      <w:r>
        <w:rPr>
          <w:rFonts w:cstheme="minorHAnsi"/>
        </w:rPr>
        <w:t>For PSto14, analysed by time since first in P15to24, otherwise by time in Scheme.</w:t>
      </w:r>
    </w:p>
    <w:p w:rsidR="00412BE9" w:rsidRDefault="00412BE9" w:rsidP="00412BE9">
      <w:pPr>
        <w:spacing w:after="240"/>
        <w:rPr>
          <w:rFonts w:cstheme="minorHAnsi"/>
        </w:rPr>
      </w:pPr>
      <w:r>
        <w:rPr>
          <w:rFonts w:cstheme="minorHAnsi"/>
        </w:rPr>
        <w:t>This indicator improved.</w:t>
      </w:r>
    </w:p>
    <w:p w:rsidR="00412BE9" w:rsidRDefault="00412BE9" w:rsidP="00412BE9">
      <w:pPr>
        <w:spacing w:after="240"/>
        <w:rPr>
          <w:rFonts w:cstheme="minorHAnsi"/>
        </w:rPr>
      </w:pPr>
      <w:r>
        <w:rPr>
          <w:rFonts w:cstheme="minorHAnsi"/>
        </w:rPr>
        <w:lastRenderedPageBreak/>
        <w:t>Results for all participants are labelled on the charts:</w:t>
      </w:r>
    </w:p>
    <w:tbl>
      <w:tblPr>
        <w:tblW w:w="9204" w:type="dxa"/>
        <w:tblLook w:val="04A0" w:firstRow="1" w:lastRow="0" w:firstColumn="1" w:lastColumn="0" w:noHBand="0" w:noVBand="1"/>
      </w:tblPr>
      <w:tblGrid>
        <w:gridCol w:w="1500"/>
        <w:gridCol w:w="1325"/>
        <w:gridCol w:w="1276"/>
        <w:gridCol w:w="1276"/>
        <w:gridCol w:w="1276"/>
        <w:gridCol w:w="1275"/>
        <w:gridCol w:w="1276"/>
      </w:tblGrid>
      <w:tr w:rsidR="00550D6D" w:rsidRPr="00AD165E" w:rsidTr="00632614">
        <w:trPr>
          <w:trHeight w:val="285"/>
        </w:trPr>
        <w:tc>
          <w:tcPr>
            <w:tcW w:w="1500" w:type="dxa"/>
            <w:tcBorders>
              <w:top w:val="single" w:sz="8" w:space="0" w:color="auto"/>
              <w:left w:val="single" w:sz="8" w:space="0" w:color="auto"/>
              <w:bottom w:val="single" w:sz="8" w:space="0" w:color="auto"/>
              <w:right w:val="nil"/>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Cohort</w:t>
            </w:r>
          </w:p>
        </w:tc>
        <w:tc>
          <w:tcPr>
            <w:tcW w:w="13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B</w:t>
            </w:r>
            <w:r>
              <w:rPr>
                <w:rFonts w:ascii="Arial" w:eastAsia="Times New Roman" w:hAnsi="Arial" w:cs="Arial"/>
                <w:b/>
                <w:bCs/>
                <w:color w:val="000000"/>
                <w:lang w:eastAsia="en-AU"/>
              </w:rPr>
              <w:t>aseline</w:t>
            </w:r>
          </w:p>
        </w:tc>
        <w:tc>
          <w:tcPr>
            <w:tcW w:w="1276" w:type="dxa"/>
            <w:tcBorders>
              <w:top w:val="single" w:sz="8" w:space="0" w:color="auto"/>
              <w:left w:val="nil"/>
              <w:bottom w:val="single" w:sz="8" w:space="0" w:color="auto"/>
              <w:right w:val="nil"/>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1</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2</w:t>
            </w:r>
          </w:p>
        </w:tc>
        <w:tc>
          <w:tcPr>
            <w:tcW w:w="1276" w:type="dxa"/>
            <w:tcBorders>
              <w:top w:val="single" w:sz="8" w:space="0" w:color="auto"/>
              <w:left w:val="nil"/>
              <w:bottom w:val="single" w:sz="8" w:space="0" w:color="auto"/>
              <w:right w:val="nil"/>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3</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4</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5</w:t>
            </w:r>
          </w:p>
        </w:tc>
      </w:tr>
      <w:tr w:rsidR="00C847F4"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C847F4" w:rsidRPr="00AD165E" w:rsidRDefault="00C847F4" w:rsidP="00C847F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5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C847F4" w:rsidRPr="00C847F4" w:rsidRDefault="00C847F4" w:rsidP="00C847F4">
            <w:pPr>
              <w:spacing w:after="0"/>
              <w:rPr>
                <w:rFonts w:ascii="Arial" w:hAnsi="Arial" w:cs="Arial"/>
              </w:rPr>
            </w:pPr>
            <w:r w:rsidRPr="00C847F4">
              <w:rPr>
                <w:rFonts w:ascii="Arial" w:hAnsi="Arial" w:cs="Arial"/>
              </w:rPr>
              <w:t>85%</w:t>
            </w:r>
          </w:p>
        </w:tc>
        <w:tc>
          <w:tcPr>
            <w:tcW w:w="1276" w:type="dxa"/>
            <w:tcBorders>
              <w:top w:val="nil"/>
              <w:left w:val="nil"/>
              <w:bottom w:val="single" w:sz="4" w:space="0" w:color="auto"/>
              <w:right w:val="nil"/>
            </w:tcBorders>
            <w:shd w:val="clear" w:color="auto" w:fill="auto"/>
            <w:noWrap/>
            <w:vAlign w:val="center"/>
            <w:hideMark/>
          </w:tcPr>
          <w:p w:rsidR="00C847F4" w:rsidRPr="00C847F4" w:rsidRDefault="00C847F4" w:rsidP="00C847F4">
            <w:pPr>
              <w:spacing w:after="0"/>
              <w:rPr>
                <w:rFonts w:ascii="Arial" w:hAnsi="Arial" w:cs="Arial"/>
              </w:rPr>
            </w:pPr>
            <w:r w:rsidRPr="00C847F4">
              <w:rPr>
                <w:rFonts w:ascii="Arial" w:hAnsi="Arial" w:cs="Arial"/>
              </w:rPr>
              <w:t>90%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C847F4" w:rsidRPr="00C847F4" w:rsidRDefault="00C847F4" w:rsidP="00C847F4">
            <w:pPr>
              <w:spacing w:after="0"/>
              <w:rPr>
                <w:rFonts w:ascii="Arial" w:hAnsi="Arial" w:cs="Arial"/>
              </w:rPr>
            </w:pPr>
            <w:r w:rsidRPr="00C847F4">
              <w:rPr>
                <w:rFonts w:ascii="Arial" w:hAnsi="Arial" w:cs="Arial"/>
              </w:rPr>
              <w:t>93%</w:t>
            </w:r>
          </w:p>
        </w:tc>
        <w:tc>
          <w:tcPr>
            <w:tcW w:w="1276" w:type="dxa"/>
            <w:tcBorders>
              <w:top w:val="nil"/>
              <w:left w:val="nil"/>
              <w:bottom w:val="single" w:sz="4" w:space="0" w:color="auto"/>
              <w:right w:val="nil"/>
            </w:tcBorders>
            <w:shd w:val="clear" w:color="auto" w:fill="auto"/>
            <w:noWrap/>
            <w:vAlign w:val="center"/>
            <w:hideMark/>
          </w:tcPr>
          <w:p w:rsidR="00C847F4" w:rsidRPr="00C847F4" w:rsidRDefault="00C847F4" w:rsidP="00C847F4">
            <w:pPr>
              <w:spacing w:after="0"/>
              <w:rPr>
                <w:rFonts w:ascii="Arial" w:hAnsi="Arial" w:cs="Arial"/>
              </w:rPr>
            </w:pPr>
            <w:r w:rsidRPr="00C847F4">
              <w:rPr>
                <w:rFonts w:ascii="Arial" w:hAnsi="Arial" w:cs="Arial"/>
              </w:rPr>
              <w:t>94%</w:t>
            </w: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C847F4" w:rsidRPr="00C847F4" w:rsidRDefault="00C847F4" w:rsidP="00C847F4">
            <w:pPr>
              <w:spacing w:after="0"/>
              <w:rPr>
                <w:rFonts w:ascii="Arial" w:hAnsi="Arial" w:cs="Arial"/>
              </w:rPr>
            </w:pPr>
            <w:r w:rsidRPr="00C847F4">
              <w:rPr>
                <w:rFonts w:ascii="Arial" w:hAnsi="Arial" w:cs="Arial"/>
              </w:rPr>
              <w:t>94%</w:t>
            </w:r>
          </w:p>
        </w:tc>
        <w:tc>
          <w:tcPr>
            <w:tcW w:w="1276" w:type="dxa"/>
            <w:tcBorders>
              <w:top w:val="nil"/>
              <w:left w:val="nil"/>
              <w:bottom w:val="single" w:sz="4" w:space="0" w:color="auto"/>
              <w:right w:val="single" w:sz="8" w:space="0" w:color="auto"/>
            </w:tcBorders>
            <w:shd w:val="clear" w:color="auto" w:fill="auto"/>
            <w:noWrap/>
            <w:vAlign w:val="center"/>
            <w:hideMark/>
          </w:tcPr>
          <w:p w:rsidR="00C847F4" w:rsidRPr="00C847F4" w:rsidRDefault="00C847F4" w:rsidP="00C847F4">
            <w:pPr>
              <w:spacing w:after="0"/>
              <w:rPr>
                <w:rFonts w:ascii="Arial" w:hAnsi="Arial" w:cs="Arial"/>
              </w:rPr>
            </w:pPr>
            <w:r w:rsidRPr="00C847F4">
              <w:rPr>
                <w:rFonts w:ascii="Arial" w:hAnsi="Arial" w:cs="Arial"/>
              </w:rPr>
              <w:t>94%</w:t>
            </w:r>
          </w:p>
        </w:tc>
      </w:tr>
      <w:tr w:rsidR="00C847F4"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C847F4" w:rsidRPr="00AD165E" w:rsidRDefault="00C847F4" w:rsidP="00C847F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4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C847F4" w:rsidRPr="00C847F4" w:rsidRDefault="00C847F4" w:rsidP="00C847F4">
            <w:pPr>
              <w:spacing w:after="0"/>
              <w:rPr>
                <w:rFonts w:ascii="Arial" w:hAnsi="Arial" w:cs="Arial"/>
              </w:rPr>
            </w:pPr>
            <w:r w:rsidRPr="00C847F4">
              <w:rPr>
                <w:rFonts w:ascii="Arial" w:hAnsi="Arial" w:cs="Arial"/>
              </w:rPr>
              <w:t>88%</w:t>
            </w:r>
          </w:p>
        </w:tc>
        <w:tc>
          <w:tcPr>
            <w:tcW w:w="1276" w:type="dxa"/>
            <w:tcBorders>
              <w:top w:val="nil"/>
              <w:left w:val="nil"/>
              <w:bottom w:val="single" w:sz="4" w:space="0" w:color="auto"/>
              <w:right w:val="nil"/>
            </w:tcBorders>
            <w:shd w:val="clear" w:color="auto" w:fill="auto"/>
            <w:noWrap/>
            <w:vAlign w:val="center"/>
            <w:hideMark/>
          </w:tcPr>
          <w:p w:rsidR="00C847F4" w:rsidRPr="00C847F4" w:rsidRDefault="00C847F4" w:rsidP="00C847F4">
            <w:pPr>
              <w:spacing w:after="0"/>
              <w:rPr>
                <w:rFonts w:ascii="Arial" w:hAnsi="Arial" w:cs="Arial"/>
              </w:rPr>
            </w:pPr>
            <w:r w:rsidRPr="00C847F4">
              <w:rPr>
                <w:rFonts w:ascii="Arial" w:hAnsi="Arial" w:cs="Arial"/>
              </w:rPr>
              <w:t>91%</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C847F4" w:rsidRPr="00C847F4" w:rsidRDefault="00C847F4" w:rsidP="00C847F4">
            <w:pPr>
              <w:spacing w:after="0"/>
              <w:rPr>
                <w:rFonts w:ascii="Arial" w:hAnsi="Arial" w:cs="Arial"/>
              </w:rPr>
            </w:pPr>
            <w:r w:rsidRPr="00C847F4">
              <w:rPr>
                <w:rFonts w:ascii="Arial" w:hAnsi="Arial" w:cs="Arial"/>
              </w:rPr>
              <w:t>93%</w:t>
            </w:r>
          </w:p>
        </w:tc>
        <w:tc>
          <w:tcPr>
            <w:tcW w:w="1276" w:type="dxa"/>
            <w:tcBorders>
              <w:top w:val="nil"/>
              <w:left w:val="nil"/>
              <w:bottom w:val="single" w:sz="4" w:space="0" w:color="auto"/>
              <w:right w:val="nil"/>
            </w:tcBorders>
            <w:shd w:val="clear" w:color="auto" w:fill="auto"/>
            <w:noWrap/>
            <w:vAlign w:val="center"/>
            <w:hideMark/>
          </w:tcPr>
          <w:p w:rsidR="00C847F4" w:rsidRPr="00C847F4" w:rsidRDefault="00C847F4" w:rsidP="00C847F4">
            <w:pPr>
              <w:spacing w:after="0"/>
              <w:rPr>
                <w:rFonts w:ascii="Arial" w:hAnsi="Arial" w:cs="Arial"/>
              </w:rPr>
            </w:pPr>
            <w:r w:rsidRPr="00C847F4">
              <w:rPr>
                <w:rFonts w:ascii="Arial" w:hAnsi="Arial" w:cs="Arial"/>
              </w:rPr>
              <w:t>94%</w:t>
            </w: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C847F4" w:rsidRPr="00C847F4" w:rsidRDefault="00C847F4" w:rsidP="00C847F4">
            <w:pPr>
              <w:spacing w:after="0"/>
              <w:rPr>
                <w:rFonts w:ascii="Arial" w:hAnsi="Arial" w:cs="Arial"/>
              </w:rPr>
            </w:pPr>
            <w:r w:rsidRPr="00C847F4">
              <w:rPr>
                <w:rFonts w:ascii="Arial" w:hAnsi="Arial" w:cs="Arial"/>
              </w:rPr>
              <w:t>94%</w:t>
            </w:r>
          </w:p>
        </w:tc>
        <w:tc>
          <w:tcPr>
            <w:tcW w:w="1276" w:type="dxa"/>
            <w:tcBorders>
              <w:top w:val="nil"/>
              <w:left w:val="nil"/>
              <w:bottom w:val="single" w:sz="4" w:space="0" w:color="auto"/>
              <w:right w:val="single" w:sz="8" w:space="0" w:color="auto"/>
            </w:tcBorders>
            <w:shd w:val="clear" w:color="auto" w:fill="auto"/>
            <w:noWrap/>
            <w:hideMark/>
          </w:tcPr>
          <w:p w:rsidR="00C847F4" w:rsidRPr="00C847F4" w:rsidRDefault="00C847F4" w:rsidP="00C847F4">
            <w:pPr>
              <w:spacing w:after="0" w:line="240" w:lineRule="auto"/>
              <w:rPr>
                <w:rFonts w:ascii="Arial" w:eastAsia="Times New Roman" w:hAnsi="Arial" w:cs="Arial"/>
                <w:color w:val="000000"/>
                <w:lang w:eastAsia="en-AU"/>
              </w:rPr>
            </w:pPr>
          </w:p>
        </w:tc>
      </w:tr>
      <w:tr w:rsidR="00C847F4"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C847F4" w:rsidRPr="00AD165E" w:rsidRDefault="00C847F4" w:rsidP="00C847F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3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C847F4" w:rsidRPr="00C847F4" w:rsidRDefault="00C847F4" w:rsidP="00C847F4">
            <w:pPr>
              <w:spacing w:after="0"/>
              <w:rPr>
                <w:rFonts w:ascii="Arial" w:hAnsi="Arial" w:cs="Arial"/>
              </w:rPr>
            </w:pPr>
            <w:r w:rsidRPr="00C847F4">
              <w:rPr>
                <w:rFonts w:ascii="Arial" w:hAnsi="Arial" w:cs="Arial"/>
              </w:rPr>
              <w:t>88%</w:t>
            </w:r>
          </w:p>
        </w:tc>
        <w:tc>
          <w:tcPr>
            <w:tcW w:w="1276" w:type="dxa"/>
            <w:tcBorders>
              <w:top w:val="nil"/>
              <w:left w:val="nil"/>
              <w:bottom w:val="single" w:sz="4" w:space="0" w:color="auto"/>
              <w:right w:val="nil"/>
            </w:tcBorders>
            <w:shd w:val="clear" w:color="auto" w:fill="auto"/>
            <w:noWrap/>
            <w:vAlign w:val="center"/>
            <w:hideMark/>
          </w:tcPr>
          <w:p w:rsidR="00C847F4" w:rsidRPr="00C847F4" w:rsidRDefault="00C847F4" w:rsidP="00C847F4">
            <w:pPr>
              <w:spacing w:after="0"/>
              <w:rPr>
                <w:rFonts w:ascii="Arial" w:hAnsi="Arial" w:cs="Arial"/>
              </w:rPr>
            </w:pPr>
            <w:r w:rsidRPr="00C847F4">
              <w:rPr>
                <w:rFonts w:ascii="Arial" w:hAnsi="Arial" w:cs="Arial"/>
              </w:rPr>
              <w:t>91%</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C847F4" w:rsidRPr="00C847F4" w:rsidRDefault="00C847F4" w:rsidP="00C847F4">
            <w:pPr>
              <w:spacing w:after="0"/>
              <w:rPr>
                <w:rFonts w:ascii="Arial" w:hAnsi="Arial" w:cs="Arial"/>
              </w:rPr>
            </w:pPr>
            <w:r w:rsidRPr="00C847F4">
              <w:rPr>
                <w:rFonts w:ascii="Arial" w:hAnsi="Arial" w:cs="Arial"/>
              </w:rPr>
              <w:t>93%</w:t>
            </w:r>
          </w:p>
        </w:tc>
        <w:tc>
          <w:tcPr>
            <w:tcW w:w="1276" w:type="dxa"/>
            <w:tcBorders>
              <w:top w:val="nil"/>
              <w:left w:val="nil"/>
              <w:bottom w:val="single" w:sz="4" w:space="0" w:color="auto"/>
              <w:right w:val="nil"/>
            </w:tcBorders>
            <w:shd w:val="clear" w:color="auto" w:fill="auto"/>
            <w:noWrap/>
            <w:vAlign w:val="center"/>
            <w:hideMark/>
          </w:tcPr>
          <w:p w:rsidR="00C847F4" w:rsidRPr="00C847F4" w:rsidRDefault="00C847F4" w:rsidP="00C847F4">
            <w:pPr>
              <w:spacing w:after="0"/>
              <w:rPr>
                <w:rFonts w:ascii="Arial" w:hAnsi="Arial" w:cs="Arial"/>
              </w:rPr>
            </w:pPr>
            <w:r w:rsidRPr="00C847F4">
              <w:rPr>
                <w:rFonts w:ascii="Arial" w:hAnsi="Arial" w:cs="Arial"/>
              </w:rPr>
              <w:t>93%</w:t>
            </w:r>
          </w:p>
        </w:tc>
        <w:tc>
          <w:tcPr>
            <w:tcW w:w="1275" w:type="dxa"/>
            <w:tcBorders>
              <w:top w:val="nil"/>
              <w:left w:val="single" w:sz="8" w:space="0" w:color="auto"/>
              <w:bottom w:val="single" w:sz="4" w:space="0" w:color="auto"/>
              <w:right w:val="single" w:sz="8" w:space="0" w:color="auto"/>
            </w:tcBorders>
            <w:shd w:val="clear" w:color="auto" w:fill="auto"/>
            <w:noWrap/>
            <w:hideMark/>
          </w:tcPr>
          <w:p w:rsidR="00C847F4" w:rsidRPr="00C847F4" w:rsidRDefault="00C847F4" w:rsidP="00C847F4">
            <w:pPr>
              <w:spacing w:after="0" w:line="240" w:lineRule="auto"/>
              <w:rPr>
                <w:rFonts w:ascii="Arial" w:eastAsia="Times New Roman" w:hAnsi="Arial" w:cs="Arial"/>
                <w:color w:val="000000"/>
                <w:lang w:eastAsia="en-AU"/>
              </w:rPr>
            </w:pPr>
          </w:p>
        </w:tc>
        <w:tc>
          <w:tcPr>
            <w:tcW w:w="1276" w:type="dxa"/>
            <w:tcBorders>
              <w:top w:val="nil"/>
              <w:left w:val="nil"/>
              <w:bottom w:val="single" w:sz="4" w:space="0" w:color="auto"/>
              <w:right w:val="single" w:sz="8" w:space="0" w:color="auto"/>
            </w:tcBorders>
            <w:shd w:val="clear" w:color="auto" w:fill="auto"/>
            <w:noWrap/>
            <w:vAlign w:val="bottom"/>
            <w:hideMark/>
          </w:tcPr>
          <w:p w:rsidR="00C847F4" w:rsidRPr="00C847F4" w:rsidRDefault="00C847F4" w:rsidP="00C847F4">
            <w:pPr>
              <w:spacing w:after="0" w:line="240" w:lineRule="auto"/>
              <w:rPr>
                <w:rFonts w:ascii="Arial" w:eastAsia="Times New Roman" w:hAnsi="Arial" w:cs="Arial"/>
                <w:color w:val="000000"/>
                <w:lang w:eastAsia="en-AU"/>
              </w:rPr>
            </w:pPr>
          </w:p>
        </w:tc>
      </w:tr>
      <w:tr w:rsidR="00C847F4"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C847F4" w:rsidRPr="00AD165E" w:rsidRDefault="00C847F4" w:rsidP="00C847F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2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C847F4" w:rsidRPr="00C847F4" w:rsidRDefault="00C847F4" w:rsidP="00C847F4">
            <w:pPr>
              <w:spacing w:after="0"/>
              <w:rPr>
                <w:rFonts w:ascii="Arial" w:hAnsi="Arial" w:cs="Arial"/>
              </w:rPr>
            </w:pPr>
            <w:r w:rsidRPr="00C847F4">
              <w:rPr>
                <w:rFonts w:ascii="Arial" w:hAnsi="Arial" w:cs="Arial"/>
              </w:rPr>
              <w:t>87%</w:t>
            </w:r>
          </w:p>
        </w:tc>
        <w:tc>
          <w:tcPr>
            <w:tcW w:w="1276" w:type="dxa"/>
            <w:tcBorders>
              <w:top w:val="nil"/>
              <w:left w:val="nil"/>
              <w:bottom w:val="single" w:sz="4" w:space="0" w:color="auto"/>
              <w:right w:val="nil"/>
            </w:tcBorders>
            <w:shd w:val="clear" w:color="auto" w:fill="auto"/>
            <w:noWrap/>
            <w:vAlign w:val="center"/>
            <w:hideMark/>
          </w:tcPr>
          <w:p w:rsidR="00C847F4" w:rsidRPr="00C847F4" w:rsidRDefault="00C847F4" w:rsidP="00C847F4">
            <w:pPr>
              <w:spacing w:after="0"/>
              <w:rPr>
                <w:rFonts w:ascii="Arial" w:hAnsi="Arial" w:cs="Arial"/>
              </w:rPr>
            </w:pPr>
            <w:r w:rsidRPr="00C847F4">
              <w:rPr>
                <w:rFonts w:ascii="Arial" w:hAnsi="Arial" w:cs="Arial"/>
              </w:rPr>
              <w:t>90%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C847F4" w:rsidRPr="00C847F4" w:rsidRDefault="00C847F4" w:rsidP="00C847F4">
            <w:pPr>
              <w:spacing w:after="0"/>
              <w:rPr>
                <w:rFonts w:ascii="Arial" w:hAnsi="Arial" w:cs="Arial"/>
              </w:rPr>
            </w:pPr>
            <w:r w:rsidRPr="00C847F4">
              <w:rPr>
                <w:rFonts w:ascii="Arial" w:hAnsi="Arial" w:cs="Arial"/>
              </w:rPr>
              <w:t>91%</w:t>
            </w:r>
          </w:p>
        </w:tc>
        <w:tc>
          <w:tcPr>
            <w:tcW w:w="1276" w:type="dxa"/>
            <w:tcBorders>
              <w:top w:val="nil"/>
              <w:left w:val="nil"/>
              <w:bottom w:val="single" w:sz="4" w:space="0" w:color="auto"/>
              <w:right w:val="nil"/>
            </w:tcBorders>
            <w:shd w:val="clear" w:color="auto" w:fill="auto"/>
            <w:noWrap/>
            <w:hideMark/>
          </w:tcPr>
          <w:p w:rsidR="00C847F4" w:rsidRPr="00C847F4" w:rsidRDefault="00C847F4" w:rsidP="00C847F4">
            <w:pPr>
              <w:spacing w:after="0" w:line="240" w:lineRule="auto"/>
              <w:rPr>
                <w:rFonts w:ascii="Arial" w:eastAsia="Times New Roman" w:hAnsi="Arial" w:cs="Arial"/>
                <w:color w:val="000000"/>
                <w:lang w:eastAsia="en-AU"/>
              </w:rPr>
            </w:pP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C847F4" w:rsidRPr="00C847F4" w:rsidRDefault="00C847F4" w:rsidP="00C847F4">
            <w:pPr>
              <w:spacing w:after="0" w:line="240" w:lineRule="auto"/>
              <w:rPr>
                <w:rFonts w:ascii="Arial" w:eastAsia="Times New Roman" w:hAnsi="Arial" w:cs="Arial"/>
                <w:color w:val="000000"/>
                <w:lang w:eastAsia="en-AU"/>
              </w:rPr>
            </w:pPr>
          </w:p>
        </w:tc>
        <w:tc>
          <w:tcPr>
            <w:tcW w:w="1276" w:type="dxa"/>
            <w:tcBorders>
              <w:top w:val="nil"/>
              <w:left w:val="nil"/>
              <w:bottom w:val="single" w:sz="4" w:space="0" w:color="auto"/>
              <w:right w:val="single" w:sz="8" w:space="0" w:color="auto"/>
            </w:tcBorders>
            <w:shd w:val="clear" w:color="auto" w:fill="auto"/>
            <w:noWrap/>
            <w:vAlign w:val="center"/>
            <w:hideMark/>
          </w:tcPr>
          <w:p w:rsidR="00C847F4" w:rsidRPr="00C847F4" w:rsidRDefault="00C847F4" w:rsidP="00C847F4">
            <w:pPr>
              <w:spacing w:after="0" w:line="240" w:lineRule="auto"/>
              <w:rPr>
                <w:rFonts w:ascii="Arial" w:eastAsia="Times New Roman" w:hAnsi="Arial" w:cs="Arial"/>
                <w:color w:val="000000"/>
                <w:lang w:eastAsia="en-AU"/>
              </w:rPr>
            </w:pPr>
          </w:p>
        </w:tc>
      </w:tr>
      <w:tr w:rsidR="00C847F4" w:rsidRPr="00AD165E" w:rsidTr="00632614">
        <w:trPr>
          <w:trHeight w:val="285"/>
        </w:trPr>
        <w:tc>
          <w:tcPr>
            <w:tcW w:w="1500" w:type="dxa"/>
            <w:tcBorders>
              <w:top w:val="nil"/>
              <w:left w:val="single" w:sz="8" w:space="0" w:color="auto"/>
              <w:bottom w:val="single" w:sz="8" w:space="0" w:color="auto"/>
              <w:right w:val="nil"/>
            </w:tcBorders>
            <w:shd w:val="clear" w:color="auto" w:fill="auto"/>
            <w:noWrap/>
            <w:vAlign w:val="bottom"/>
            <w:hideMark/>
          </w:tcPr>
          <w:p w:rsidR="00C847F4" w:rsidRPr="00AD165E" w:rsidRDefault="00C847F4" w:rsidP="00C847F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1 year</w:t>
            </w:r>
          </w:p>
        </w:tc>
        <w:tc>
          <w:tcPr>
            <w:tcW w:w="1325" w:type="dxa"/>
            <w:tcBorders>
              <w:top w:val="nil"/>
              <w:left w:val="single" w:sz="8" w:space="0" w:color="auto"/>
              <w:bottom w:val="single" w:sz="8" w:space="0" w:color="auto"/>
              <w:right w:val="single" w:sz="8" w:space="0" w:color="auto"/>
            </w:tcBorders>
            <w:shd w:val="clear" w:color="auto" w:fill="auto"/>
            <w:noWrap/>
            <w:vAlign w:val="center"/>
            <w:hideMark/>
          </w:tcPr>
          <w:p w:rsidR="00C847F4" w:rsidRPr="00C847F4" w:rsidRDefault="00C847F4" w:rsidP="00C847F4">
            <w:pPr>
              <w:spacing w:after="0"/>
              <w:rPr>
                <w:rFonts w:ascii="Arial" w:hAnsi="Arial" w:cs="Arial"/>
              </w:rPr>
            </w:pPr>
            <w:r w:rsidRPr="00C847F4">
              <w:rPr>
                <w:rFonts w:ascii="Arial" w:hAnsi="Arial" w:cs="Arial"/>
              </w:rPr>
              <w:t>86%</w:t>
            </w:r>
          </w:p>
        </w:tc>
        <w:tc>
          <w:tcPr>
            <w:tcW w:w="1276" w:type="dxa"/>
            <w:tcBorders>
              <w:top w:val="nil"/>
              <w:left w:val="nil"/>
              <w:bottom w:val="single" w:sz="8" w:space="0" w:color="auto"/>
              <w:right w:val="nil"/>
            </w:tcBorders>
            <w:shd w:val="clear" w:color="auto" w:fill="auto"/>
            <w:noWrap/>
            <w:vAlign w:val="center"/>
            <w:hideMark/>
          </w:tcPr>
          <w:p w:rsidR="00C847F4" w:rsidRPr="00C847F4" w:rsidRDefault="00C847F4" w:rsidP="00C847F4">
            <w:pPr>
              <w:spacing w:after="0"/>
              <w:rPr>
                <w:rFonts w:ascii="Arial" w:hAnsi="Arial" w:cs="Arial"/>
              </w:rPr>
            </w:pPr>
            <w:r w:rsidRPr="00C847F4">
              <w:rPr>
                <w:rFonts w:ascii="Arial" w:hAnsi="Arial" w:cs="Arial"/>
              </w:rPr>
              <w:t>89%</w:t>
            </w:r>
          </w:p>
        </w:tc>
        <w:tc>
          <w:tcPr>
            <w:tcW w:w="1276" w:type="dxa"/>
            <w:tcBorders>
              <w:top w:val="nil"/>
              <w:left w:val="single" w:sz="8" w:space="0" w:color="auto"/>
              <w:bottom w:val="single" w:sz="8" w:space="0" w:color="auto"/>
              <w:right w:val="single" w:sz="8" w:space="0" w:color="auto"/>
            </w:tcBorders>
            <w:shd w:val="clear" w:color="auto" w:fill="auto"/>
            <w:noWrap/>
            <w:hideMark/>
          </w:tcPr>
          <w:p w:rsidR="00C847F4" w:rsidRPr="00C847F4" w:rsidRDefault="00C847F4" w:rsidP="00C847F4">
            <w:pPr>
              <w:spacing w:after="0" w:line="240" w:lineRule="auto"/>
              <w:rPr>
                <w:rFonts w:ascii="Arial" w:eastAsia="Times New Roman" w:hAnsi="Arial" w:cs="Arial"/>
                <w:color w:val="000000"/>
                <w:lang w:eastAsia="en-AU"/>
              </w:rPr>
            </w:pPr>
          </w:p>
        </w:tc>
        <w:tc>
          <w:tcPr>
            <w:tcW w:w="1276" w:type="dxa"/>
            <w:tcBorders>
              <w:top w:val="nil"/>
              <w:left w:val="nil"/>
              <w:bottom w:val="single" w:sz="8" w:space="0" w:color="auto"/>
              <w:right w:val="nil"/>
            </w:tcBorders>
            <w:shd w:val="clear" w:color="auto" w:fill="auto"/>
            <w:noWrap/>
            <w:vAlign w:val="center"/>
            <w:hideMark/>
          </w:tcPr>
          <w:p w:rsidR="00C847F4" w:rsidRPr="00C847F4" w:rsidRDefault="00C847F4" w:rsidP="00C847F4">
            <w:pPr>
              <w:spacing w:after="0" w:line="240" w:lineRule="auto"/>
              <w:rPr>
                <w:rFonts w:ascii="Arial" w:eastAsia="Times New Roman" w:hAnsi="Arial" w:cs="Arial"/>
                <w:color w:val="000000"/>
                <w:lang w:eastAsia="en-AU"/>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rsidR="00C847F4" w:rsidRPr="00C847F4" w:rsidRDefault="00C847F4" w:rsidP="00C847F4">
            <w:pPr>
              <w:spacing w:after="0" w:line="240" w:lineRule="auto"/>
              <w:rPr>
                <w:rFonts w:ascii="Arial" w:eastAsia="Times New Roman" w:hAnsi="Arial" w:cs="Arial"/>
                <w:color w:val="000000"/>
                <w:lang w:eastAsia="en-AU"/>
              </w:rPr>
            </w:pPr>
          </w:p>
        </w:tc>
        <w:tc>
          <w:tcPr>
            <w:tcW w:w="1276" w:type="dxa"/>
            <w:tcBorders>
              <w:top w:val="nil"/>
              <w:left w:val="nil"/>
              <w:bottom w:val="single" w:sz="8" w:space="0" w:color="auto"/>
              <w:right w:val="single" w:sz="8" w:space="0" w:color="auto"/>
            </w:tcBorders>
            <w:shd w:val="clear" w:color="auto" w:fill="auto"/>
            <w:noWrap/>
            <w:hideMark/>
          </w:tcPr>
          <w:p w:rsidR="00C847F4" w:rsidRPr="00C847F4" w:rsidRDefault="00C847F4" w:rsidP="00C847F4">
            <w:pPr>
              <w:spacing w:after="0" w:line="240" w:lineRule="auto"/>
              <w:rPr>
                <w:rFonts w:ascii="Arial" w:eastAsia="Times New Roman" w:hAnsi="Arial" w:cs="Arial"/>
                <w:color w:val="000000"/>
                <w:lang w:eastAsia="en-AU"/>
              </w:rPr>
            </w:pPr>
          </w:p>
        </w:tc>
      </w:tr>
    </w:tbl>
    <w:p w:rsidR="00550D6D" w:rsidRDefault="00550D6D" w:rsidP="00412BE9">
      <w:pPr>
        <w:spacing w:after="240"/>
        <w:rPr>
          <w:rFonts w:cstheme="minorHAnsi"/>
        </w:rPr>
      </w:pPr>
    </w:p>
    <w:p w:rsidR="00B83265" w:rsidRDefault="0080201D" w:rsidP="00B83265">
      <w:pPr>
        <w:spacing w:after="240"/>
        <w:rPr>
          <w:rFonts w:cstheme="minorHAnsi"/>
        </w:rPr>
      </w:pPr>
      <w:r>
        <w:rPr>
          <w:rFonts w:cstheme="minorHAnsi"/>
        </w:rPr>
        <w:t xml:space="preserve">Footnote 1: </w:t>
      </w:r>
      <w:r w:rsidR="00B83265" w:rsidRPr="0084525C">
        <w:rPr>
          <w:rFonts w:cstheme="minorHAnsi"/>
        </w:rPr>
        <w:t xml:space="preserve">For more information on health and wellbeing outcomes see: </w:t>
      </w:r>
      <w:hyperlink r:id="rId11" w:history="1">
        <w:r w:rsidR="00B83265" w:rsidRPr="00E568D1">
          <w:rPr>
            <w:rStyle w:val="Hyperlink"/>
            <w:rFonts w:cstheme="minorHAnsi"/>
          </w:rPr>
          <w:t>https://data.ndis.gov.au/reports-and-analyses/outcomes-and-goals/health-and-wellbeing-ndis-participants-and-their-families-and-carers</w:t>
        </w:r>
      </w:hyperlink>
      <w:r w:rsidR="00B83265">
        <w:rPr>
          <w:rFonts w:cstheme="minorHAnsi"/>
        </w:rPr>
        <w:t>.</w:t>
      </w:r>
    </w:p>
    <w:p w:rsidR="00B83265" w:rsidRPr="002817DE" w:rsidRDefault="00B83265" w:rsidP="002817DE">
      <w:pPr>
        <w:pStyle w:val="Heading2"/>
      </w:pPr>
      <w:bookmarkStart w:id="79" w:name="_Toc121151451"/>
      <w:r w:rsidRPr="002817DE">
        <w:t>Slide 69: Participants aged 15 and over – Health and wellbeing</w:t>
      </w:r>
      <w:r w:rsidR="0080201D">
        <w:t xml:space="preserve"> (Footnote 1)</w:t>
      </w:r>
      <w:bookmarkEnd w:id="79"/>
    </w:p>
    <w:p w:rsidR="00B83265" w:rsidRPr="00B8176E" w:rsidRDefault="00B83265" w:rsidP="00B83265">
      <w:pPr>
        <w:spacing w:after="240"/>
        <w:rPr>
          <w:b/>
        </w:rPr>
      </w:pPr>
      <w:r w:rsidRPr="00B8176E">
        <w:rPr>
          <w:b/>
        </w:rPr>
        <w:t xml:space="preserve">% </w:t>
      </w:r>
      <w:r>
        <w:rPr>
          <w:b/>
        </w:rPr>
        <w:t>who did not have any difficulties accessing health services</w:t>
      </w:r>
    </w:p>
    <w:p w:rsidR="00B83265" w:rsidRDefault="00B83265" w:rsidP="00B83265">
      <w:pPr>
        <w:spacing w:after="240"/>
      </w:pPr>
      <w:r>
        <w:t xml:space="preserve">Seventy-five percent of participants in cohort 5 reported that they did not have any difficulties accessing services after </w:t>
      </w:r>
      <w:r w:rsidR="005A7C7C">
        <w:t>Five years in the Scheme</w:t>
      </w:r>
      <w:r>
        <w:t xml:space="preserve"> – a 5.4 percentage point increase from baseline (69.8%). This trend is consistent across cohorts, with a smaller change for cohorts 1 and 2.</w:t>
      </w:r>
    </w:p>
    <w:p w:rsidR="00B83265" w:rsidRDefault="00B83265" w:rsidP="00B83265">
      <w:pPr>
        <w:spacing w:after="240"/>
      </w:pPr>
      <w:r>
        <w:t>When age group is considered, a higher percentage of participants in the S-14/15-24 age group report having no difficulties with accessing services across all cohorts (except C5), compared to other age groups. This age group has remained fairly stable over time at around 78% to 80%.</w:t>
      </w:r>
    </w:p>
    <w:p w:rsidR="00412BE9" w:rsidRDefault="00B83265" w:rsidP="00412BE9">
      <w:pPr>
        <w:spacing w:after="240"/>
        <w:rPr>
          <w:rFonts w:cstheme="minorHAnsi"/>
        </w:rPr>
      </w:pPr>
      <w:r>
        <w:rPr>
          <w:rFonts w:cstheme="minorHAnsi"/>
        </w:rPr>
        <w:t xml:space="preserve">Five charts shows </w:t>
      </w:r>
      <w:r w:rsidRPr="00AD4C8D">
        <w:rPr>
          <w:rFonts w:cstheme="minorHAnsi"/>
        </w:rPr>
        <w:t xml:space="preserve">the percentage </w:t>
      </w:r>
      <w:r w:rsidRPr="0084525C">
        <w:rPr>
          <w:rFonts w:cstheme="minorHAnsi"/>
        </w:rPr>
        <w:t xml:space="preserve">who did not have any difficulties accessing health services </w:t>
      </w:r>
      <w:r w:rsidRPr="00AD4C8D">
        <w:rPr>
          <w:rFonts w:cstheme="minorHAnsi"/>
        </w:rPr>
        <w:t>at baseline and at subsequent reviews</w:t>
      </w:r>
      <w:r w:rsidR="00412BE9" w:rsidRPr="00715092">
        <w:rPr>
          <w:rFonts w:cstheme="minorHAnsi"/>
        </w:rPr>
        <w:t xml:space="preserve">, separately for participants in the </w:t>
      </w:r>
      <w:r w:rsidR="00412BE9">
        <w:rPr>
          <w:rFonts w:cstheme="minorHAnsi"/>
        </w:rPr>
        <w:t xml:space="preserve">five years, </w:t>
      </w:r>
      <w:r w:rsidR="00412BE9" w:rsidRPr="00715092">
        <w:rPr>
          <w:rFonts w:cstheme="minorHAnsi"/>
        </w:rPr>
        <w:t>four years, three years, two years or one year</w:t>
      </w:r>
      <w:r w:rsidR="00412BE9">
        <w:rPr>
          <w:rFonts w:cstheme="minorHAnsi"/>
        </w:rPr>
        <w:t xml:space="preserve"> cohorts</w:t>
      </w:r>
      <w:r w:rsidR="00412BE9" w:rsidRPr="00715092">
        <w:rPr>
          <w:rFonts w:cstheme="minorHAnsi"/>
        </w:rPr>
        <w:t>.</w:t>
      </w:r>
      <w:r w:rsidR="00412BE9">
        <w:rPr>
          <w:rFonts w:cstheme="minorHAnsi"/>
        </w:rPr>
        <w:t xml:space="preserve"> Separate lines on each chart show results for all participants, and for participants in the S-14/15-24, 15-24, 15-24/25+ and 25+ age groups.</w:t>
      </w:r>
    </w:p>
    <w:p w:rsidR="00412BE9" w:rsidRDefault="00412BE9" w:rsidP="00412BE9">
      <w:pPr>
        <w:spacing w:after="240"/>
        <w:rPr>
          <w:rFonts w:cstheme="minorHAnsi"/>
        </w:rPr>
      </w:pPr>
      <w:r>
        <w:rPr>
          <w:rFonts w:cstheme="minorHAnsi"/>
        </w:rPr>
        <w:t>For PSto14, analysed by time since first in P15to24, otherwise by time in Scheme.</w:t>
      </w:r>
    </w:p>
    <w:p w:rsidR="00412BE9" w:rsidRDefault="00412BE9" w:rsidP="00412BE9">
      <w:pPr>
        <w:spacing w:after="240"/>
        <w:rPr>
          <w:rFonts w:cstheme="minorHAnsi"/>
        </w:rPr>
      </w:pPr>
      <w:r>
        <w:rPr>
          <w:rFonts w:cstheme="minorHAnsi"/>
        </w:rPr>
        <w:t>This indicator improved.</w:t>
      </w:r>
    </w:p>
    <w:p w:rsidR="00412BE9" w:rsidRDefault="00412BE9" w:rsidP="00412BE9">
      <w:pPr>
        <w:spacing w:after="240"/>
        <w:rPr>
          <w:rFonts w:cstheme="minorHAnsi"/>
        </w:rPr>
      </w:pPr>
      <w:r>
        <w:rPr>
          <w:rFonts w:cstheme="minorHAnsi"/>
        </w:rPr>
        <w:t>Results for all participants are labelled on the charts:</w:t>
      </w:r>
    </w:p>
    <w:tbl>
      <w:tblPr>
        <w:tblW w:w="9204" w:type="dxa"/>
        <w:tblLook w:val="04A0" w:firstRow="1" w:lastRow="0" w:firstColumn="1" w:lastColumn="0" w:noHBand="0" w:noVBand="1"/>
      </w:tblPr>
      <w:tblGrid>
        <w:gridCol w:w="1500"/>
        <w:gridCol w:w="1325"/>
        <w:gridCol w:w="1276"/>
        <w:gridCol w:w="1276"/>
        <w:gridCol w:w="1276"/>
        <w:gridCol w:w="1275"/>
        <w:gridCol w:w="1276"/>
      </w:tblGrid>
      <w:tr w:rsidR="00550D6D" w:rsidRPr="00AD165E" w:rsidTr="00632614">
        <w:trPr>
          <w:trHeight w:val="285"/>
        </w:trPr>
        <w:tc>
          <w:tcPr>
            <w:tcW w:w="1500" w:type="dxa"/>
            <w:tcBorders>
              <w:top w:val="single" w:sz="8" w:space="0" w:color="auto"/>
              <w:left w:val="single" w:sz="8" w:space="0" w:color="auto"/>
              <w:bottom w:val="single" w:sz="8" w:space="0" w:color="auto"/>
              <w:right w:val="nil"/>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Cohort</w:t>
            </w:r>
          </w:p>
        </w:tc>
        <w:tc>
          <w:tcPr>
            <w:tcW w:w="13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B</w:t>
            </w:r>
            <w:r>
              <w:rPr>
                <w:rFonts w:ascii="Arial" w:eastAsia="Times New Roman" w:hAnsi="Arial" w:cs="Arial"/>
                <w:b/>
                <w:bCs/>
                <w:color w:val="000000"/>
                <w:lang w:eastAsia="en-AU"/>
              </w:rPr>
              <w:t>aseline</w:t>
            </w:r>
          </w:p>
        </w:tc>
        <w:tc>
          <w:tcPr>
            <w:tcW w:w="1276" w:type="dxa"/>
            <w:tcBorders>
              <w:top w:val="single" w:sz="8" w:space="0" w:color="auto"/>
              <w:left w:val="nil"/>
              <w:bottom w:val="single" w:sz="8" w:space="0" w:color="auto"/>
              <w:right w:val="nil"/>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1</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2</w:t>
            </w:r>
          </w:p>
        </w:tc>
        <w:tc>
          <w:tcPr>
            <w:tcW w:w="1276" w:type="dxa"/>
            <w:tcBorders>
              <w:top w:val="single" w:sz="8" w:space="0" w:color="auto"/>
              <w:left w:val="nil"/>
              <w:bottom w:val="single" w:sz="8" w:space="0" w:color="auto"/>
              <w:right w:val="nil"/>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3</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4</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5</w:t>
            </w:r>
          </w:p>
        </w:tc>
      </w:tr>
      <w:tr w:rsidR="007B17B4"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7B17B4" w:rsidRPr="00AD165E" w:rsidRDefault="007B17B4" w:rsidP="007B17B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5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7B17B4" w:rsidRPr="007B17B4" w:rsidRDefault="007B17B4" w:rsidP="007B17B4">
            <w:pPr>
              <w:spacing w:after="0"/>
              <w:rPr>
                <w:rFonts w:ascii="Arial" w:hAnsi="Arial" w:cs="Arial"/>
              </w:rPr>
            </w:pPr>
            <w:r w:rsidRPr="007B17B4">
              <w:rPr>
                <w:rFonts w:ascii="Arial" w:hAnsi="Arial" w:cs="Arial"/>
              </w:rPr>
              <w:t>70%</w:t>
            </w:r>
          </w:p>
        </w:tc>
        <w:tc>
          <w:tcPr>
            <w:tcW w:w="1276" w:type="dxa"/>
            <w:tcBorders>
              <w:top w:val="nil"/>
              <w:left w:val="nil"/>
              <w:bottom w:val="single" w:sz="4" w:space="0" w:color="auto"/>
              <w:right w:val="nil"/>
            </w:tcBorders>
            <w:shd w:val="clear" w:color="auto" w:fill="auto"/>
            <w:noWrap/>
            <w:vAlign w:val="center"/>
            <w:hideMark/>
          </w:tcPr>
          <w:p w:rsidR="007B17B4" w:rsidRPr="007B17B4" w:rsidRDefault="007B17B4" w:rsidP="007B17B4">
            <w:pPr>
              <w:spacing w:after="0"/>
              <w:rPr>
                <w:rFonts w:ascii="Arial" w:hAnsi="Arial" w:cs="Arial"/>
              </w:rPr>
            </w:pPr>
            <w:r w:rsidRPr="007B17B4">
              <w:rPr>
                <w:rFonts w:ascii="Arial" w:hAnsi="Arial" w:cs="Arial"/>
              </w:rPr>
              <w:t>72%</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7B17B4" w:rsidRPr="007B17B4" w:rsidRDefault="007B17B4" w:rsidP="007B17B4">
            <w:pPr>
              <w:spacing w:after="0"/>
              <w:rPr>
                <w:rFonts w:ascii="Arial" w:hAnsi="Arial" w:cs="Arial"/>
              </w:rPr>
            </w:pPr>
            <w:r w:rsidRPr="007B17B4">
              <w:rPr>
                <w:rFonts w:ascii="Arial" w:hAnsi="Arial" w:cs="Arial"/>
              </w:rPr>
              <w:t>72%</w:t>
            </w:r>
          </w:p>
        </w:tc>
        <w:tc>
          <w:tcPr>
            <w:tcW w:w="1276" w:type="dxa"/>
            <w:tcBorders>
              <w:top w:val="nil"/>
              <w:left w:val="nil"/>
              <w:bottom w:val="single" w:sz="4" w:space="0" w:color="auto"/>
              <w:right w:val="nil"/>
            </w:tcBorders>
            <w:shd w:val="clear" w:color="auto" w:fill="auto"/>
            <w:noWrap/>
            <w:vAlign w:val="center"/>
            <w:hideMark/>
          </w:tcPr>
          <w:p w:rsidR="007B17B4" w:rsidRPr="007B17B4" w:rsidRDefault="007B17B4" w:rsidP="007B17B4">
            <w:pPr>
              <w:spacing w:after="0"/>
              <w:rPr>
                <w:rFonts w:ascii="Arial" w:hAnsi="Arial" w:cs="Arial"/>
              </w:rPr>
            </w:pPr>
            <w:r w:rsidRPr="007B17B4">
              <w:rPr>
                <w:rFonts w:ascii="Arial" w:hAnsi="Arial" w:cs="Arial"/>
              </w:rPr>
              <w:t>75%</w:t>
            </w: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7B17B4" w:rsidRPr="007B17B4" w:rsidRDefault="007B17B4" w:rsidP="007B17B4">
            <w:pPr>
              <w:spacing w:after="0"/>
              <w:rPr>
                <w:rFonts w:ascii="Arial" w:hAnsi="Arial" w:cs="Arial"/>
              </w:rPr>
            </w:pPr>
            <w:r w:rsidRPr="007B17B4">
              <w:rPr>
                <w:rFonts w:ascii="Arial" w:hAnsi="Arial" w:cs="Arial"/>
              </w:rPr>
              <w:t>73%</w:t>
            </w:r>
          </w:p>
        </w:tc>
        <w:tc>
          <w:tcPr>
            <w:tcW w:w="1276" w:type="dxa"/>
            <w:tcBorders>
              <w:top w:val="nil"/>
              <w:left w:val="nil"/>
              <w:bottom w:val="single" w:sz="4" w:space="0" w:color="auto"/>
              <w:right w:val="single" w:sz="8" w:space="0" w:color="auto"/>
            </w:tcBorders>
            <w:shd w:val="clear" w:color="auto" w:fill="auto"/>
            <w:noWrap/>
            <w:vAlign w:val="center"/>
            <w:hideMark/>
          </w:tcPr>
          <w:p w:rsidR="007B17B4" w:rsidRPr="007B17B4" w:rsidRDefault="007B17B4" w:rsidP="007B17B4">
            <w:pPr>
              <w:spacing w:after="0"/>
              <w:rPr>
                <w:rFonts w:ascii="Arial" w:hAnsi="Arial" w:cs="Arial"/>
              </w:rPr>
            </w:pPr>
            <w:r w:rsidRPr="007B17B4">
              <w:rPr>
                <w:rFonts w:ascii="Arial" w:hAnsi="Arial" w:cs="Arial"/>
              </w:rPr>
              <w:t>75%</w:t>
            </w:r>
          </w:p>
        </w:tc>
      </w:tr>
      <w:tr w:rsidR="007B17B4"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7B17B4" w:rsidRPr="00AD165E" w:rsidRDefault="007B17B4" w:rsidP="007B17B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4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7B17B4" w:rsidRPr="007B17B4" w:rsidRDefault="007B17B4" w:rsidP="007B17B4">
            <w:pPr>
              <w:spacing w:after="0"/>
              <w:rPr>
                <w:rFonts w:ascii="Arial" w:hAnsi="Arial" w:cs="Arial"/>
              </w:rPr>
            </w:pPr>
            <w:r w:rsidRPr="007B17B4">
              <w:rPr>
                <w:rFonts w:ascii="Arial" w:hAnsi="Arial" w:cs="Arial"/>
              </w:rPr>
              <w:t>67%</w:t>
            </w:r>
          </w:p>
        </w:tc>
        <w:tc>
          <w:tcPr>
            <w:tcW w:w="1276" w:type="dxa"/>
            <w:tcBorders>
              <w:top w:val="nil"/>
              <w:left w:val="nil"/>
              <w:bottom w:val="single" w:sz="4" w:space="0" w:color="auto"/>
              <w:right w:val="nil"/>
            </w:tcBorders>
            <w:shd w:val="clear" w:color="auto" w:fill="auto"/>
            <w:noWrap/>
            <w:vAlign w:val="center"/>
            <w:hideMark/>
          </w:tcPr>
          <w:p w:rsidR="007B17B4" w:rsidRPr="007B17B4" w:rsidRDefault="007B17B4" w:rsidP="007B17B4">
            <w:pPr>
              <w:spacing w:after="0"/>
              <w:rPr>
                <w:rFonts w:ascii="Arial" w:hAnsi="Arial" w:cs="Arial"/>
              </w:rPr>
            </w:pPr>
            <w:r w:rsidRPr="007B17B4">
              <w:rPr>
                <w:rFonts w:ascii="Arial" w:hAnsi="Arial" w:cs="Arial"/>
              </w:rPr>
              <w:t>68%</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7B17B4" w:rsidRPr="007B17B4" w:rsidRDefault="007B17B4" w:rsidP="007B17B4">
            <w:pPr>
              <w:spacing w:after="0"/>
              <w:rPr>
                <w:rFonts w:ascii="Arial" w:hAnsi="Arial" w:cs="Arial"/>
              </w:rPr>
            </w:pPr>
            <w:r w:rsidRPr="007B17B4">
              <w:rPr>
                <w:rFonts w:ascii="Arial" w:hAnsi="Arial" w:cs="Arial"/>
              </w:rPr>
              <w:t>70%</w:t>
            </w:r>
          </w:p>
        </w:tc>
        <w:tc>
          <w:tcPr>
            <w:tcW w:w="1276" w:type="dxa"/>
            <w:tcBorders>
              <w:top w:val="nil"/>
              <w:left w:val="nil"/>
              <w:bottom w:val="single" w:sz="4" w:space="0" w:color="auto"/>
              <w:right w:val="nil"/>
            </w:tcBorders>
            <w:shd w:val="clear" w:color="auto" w:fill="auto"/>
            <w:noWrap/>
            <w:vAlign w:val="center"/>
            <w:hideMark/>
          </w:tcPr>
          <w:p w:rsidR="007B17B4" w:rsidRPr="007B17B4" w:rsidRDefault="007B17B4" w:rsidP="007B17B4">
            <w:pPr>
              <w:spacing w:after="0"/>
              <w:rPr>
                <w:rFonts w:ascii="Arial" w:hAnsi="Arial" w:cs="Arial"/>
              </w:rPr>
            </w:pPr>
            <w:r w:rsidRPr="007B17B4">
              <w:rPr>
                <w:rFonts w:ascii="Arial" w:hAnsi="Arial" w:cs="Arial"/>
              </w:rPr>
              <w:t>71%</w:t>
            </w: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7B17B4" w:rsidRPr="007B17B4" w:rsidRDefault="007B17B4" w:rsidP="007B17B4">
            <w:pPr>
              <w:spacing w:after="0"/>
              <w:rPr>
                <w:rFonts w:ascii="Arial" w:hAnsi="Arial" w:cs="Arial"/>
              </w:rPr>
            </w:pPr>
            <w:r w:rsidRPr="007B17B4">
              <w:rPr>
                <w:rFonts w:ascii="Arial" w:hAnsi="Arial" w:cs="Arial"/>
              </w:rPr>
              <w:t>72%</w:t>
            </w:r>
          </w:p>
        </w:tc>
        <w:tc>
          <w:tcPr>
            <w:tcW w:w="1276" w:type="dxa"/>
            <w:tcBorders>
              <w:top w:val="nil"/>
              <w:left w:val="nil"/>
              <w:bottom w:val="single" w:sz="4" w:space="0" w:color="auto"/>
              <w:right w:val="single" w:sz="8" w:space="0" w:color="auto"/>
            </w:tcBorders>
            <w:shd w:val="clear" w:color="auto" w:fill="auto"/>
            <w:noWrap/>
            <w:hideMark/>
          </w:tcPr>
          <w:p w:rsidR="007B17B4" w:rsidRPr="007B17B4" w:rsidRDefault="007B17B4" w:rsidP="007B17B4">
            <w:pPr>
              <w:spacing w:after="0" w:line="240" w:lineRule="auto"/>
              <w:rPr>
                <w:rFonts w:ascii="Arial" w:eastAsia="Times New Roman" w:hAnsi="Arial" w:cs="Arial"/>
                <w:color w:val="000000"/>
                <w:lang w:eastAsia="en-AU"/>
              </w:rPr>
            </w:pPr>
          </w:p>
        </w:tc>
      </w:tr>
      <w:tr w:rsidR="007B17B4"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7B17B4" w:rsidRPr="00AD165E" w:rsidRDefault="007B17B4" w:rsidP="007B17B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3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7B17B4" w:rsidRPr="007B17B4" w:rsidRDefault="007B17B4" w:rsidP="007B17B4">
            <w:pPr>
              <w:spacing w:after="0"/>
              <w:rPr>
                <w:rFonts w:ascii="Arial" w:hAnsi="Arial" w:cs="Arial"/>
              </w:rPr>
            </w:pPr>
            <w:r w:rsidRPr="007B17B4">
              <w:rPr>
                <w:rFonts w:ascii="Arial" w:hAnsi="Arial" w:cs="Arial"/>
              </w:rPr>
              <w:t>66%</w:t>
            </w:r>
          </w:p>
        </w:tc>
        <w:tc>
          <w:tcPr>
            <w:tcW w:w="1276" w:type="dxa"/>
            <w:tcBorders>
              <w:top w:val="nil"/>
              <w:left w:val="nil"/>
              <w:bottom w:val="single" w:sz="4" w:space="0" w:color="auto"/>
              <w:right w:val="nil"/>
            </w:tcBorders>
            <w:shd w:val="clear" w:color="auto" w:fill="auto"/>
            <w:noWrap/>
            <w:vAlign w:val="center"/>
            <w:hideMark/>
          </w:tcPr>
          <w:p w:rsidR="007B17B4" w:rsidRPr="007B17B4" w:rsidRDefault="007B17B4" w:rsidP="007B17B4">
            <w:pPr>
              <w:spacing w:after="0"/>
              <w:rPr>
                <w:rFonts w:ascii="Arial" w:hAnsi="Arial" w:cs="Arial"/>
              </w:rPr>
            </w:pPr>
            <w:r w:rsidRPr="007B17B4">
              <w:rPr>
                <w:rFonts w:ascii="Arial" w:hAnsi="Arial" w:cs="Arial"/>
              </w:rPr>
              <w:t>68%</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7B17B4" w:rsidRPr="007B17B4" w:rsidRDefault="007B17B4" w:rsidP="007B17B4">
            <w:pPr>
              <w:spacing w:after="0"/>
              <w:rPr>
                <w:rFonts w:ascii="Arial" w:hAnsi="Arial" w:cs="Arial"/>
              </w:rPr>
            </w:pPr>
            <w:r w:rsidRPr="007B17B4">
              <w:rPr>
                <w:rFonts w:ascii="Arial" w:hAnsi="Arial" w:cs="Arial"/>
              </w:rPr>
              <w:t>69%</w:t>
            </w:r>
          </w:p>
        </w:tc>
        <w:tc>
          <w:tcPr>
            <w:tcW w:w="1276" w:type="dxa"/>
            <w:tcBorders>
              <w:top w:val="nil"/>
              <w:left w:val="nil"/>
              <w:bottom w:val="single" w:sz="4" w:space="0" w:color="auto"/>
              <w:right w:val="nil"/>
            </w:tcBorders>
            <w:shd w:val="clear" w:color="auto" w:fill="auto"/>
            <w:noWrap/>
            <w:vAlign w:val="center"/>
            <w:hideMark/>
          </w:tcPr>
          <w:p w:rsidR="007B17B4" w:rsidRPr="007B17B4" w:rsidRDefault="007B17B4" w:rsidP="007B17B4">
            <w:pPr>
              <w:spacing w:after="0"/>
              <w:rPr>
                <w:rFonts w:ascii="Arial" w:hAnsi="Arial" w:cs="Arial"/>
              </w:rPr>
            </w:pPr>
            <w:r w:rsidRPr="007B17B4">
              <w:rPr>
                <w:rFonts w:ascii="Arial" w:hAnsi="Arial" w:cs="Arial"/>
              </w:rPr>
              <w:t>70%</w:t>
            </w:r>
          </w:p>
        </w:tc>
        <w:tc>
          <w:tcPr>
            <w:tcW w:w="1275" w:type="dxa"/>
            <w:tcBorders>
              <w:top w:val="nil"/>
              <w:left w:val="single" w:sz="8" w:space="0" w:color="auto"/>
              <w:bottom w:val="single" w:sz="4" w:space="0" w:color="auto"/>
              <w:right w:val="single" w:sz="8" w:space="0" w:color="auto"/>
            </w:tcBorders>
            <w:shd w:val="clear" w:color="auto" w:fill="auto"/>
            <w:noWrap/>
            <w:hideMark/>
          </w:tcPr>
          <w:p w:rsidR="007B17B4" w:rsidRPr="007B17B4" w:rsidRDefault="007B17B4" w:rsidP="007B17B4">
            <w:pPr>
              <w:spacing w:after="0" w:line="240" w:lineRule="auto"/>
              <w:rPr>
                <w:rFonts w:ascii="Arial" w:eastAsia="Times New Roman" w:hAnsi="Arial" w:cs="Arial"/>
                <w:color w:val="000000"/>
                <w:lang w:eastAsia="en-AU"/>
              </w:rPr>
            </w:pPr>
          </w:p>
        </w:tc>
        <w:tc>
          <w:tcPr>
            <w:tcW w:w="1276" w:type="dxa"/>
            <w:tcBorders>
              <w:top w:val="nil"/>
              <w:left w:val="nil"/>
              <w:bottom w:val="single" w:sz="4" w:space="0" w:color="auto"/>
              <w:right w:val="single" w:sz="8" w:space="0" w:color="auto"/>
            </w:tcBorders>
            <w:shd w:val="clear" w:color="auto" w:fill="auto"/>
            <w:noWrap/>
            <w:vAlign w:val="bottom"/>
            <w:hideMark/>
          </w:tcPr>
          <w:p w:rsidR="007B17B4" w:rsidRPr="007B17B4" w:rsidRDefault="007B17B4" w:rsidP="007B17B4">
            <w:pPr>
              <w:spacing w:after="0" w:line="240" w:lineRule="auto"/>
              <w:rPr>
                <w:rFonts w:ascii="Arial" w:eastAsia="Times New Roman" w:hAnsi="Arial" w:cs="Arial"/>
                <w:color w:val="000000"/>
                <w:lang w:eastAsia="en-AU"/>
              </w:rPr>
            </w:pPr>
          </w:p>
        </w:tc>
      </w:tr>
      <w:tr w:rsidR="007B17B4"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7B17B4" w:rsidRPr="00AD165E" w:rsidRDefault="007B17B4" w:rsidP="007B17B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2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7B17B4" w:rsidRPr="007B17B4" w:rsidRDefault="007B17B4" w:rsidP="007B17B4">
            <w:pPr>
              <w:spacing w:after="0"/>
              <w:rPr>
                <w:rFonts w:ascii="Arial" w:hAnsi="Arial" w:cs="Arial"/>
              </w:rPr>
            </w:pPr>
            <w:r w:rsidRPr="007B17B4">
              <w:rPr>
                <w:rFonts w:ascii="Arial" w:hAnsi="Arial" w:cs="Arial"/>
              </w:rPr>
              <w:t>65%</w:t>
            </w:r>
          </w:p>
        </w:tc>
        <w:tc>
          <w:tcPr>
            <w:tcW w:w="1276" w:type="dxa"/>
            <w:tcBorders>
              <w:top w:val="nil"/>
              <w:left w:val="nil"/>
              <w:bottom w:val="single" w:sz="4" w:space="0" w:color="auto"/>
              <w:right w:val="nil"/>
            </w:tcBorders>
            <w:shd w:val="clear" w:color="auto" w:fill="auto"/>
            <w:noWrap/>
            <w:vAlign w:val="center"/>
            <w:hideMark/>
          </w:tcPr>
          <w:p w:rsidR="007B17B4" w:rsidRPr="007B17B4" w:rsidRDefault="007B17B4" w:rsidP="007B17B4">
            <w:pPr>
              <w:spacing w:after="0"/>
              <w:rPr>
                <w:rFonts w:ascii="Arial" w:hAnsi="Arial" w:cs="Arial"/>
              </w:rPr>
            </w:pPr>
            <w:r w:rsidRPr="007B17B4">
              <w:rPr>
                <w:rFonts w:ascii="Arial" w:hAnsi="Arial" w:cs="Arial"/>
              </w:rPr>
              <w:t>67%</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7B17B4" w:rsidRPr="007B17B4" w:rsidRDefault="007B17B4" w:rsidP="007B17B4">
            <w:pPr>
              <w:spacing w:after="0"/>
              <w:rPr>
                <w:rFonts w:ascii="Arial" w:hAnsi="Arial" w:cs="Arial"/>
              </w:rPr>
            </w:pPr>
            <w:r w:rsidRPr="007B17B4">
              <w:rPr>
                <w:rFonts w:ascii="Arial" w:hAnsi="Arial" w:cs="Arial"/>
              </w:rPr>
              <w:t>67%</w:t>
            </w:r>
          </w:p>
        </w:tc>
        <w:tc>
          <w:tcPr>
            <w:tcW w:w="1276" w:type="dxa"/>
            <w:tcBorders>
              <w:top w:val="nil"/>
              <w:left w:val="nil"/>
              <w:bottom w:val="single" w:sz="4" w:space="0" w:color="auto"/>
              <w:right w:val="nil"/>
            </w:tcBorders>
            <w:shd w:val="clear" w:color="auto" w:fill="auto"/>
            <w:noWrap/>
            <w:hideMark/>
          </w:tcPr>
          <w:p w:rsidR="007B17B4" w:rsidRPr="007B17B4" w:rsidRDefault="007B17B4" w:rsidP="007B17B4">
            <w:pPr>
              <w:spacing w:after="0" w:line="240" w:lineRule="auto"/>
              <w:rPr>
                <w:rFonts w:ascii="Arial" w:eastAsia="Times New Roman" w:hAnsi="Arial" w:cs="Arial"/>
                <w:color w:val="000000"/>
                <w:lang w:eastAsia="en-AU"/>
              </w:rPr>
            </w:pP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7B17B4" w:rsidRPr="007B17B4" w:rsidRDefault="007B17B4" w:rsidP="007B17B4">
            <w:pPr>
              <w:spacing w:after="0" w:line="240" w:lineRule="auto"/>
              <w:rPr>
                <w:rFonts w:ascii="Arial" w:eastAsia="Times New Roman" w:hAnsi="Arial" w:cs="Arial"/>
                <w:color w:val="000000"/>
                <w:lang w:eastAsia="en-AU"/>
              </w:rPr>
            </w:pPr>
          </w:p>
        </w:tc>
        <w:tc>
          <w:tcPr>
            <w:tcW w:w="1276" w:type="dxa"/>
            <w:tcBorders>
              <w:top w:val="nil"/>
              <w:left w:val="nil"/>
              <w:bottom w:val="single" w:sz="4" w:space="0" w:color="auto"/>
              <w:right w:val="single" w:sz="8" w:space="0" w:color="auto"/>
            </w:tcBorders>
            <w:shd w:val="clear" w:color="auto" w:fill="auto"/>
            <w:noWrap/>
            <w:vAlign w:val="center"/>
            <w:hideMark/>
          </w:tcPr>
          <w:p w:rsidR="007B17B4" w:rsidRPr="007B17B4" w:rsidRDefault="007B17B4" w:rsidP="007B17B4">
            <w:pPr>
              <w:spacing w:after="0" w:line="240" w:lineRule="auto"/>
              <w:rPr>
                <w:rFonts w:ascii="Arial" w:eastAsia="Times New Roman" w:hAnsi="Arial" w:cs="Arial"/>
                <w:color w:val="000000"/>
                <w:lang w:eastAsia="en-AU"/>
              </w:rPr>
            </w:pPr>
          </w:p>
        </w:tc>
      </w:tr>
      <w:tr w:rsidR="007B17B4" w:rsidRPr="00AD165E" w:rsidTr="00632614">
        <w:trPr>
          <w:trHeight w:val="285"/>
        </w:trPr>
        <w:tc>
          <w:tcPr>
            <w:tcW w:w="1500" w:type="dxa"/>
            <w:tcBorders>
              <w:top w:val="nil"/>
              <w:left w:val="single" w:sz="8" w:space="0" w:color="auto"/>
              <w:bottom w:val="single" w:sz="8" w:space="0" w:color="auto"/>
              <w:right w:val="nil"/>
            </w:tcBorders>
            <w:shd w:val="clear" w:color="auto" w:fill="auto"/>
            <w:noWrap/>
            <w:vAlign w:val="bottom"/>
            <w:hideMark/>
          </w:tcPr>
          <w:p w:rsidR="007B17B4" w:rsidRPr="00AD165E" w:rsidRDefault="007B17B4" w:rsidP="007B17B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1 year</w:t>
            </w:r>
          </w:p>
        </w:tc>
        <w:tc>
          <w:tcPr>
            <w:tcW w:w="1325" w:type="dxa"/>
            <w:tcBorders>
              <w:top w:val="nil"/>
              <w:left w:val="single" w:sz="8" w:space="0" w:color="auto"/>
              <w:bottom w:val="single" w:sz="8" w:space="0" w:color="auto"/>
              <w:right w:val="single" w:sz="8" w:space="0" w:color="auto"/>
            </w:tcBorders>
            <w:shd w:val="clear" w:color="auto" w:fill="auto"/>
            <w:noWrap/>
            <w:vAlign w:val="center"/>
            <w:hideMark/>
          </w:tcPr>
          <w:p w:rsidR="007B17B4" w:rsidRPr="007B17B4" w:rsidRDefault="007B17B4" w:rsidP="007B17B4">
            <w:pPr>
              <w:spacing w:after="0"/>
              <w:rPr>
                <w:rFonts w:ascii="Arial" w:hAnsi="Arial" w:cs="Arial"/>
              </w:rPr>
            </w:pPr>
            <w:r w:rsidRPr="007B17B4">
              <w:rPr>
                <w:rFonts w:ascii="Arial" w:hAnsi="Arial" w:cs="Arial"/>
              </w:rPr>
              <w:t>64%</w:t>
            </w:r>
          </w:p>
        </w:tc>
        <w:tc>
          <w:tcPr>
            <w:tcW w:w="1276" w:type="dxa"/>
            <w:tcBorders>
              <w:top w:val="nil"/>
              <w:left w:val="nil"/>
              <w:bottom w:val="single" w:sz="8" w:space="0" w:color="auto"/>
              <w:right w:val="nil"/>
            </w:tcBorders>
            <w:shd w:val="clear" w:color="auto" w:fill="auto"/>
            <w:noWrap/>
            <w:vAlign w:val="center"/>
            <w:hideMark/>
          </w:tcPr>
          <w:p w:rsidR="007B17B4" w:rsidRPr="007B17B4" w:rsidRDefault="007B17B4" w:rsidP="007B17B4">
            <w:pPr>
              <w:spacing w:after="0"/>
              <w:rPr>
                <w:rFonts w:ascii="Arial" w:hAnsi="Arial" w:cs="Arial"/>
              </w:rPr>
            </w:pPr>
            <w:r w:rsidRPr="007B17B4">
              <w:rPr>
                <w:rFonts w:ascii="Arial" w:hAnsi="Arial" w:cs="Arial"/>
              </w:rPr>
              <w:t>65%</w:t>
            </w:r>
          </w:p>
        </w:tc>
        <w:tc>
          <w:tcPr>
            <w:tcW w:w="1276" w:type="dxa"/>
            <w:tcBorders>
              <w:top w:val="nil"/>
              <w:left w:val="single" w:sz="8" w:space="0" w:color="auto"/>
              <w:bottom w:val="single" w:sz="8" w:space="0" w:color="auto"/>
              <w:right w:val="single" w:sz="8" w:space="0" w:color="auto"/>
            </w:tcBorders>
            <w:shd w:val="clear" w:color="auto" w:fill="auto"/>
            <w:noWrap/>
            <w:hideMark/>
          </w:tcPr>
          <w:p w:rsidR="007B17B4" w:rsidRPr="007B17B4" w:rsidRDefault="007B17B4" w:rsidP="007B17B4">
            <w:pPr>
              <w:spacing w:after="0" w:line="240" w:lineRule="auto"/>
              <w:rPr>
                <w:rFonts w:ascii="Arial" w:eastAsia="Times New Roman" w:hAnsi="Arial" w:cs="Arial"/>
                <w:color w:val="000000"/>
                <w:lang w:eastAsia="en-AU"/>
              </w:rPr>
            </w:pPr>
          </w:p>
        </w:tc>
        <w:tc>
          <w:tcPr>
            <w:tcW w:w="1276" w:type="dxa"/>
            <w:tcBorders>
              <w:top w:val="nil"/>
              <w:left w:val="nil"/>
              <w:bottom w:val="single" w:sz="8" w:space="0" w:color="auto"/>
              <w:right w:val="nil"/>
            </w:tcBorders>
            <w:shd w:val="clear" w:color="auto" w:fill="auto"/>
            <w:noWrap/>
            <w:vAlign w:val="center"/>
            <w:hideMark/>
          </w:tcPr>
          <w:p w:rsidR="007B17B4" w:rsidRPr="007B17B4" w:rsidRDefault="007B17B4" w:rsidP="007B17B4">
            <w:pPr>
              <w:spacing w:after="0" w:line="240" w:lineRule="auto"/>
              <w:rPr>
                <w:rFonts w:ascii="Arial" w:eastAsia="Times New Roman" w:hAnsi="Arial" w:cs="Arial"/>
                <w:color w:val="000000"/>
                <w:lang w:eastAsia="en-AU"/>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rsidR="007B17B4" w:rsidRPr="007B17B4" w:rsidRDefault="007B17B4" w:rsidP="007B17B4">
            <w:pPr>
              <w:spacing w:after="0" w:line="240" w:lineRule="auto"/>
              <w:rPr>
                <w:rFonts w:ascii="Arial" w:eastAsia="Times New Roman" w:hAnsi="Arial" w:cs="Arial"/>
                <w:color w:val="000000"/>
                <w:lang w:eastAsia="en-AU"/>
              </w:rPr>
            </w:pPr>
          </w:p>
        </w:tc>
        <w:tc>
          <w:tcPr>
            <w:tcW w:w="1276" w:type="dxa"/>
            <w:tcBorders>
              <w:top w:val="nil"/>
              <w:left w:val="nil"/>
              <w:bottom w:val="single" w:sz="8" w:space="0" w:color="auto"/>
              <w:right w:val="single" w:sz="8" w:space="0" w:color="auto"/>
            </w:tcBorders>
            <w:shd w:val="clear" w:color="auto" w:fill="auto"/>
            <w:noWrap/>
            <w:hideMark/>
          </w:tcPr>
          <w:p w:rsidR="007B17B4" w:rsidRPr="007B17B4" w:rsidRDefault="007B17B4" w:rsidP="007B17B4">
            <w:pPr>
              <w:spacing w:after="0" w:line="240" w:lineRule="auto"/>
              <w:rPr>
                <w:rFonts w:ascii="Arial" w:eastAsia="Times New Roman" w:hAnsi="Arial" w:cs="Arial"/>
                <w:color w:val="000000"/>
                <w:lang w:eastAsia="en-AU"/>
              </w:rPr>
            </w:pPr>
          </w:p>
        </w:tc>
      </w:tr>
    </w:tbl>
    <w:p w:rsidR="00550D6D" w:rsidRDefault="00550D6D" w:rsidP="00412BE9">
      <w:pPr>
        <w:spacing w:after="240"/>
        <w:rPr>
          <w:rFonts w:cstheme="minorHAnsi"/>
        </w:rPr>
      </w:pPr>
    </w:p>
    <w:p w:rsidR="00B83265" w:rsidRDefault="0080201D" w:rsidP="00B83265">
      <w:pPr>
        <w:spacing w:after="240"/>
        <w:rPr>
          <w:rFonts w:cstheme="minorHAnsi"/>
        </w:rPr>
      </w:pPr>
      <w:r>
        <w:rPr>
          <w:rFonts w:cstheme="minorHAnsi"/>
        </w:rPr>
        <w:t xml:space="preserve">Footnote 1: </w:t>
      </w:r>
      <w:r w:rsidR="00B83265" w:rsidRPr="0084525C">
        <w:rPr>
          <w:rFonts w:cstheme="minorHAnsi"/>
        </w:rPr>
        <w:t xml:space="preserve">For more information on health and wellbeing outcomes see: </w:t>
      </w:r>
      <w:hyperlink r:id="rId12" w:history="1">
        <w:r w:rsidR="00B83265" w:rsidRPr="00E568D1">
          <w:rPr>
            <w:rStyle w:val="Hyperlink"/>
            <w:rFonts w:cstheme="minorHAnsi"/>
          </w:rPr>
          <w:t>https://data.ndis.gov.au/reports-and-analyses/outcomes-and-goals/health-and-wellbeing-ndis-participants-and-their-families-and-carers</w:t>
        </w:r>
      </w:hyperlink>
      <w:r w:rsidR="00B83265">
        <w:rPr>
          <w:rFonts w:cstheme="minorHAnsi"/>
        </w:rPr>
        <w:t>.</w:t>
      </w:r>
    </w:p>
    <w:p w:rsidR="00B83265" w:rsidRPr="002817DE" w:rsidRDefault="00B83265" w:rsidP="002817DE">
      <w:pPr>
        <w:pStyle w:val="Heading2"/>
      </w:pPr>
      <w:bookmarkStart w:id="80" w:name="_Toc121151452"/>
      <w:r w:rsidRPr="002817DE">
        <w:lastRenderedPageBreak/>
        <w:t>Slide 70: Participants aged 15 and over – Health and wellbeing</w:t>
      </w:r>
      <w:r w:rsidR="0080201D">
        <w:t xml:space="preserve"> (Footnote 1)</w:t>
      </w:r>
      <w:bookmarkEnd w:id="80"/>
    </w:p>
    <w:p w:rsidR="00B83265" w:rsidRPr="00B8176E" w:rsidRDefault="00B83265" w:rsidP="00B83265">
      <w:pPr>
        <w:spacing w:after="240"/>
        <w:rPr>
          <w:b/>
        </w:rPr>
      </w:pPr>
      <w:r w:rsidRPr="00B8176E">
        <w:rPr>
          <w:b/>
        </w:rPr>
        <w:t xml:space="preserve">% </w:t>
      </w:r>
      <w:r>
        <w:rPr>
          <w:b/>
        </w:rPr>
        <w:t>who have been to hospital in the last 12 months</w:t>
      </w:r>
    </w:p>
    <w:p w:rsidR="00B83265" w:rsidRDefault="00B83265" w:rsidP="00B83265">
      <w:pPr>
        <w:spacing w:after="240"/>
      </w:pPr>
      <w:r>
        <w:t>Longitudinal data for hospitalisations of participants aged 15 years and over in the last 12 months for Cohort 5 shows an 8.6 percentage point decrease from 36.4% at baseline to 27.8% at fifth review. This is similar across other cohorts.</w:t>
      </w:r>
    </w:p>
    <w:p w:rsidR="00B83265" w:rsidRDefault="00B83265" w:rsidP="00B83265">
      <w:pPr>
        <w:spacing w:after="240"/>
      </w:pPr>
      <w:r>
        <w:t>The older participant age group (25+) has a higher percentage (across the board) of respondents who have been to hospital in the last 12 months – for example 32.1% of participants at fifth review (5 year cohort) in the 25+ age group reported going to hospital, compared with 19.1% of the 15-24 age group. Nonetheless, there is still a declining trend for this age group.</w:t>
      </w:r>
    </w:p>
    <w:p w:rsidR="00B83265" w:rsidRDefault="00B83265" w:rsidP="00B83265">
      <w:pPr>
        <w:spacing w:after="240"/>
        <w:rPr>
          <w:rFonts w:cstheme="minorHAnsi"/>
        </w:rPr>
      </w:pPr>
      <w:r>
        <w:t>The S-14/15-24 age group had the lowest percentage of participants who have been to hospital in the last 12 months – 15.9% at fourth review (4 year cohort), compared to 19.8% to 33.3% for the other age groups.</w:t>
      </w:r>
      <w:r>
        <w:rPr>
          <w:rFonts w:cstheme="minorHAnsi"/>
        </w:rPr>
        <w:t xml:space="preserve"> </w:t>
      </w:r>
    </w:p>
    <w:p w:rsidR="00412BE9" w:rsidRDefault="00B83265" w:rsidP="00412BE9">
      <w:pPr>
        <w:spacing w:after="240"/>
        <w:rPr>
          <w:rFonts w:cstheme="minorHAnsi"/>
        </w:rPr>
      </w:pPr>
      <w:r>
        <w:rPr>
          <w:rFonts w:cstheme="minorHAnsi"/>
        </w:rPr>
        <w:t xml:space="preserve">Five charts shows </w:t>
      </w:r>
      <w:r w:rsidRPr="00AD4C8D">
        <w:rPr>
          <w:rFonts w:cstheme="minorHAnsi"/>
        </w:rPr>
        <w:t xml:space="preserve">the percentage </w:t>
      </w:r>
      <w:r w:rsidRPr="0084525C">
        <w:rPr>
          <w:rFonts w:cstheme="minorHAnsi"/>
        </w:rPr>
        <w:t xml:space="preserve">who have been to hospital in the last 12 months </w:t>
      </w:r>
      <w:r w:rsidRPr="00AD4C8D">
        <w:rPr>
          <w:rFonts w:cstheme="minorHAnsi"/>
        </w:rPr>
        <w:t>at baseline and at subsequent reviews</w:t>
      </w:r>
      <w:r w:rsidR="00412BE9" w:rsidRPr="00715092">
        <w:rPr>
          <w:rFonts w:cstheme="minorHAnsi"/>
        </w:rPr>
        <w:t xml:space="preserve">, separately for participants in the </w:t>
      </w:r>
      <w:r w:rsidR="00412BE9">
        <w:rPr>
          <w:rFonts w:cstheme="minorHAnsi"/>
        </w:rPr>
        <w:t xml:space="preserve">five years, </w:t>
      </w:r>
      <w:r w:rsidR="00412BE9" w:rsidRPr="00715092">
        <w:rPr>
          <w:rFonts w:cstheme="minorHAnsi"/>
        </w:rPr>
        <w:t>four years, three years, two years or one year</w:t>
      </w:r>
      <w:r w:rsidR="00412BE9">
        <w:rPr>
          <w:rFonts w:cstheme="minorHAnsi"/>
        </w:rPr>
        <w:t xml:space="preserve"> cohorts</w:t>
      </w:r>
      <w:r w:rsidR="00412BE9" w:rsidRPr="00715092">
        <w:rPr>
          <w:rFonts w:cstheme="minorHAnsi"/>
        </w:rPr>
        <w:t>.</w:t>
      </w:r>
      <w:r w:rsidR="00412BE9">
        <w:rPr>
          <w:rFonts w:cstheme="minorHAnsi"/>
        </w:rPr>
        <w:t xml:space="preserve"> Separate lines on each chart show results for all participants, and for participants in the S-14/15-24, 15-24, 15-24/25+ and 25+ age groups.</w:t>
      </w:r>
    </w:p>
    <w:p w:rsidR="00412BE9" w:rsidRDefault="00412BE9" w:rsidP="00412BE9">
      <w:pPr>
        <w:spacing w:after="240"/>
        <w:rPr>
          <w:rFonts w:cstheme="minorHAnsi"/>
        </w:rPr>
      </w:pPr>
      <w:r>
        <w:rPr>
          <w:rFonts w:cstheme="minorHAnsi"/>
        </w:rPr>
        <w:t>For PSto14, analysed by time since first in P15to24, otherwise by time in Scheme.</w:t>
      </w:r>
    </w:p>
    <w:p w:rsidR="00412BE9" w:rsidRDefault="00412BE9" w:rsidP="00412BE9">
      <w:pPr>
        <w:spacing w:after="240"/>
        <w:rPr>
          <w:rFonts w:cstheme="minorHAnsi"/>
        </w:rPr>
      </w:pPr>
      <w:r>
        <w:rPr>
          <w:rFonts w:cstheme="minorHAnsi"/>
        </w:rPr>
        <w:t>This indicator improved.</w:t>
      </w:r>
    </w:p>
    <w:p w:rsidR="00412BE9" w:rsidRDefault="00412BE9" w:rsidP="00412BE9">
      <w:pPr>
        <w:spacing w:after="240"/>
        <w:rPr>
          <w:rFonts w:cstheme="minorHAnsi"/>
        </w:rPr>
      </w:pPr>
      <w:r>
        <w:rPr>
          <w:rFonts w:cstheme="minorHAnsi"/>
        </w:rPr>
        <w:t>Results for all participants are labelled on the charts:</w:t>
      </w:r>
    </w:p>
    <w:tbl>
      <w:tblPr>
        <w:tblW w:w="9204" w:type="dxa"/>
        <w:tblLook w:val="04A0" w:firstRow="1" w:lastRow="0" w:firstColumn="1" w:lastColumn="0" w:noHBand="0" w:noVBand="1"/>
      </w:tblPr>
      <w:tblGrid>
        <w:gridCol w:w="1500"/>
        <w:gridCol w:w="1325"/>
        <w:gridCol w:w="1276"/>
        <w:gridCol w:w="1276"/>
        <w:gridCol w:w="1276"/>
        <w:gridCol w:w="1275"/>
        <w:gridCol w:w="1276"/>
      </w:tblGrid>
      <w:tr w:rsidR="00550D6D" w:rsidRPr="00AD165E" w:rsidTr="00632614">
        <w:trPr>
          <w:trHeight w:val="285"/>
        </w:trPr>
        <w:tc>
          <w:tcPr>
            <w:tcW w:w="1500" w:type="dxa"/>
            <w:tcBorders>
              <w:top w:val="single" w:sz="8" w:space="0" w:color="auto"/>
              <w:left w:val="single" w:sz="8" w:space="0" w:color="auto"/>
              <w:bottom w:val="single" w:sz="8" w:space="0" w:color="auto"/>
              <w:right w:val="nil"/>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Cohort</w:t>
            </w:r>
          </w:p>
        </w:tc>
        <w:tc>
          <w:tcPr>
            <w:tcW w:w="13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B</w:t>
            </w:r>
            <w:r>
              <w:rPr>
                <w:rFonts w:ascii="Arial" w:eastAsia="Times New Roman" w:hAnsi="Arial" w:cs="Arial"/>
                <w:b/>
                <w:bCs/>
                <w:color w:val="000000"/>
                <w:lang w:eastAsia="en-AU"/>
              </w:rPr>
              <w:t>aseline</w:t>
            </w:r>
          </w:p>
        </w:tc>
        <w:tc>
          <w:tcPr>
            <w:tcW w:w="1276" w:type="dxa"/>
            <w:tcBorders>
              <w:top w:val="single" w:sz="8" w:space="0" w:color="auto"/>
              <w:left w:val="nil"/>
              <w:bottom w:val="single" w:sz="8" w:space="0" w:color="auto"/>
              <w:right w:val="nil"/>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1</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2</w:t>
            </w:r>
          </w:p>
        </w:tc>
        <w:tc>
          <w:tcPr>
            <w:tcW w:w="1276" w:type="dxa"/>
            <w:tcBorders>
              <w:top w:val="single" w:sz="8" w:space="0" w:color="auto"/>
              <w:left w:val="nil"/>
              <w:bottom w:val="single" w:sz="8" w:space="0" w:color="auto"/>
              <w:right w:val="nil"/>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3</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4</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5</w:t>
            </w:r>
          </w:p>
        </w:tc>
      </w:tr>
      <w:tr w:rsidR="00B37176"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B37176" w:rsidRPr="00AD165E" w:rsidRDefault="00B37176" w:rsidP="00B37176">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5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B37176" w:rsidRPr="00B37176" w:rsidRDefault="00B37176" w:rsidP="00B37176">
            <w:pPr>
              <w:spacing w:after="0"/>
              <w:rPr>
                <w:rFonts w:ascii="Arial" w:hAnsi="Arial" w:cs="Arial"/>
              </w:rPr>
            </w:pPr>
            <w:r w:rsidRPr="00B37176">
              <w:rPr>
                <w:rFonts w:ascii="Arial" w:hAnsi="Arial" w:cs="Arial"/>
              </w:rPr>
              <w:t>36%</w:t>
            </w:r>
          </w:p>
        </w:tc>
        <w:tc>
          <w:tcPr>
            <w:tcW w:w="1276" w:type="dxa"/>
            <w:tcBorders>
              <w:top w:val="nil"/>
              <w:left w:val="nil"/>
              <w:bottom w:val="single" w:sz="4" w:space="0" w:color="auto"/>
              <w:right w:val="nil"/>
            </w:tcBorders>
            <w:shd w:val="clear" w:color="auto" w:fill="auto"/>
            <w:noWrap/>
            <w:vAlign w:val="center"/>
            <w:hideMark/>
          </w:tcPr>
          <w:p w:rsidR="00B37176" w:rsidRPr="00B37176" w:rsidRDefault="00B37176" w:rsidP="00B37176">
            <w:pPr>
              <w:spacing w:after="0"/>
              <w:rPr>
                <w:rFonts w:ascii="Arial" w:hAnsi="Arial" w:cs="Arial"/>
              </w:rPr>
            </w:pPr>
            <w:r w:rsidRPr="00B37176">
              <w:rPr>
                <w:rFonts w:ascii="Arial" w:hAnsi="Arial" w:cs="Arial"/>
              </w:rPr>
              <w:t>32%</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B37176" w:rsidRPr="00B37176" w:rsidRDefault="00B37176" w:rsidP="00B37176">
            <w:pPr>
              <w:spacing w:after="0"/>
              <w:rPr>
                <w:rFonts w:ascii="Arial" w:hAnsi="Arial" w:cs="Arial"/>
              </w:rPr>
            </w:pPr>
            <w:r w:rsidRPr="00B37176">
              <w:rPr>
                <w:rFonts w:ascii="Arial" w:hAnsi="Arial" w:cs="Arial"/>
              </w:rPr>
              <w:t>32%</w:t>
            </w:r>
          </w:p>
        </w:tc>
        <w:tc>
          <w:tcPr>
            <w:tcW w:w="1276" w:type="dxa"/>
            <w:tcBorders>
              <w:top w:val="nil"/>
              <w:left w:val="nil"/>
              <w:bottom w:val="single" w:sz="4" w:space="0" w:color="auto"/>
              <w:right w:val="nil"/>
            </w:tcBorders>
            <w:shd w:val="clear" w:color="auto" w:fill="auto"/>
            <w:noWrap/>
            <w:vAlign w:val="center"/>
            <w:hideMark/>
          </w:tcPr>
          <w:p w:rsidR="00B37176" w:rsidRPr="00B37176" w:rsidRDefault="00B37176" w:rsidP="00B37176">
            <w:pPr>
              <w:spacing w:after="0"/>
              <w:rPr>
                <w:rFonts w:ascii="Arial" w:hAnsi="Arial" w:cs="Arial"/>
              </w:rPr>
            </w:pPr>
            <w:r w:rsidRPr="00B37176">
              <w:rPr>
                <w:rFonts w:ascii="Arial" w:hAnsi="Arial" w:cs="Arial"/>
              </w:rPr>
              <w:t>31%</w:t>
            </w: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B37176" w:rsidRPr="00B37176" w:rsidRDefault="00B37176" w:rsidP="00B37176">
            <w:pPr>
              <w:spacing w:after="0"/>
              <w:rPr>
                <w:rFonts w:ascii="Arial" w:hAnsi="Arial" w:cs="Arial"/>
              </w:rPr>
            </w:pPr>
            <w:r w:rsidRPr="00B37176">
              <w:rPr>
                <w:rFonts w:ascii="Arial" w:hAnsi="Arial" w:cs="Arial"/>
              </w:rPr>
              <w:t>33%</w:t>
            </w:r>
          </w:p>
        </w:tc>
        <w:tc>
          <w:tcPr>
            <w:tcW w:w="1276" w:type="dxa"/>
            <w:tcBorders>
              <w:top w:val="nil"/>
              <w:left w:val="nil"/>
              <w:bottom w:val="single" w:sz="4" w:space="0" w:color="auto"/>
              <w:right w:val="single" w:sz="8" w:space="0" w:color="auto"/>
            </w:tcBorders>
            <w:shd w:val="clear" w:color="auto" w:fill="auto"/>
            <w:noWrap/>
            <w:vAlign w:val="center"/>
            <w:hideMark/>
          </w:tcPr>
          <w:p w:rsidR="00B37176" w:rsidRPr="00B37176" w:rsidRDefault="00B37176" w:rsidP="00B37176">
            <w:pPr>
              <w:spacing w:after="0"/>
              <w:rPr>
                <w:rFonts w:ascii="Arial" w:hAnsi="Arial" w:cs="Arial"/>
              </w:rPr>
            </w:pPr>
            <w:r w:rsidRPr="00B37176">
              <w:rPr>
                <w:rFonts w:ascii="Arial" w:hAnsi="Arial" w:cs="Arial"/>
              </w:rPr>
              <w:t>28%</w:t>
            </w:r>
          </w:p>
        </w:tc>
      </w:tr>
      <w:tr w:rsidR="00B37176"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B37176" w:rsidRPr="00AD165E" w:rsidRDefault="00B37176" w:rsidP="00B37176">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4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B37176" w:rsidRPr="00B37176" w:rsidRDefault="00B37176" w:rsidP="00B37176">
            <w:pPr>
              <w:spacing w:after="0"/>
              <w:rPr>
                <w:rFonts w:ascii="Arial" w:hAnsi="Arial" w:cs="Arial"/>
              </w:rPr>
            </w:pPr>
            <w:r w:rsidRPr="00B37176">
              <w:rPr>
                <w:rFonts w:ascii="Arial" w:hAnsi="Arial" w:cs="Arial"/>
              </w:rPr>
              <w:t>37%</w:t>
            </w:r>
          </w:p>
        </w:tc>
        <w:tc>
          <w:tcPr>
            <w:tcW w:w="1276" w:type="dxa"/>
            <w:tcBorders>
              <w:top w:val="nil"/>
              <w:left w:val="nil"/>
              <w:bottom w:val="single" w:sz="4" w:space="0" w:color="auto"/>
              <w:right w:val="nil"/>
            </w:tcBorders>
            <w:shd w:val="clear" w:color="auto" w:fill="auto"/>
            <w:noWrap/>
            <w:vAlign w:val="center"/>
            <w:hideMark/>
          </w:tcPr>
          <w:p w:rsidR="00B37176" w:rsidRPr="00B37176" w:rsidRDefault="00B37176" w:rsidP="00B37176">
            <w:pPr>
              <w:spacing w:after="0"/>
              <w:rPr>
                <w:rFonts w:ascii="Arial" w:hAnsi="Arial" w:cs="Arial"/>
              </w:rPr>
            </w:pPr>
            <w:r w:rsidRPr="00B37176">
              <w:rPr>
                <w:rFonts w:ascii="Arial" w:hAnsi="Arial" w:cs="Arial"/>
              </w:rPr>
              <w:t>33%</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B37176" w:rsidRPr="00B37176" w:rsidRDefault="00B37176" w:rsidP="00B37176">
            <w:pPr>
              <w:spacing w:after="0"/>
              <w:rPr>
                <w:rFonts w:ascii="Arial" w:hAnsi="Arial" w:cs="Arial"/>
              </w:rPr>
            </w:pPr>
            <w:r w:rsidRPr="00B37176">
              <w:rPr>
                <w:rFonts w:ascii="Arial" w:hAnsi="Arial" w:cs="Arial"/>
              </w:rPr>
              <w:t>31%</w:t>
            </w:r>
          </w:p>
        </w:tc>
        <w:tc>
          <w:tcPr>
            <w:tcW w:w="1276" w:type="dxa"/>
            <w:tcBorders>
              <w:top w:val="nil"/>
              <w:left w:val="nil"/>
              <w:bottom w:val="single" w:sz="4" w:space="0" w:color="auto"/>
              <w:right w:val="nil"/>
            </w:tcBorders>
            <w:shd w:val="clear" w:color="auto" w:fill="auto"/>
            <w:noWrap/>
            <w:vAlign w:val="center"/>
            <w:hideMark/>
          </w:tcPr>
          <w:p w:rsidR="00B37176" w:rsidRPr="00B37176" w:rsidRDefault="00B37176" w:rsidP="00B37176">
            <w:pPr>
              <w:spacing w:after="0"/>
              <w:rPr>
                <w:rFonts w:ascii="Arial" w:hAnsi="Arial" w:cs="Arial"/>
              </w:rPr>
            </w:pPr>
            <w:r w:rsidRPr="00B37176">
              <w:rPr>
                <w:rFonts w:ascii="Arial" w:hAnsi="Arial" w:cs="Arial"/>
              </w:rPr>
              <w:t>32%</w:t>
            </w: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B37176" w:rsidRPr="00B37176" w:rsidRDefault="00B37176" w:rsidP="00B37176">
            <w:pPr>
              <w:spacing w:after="0"/>
              <w:rPr>
                <w:rFonts w:ascii="Arial" w:hAnsi="Arial" w:cs="Arial"/>
              </w:rPr>
            </w:pPr>
            <w:r w:rsidRPr="00B37176">
              <w:rPr>
                <w:rFonts w:ascii="Arial" w:hAnsi="Arial" w:cs="Arial"/>
              </w:rPr>
              <w:t>29%</w:t>
            </w:r>
          </w:p>
        </w:tc>
        <w:tc>
          <w:tcPr>
            <w:tcW w:w="1276" w:type="dxa"/>
            <w:tcBorders>
              <w:top w:val="nil"/>
              <w:left w:val="nil"/>
              <w:bottom w:val="single" w:sz="4" w:space="0" w:color="auto"/>
              <w:right w:val="single" w:sz="8" w:space="0" w:color="auto"/>
            </w:tcBorders>
            <w:shd w:val="clear" w:color="auto" w:fill="auto"/>
            <w:noWrap/>
            <w:hideMark/>
          </w:tcPr>
          <w:p w:rsidR="00B37176" w:rsidRPr="00B37176" w:rsidRDefault="00B37176" w:rsidP="00B37176">
            <w:pPr>
              <w:spacing w:after="0" w:line="240" w:lineRule="auto"/>
              <w:rPr>
                <w:rFonts w:ascii="Arial" w:eastAsia="Times New Roman" w:hAnsi="Arial" w:cs="Arial"/>
                <w:color w:val="000000"/>
                <w:lang w:eastAsia="en-AU"/>
              </w:rPr>
            </w:pPr>
          </w:p>
        </w:tc>
      </w:tr>
      <w:tr w:rsidR="00B37176"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B37176" w:rsidRPr="00AD165E" w:rsidRDefault="00B37176" w:rsidP="00B37176">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3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B37176" w:rsidRPr="00B37176" w:rsidRDefault="00B37176" w:rsidP="00B37176">
            <w:pPr>
              <w:spacing w:after="0"/>
              <w:rPr>
                <w:rFonts w:ascii="Arial" w:hAnsi="Arial" w:cs="Arial"/>
              </w:rPr>
            </w:pPr>
            <w:r w:rsidRPr="00B37176">
              <w:rPr>
                <w:rFonts w:ascii="Arial" w:hAnsi="Arial" w:cs="Arial"/>
              </w:rPr>
              <w:t>38%</w:t>
            </w:r>
          </w:p>
        </w:tc>
        <w:tc>
          <w:tcPr>
            <w:tcW w:w="1276" w:type="dxa"/>
            <w:tcBorders>
              <w:top w:val="nil"/>
              <w:left w:val="nil"/>
              <w:bottom w:val="single" w:sz="4" w:space="0" w:color="auto"/>
              <w:right w:val="nil"/>
            </w:tcBorders>
            <w:shd w:val="clear" w:color="auto" w:fill="auto"/>
            <w:noWrap/>
            <w:vAlign w:val="center"/>
            <w:hideMark/>
          </w:tcPr>
          <w:p w:rsidR="00B37176" w:rsidRPr="00B37176" w:rsidRDefault="00B37176" w:rsidP="00B37176">
            <w:pPr>
              <w:spacing w:after="0"/>
              <w:rPr>
                <w:rFonts w:ascii="Arial" w:hAnsi="Arial" w:cs="Arial"/>
              </w:rPr>
            </w:pPr>
            <w:r w:rsidRPr="00B37176">
              <w:rPr>
                <w:rFonts w:ascii="Arial" w:hAnsi="Arial" w:cs="Arial"/>
              </w:rPr>
              <w:t>33%</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B37176" w:rsidRPr="00B37176" w:rsidRDefault="00B37176" w:rsidP="00B37176">
            <w:pPr>
              <w:spacing w:after="0"/>
              <w:rPr>
                <w:rFonts w:ascii="Arial" w:hAnsi="Arial" w:cs="Arial"/>
              </w:rPr>
            </w:pPr>
            <w:r w:rsidRPr="00B37176">
              <w:rPr>
                <w:rFonts w:ascii="Arial" w:hAnsi="Arial" w:cs="Arial"/>
              </w:rPr>
              <w:t>33%</w:t>
            </w:r>
          </w:p>
        </w:tc>
        <w:tc>
          <w:tcPr>
            <w:tcW w:w="1276" w:type="dxa"/>
            <w:tcBorders>
              <w:top w:val="nil"/>
              <w:left w:val="nil"/>
              <w:bottom w:val="single" w:sz="4" w:space="0" w:color="auto"/>
              <w:right w:val="nil"/>
            </w:tcBorders>
            <w:shd w:val="clear" w:color="auto" w:fill="auto"/>
            <w:noWrap/>
            <w:vAlign w:val="center"/>
            <w:hideMark/>
          </w:tcPr>
          <w:p w:rsidR="00B37176" w:rsidRPr="00B37176" w:rsidRDefault="00B37176" w:rsidP="00B37176">
            <w:pPr>
              <w:spacing w:after="0"/>
              <w:rPr>
                <w:rFonts w:ascii="Arial" w:hAnsi="Arial" w:cs="Arial"/>
              </w:rPr>
            </w:pPr>
            <w:r w:rsidRPr="00B37176">
              <w:rPr>
                <w:rFonts w:ascii="Arial" w:hAnsi="Arial" w:cs="Arial"/>
              </w:rPr>
              <w:t>30%</w:t>
            </w:r>
          </w:p>
        </w:tc>
        <w:tc>
          <w:tcPr>
            <w:tcW w:w="1275" w:type="dxa"/>
            <w:tcBorders>
              <w:top w:val="nil"/>
              <w:left w:val="single" w:sz="8" w:space="0" w:color="auto"/>
              <w:bottom w:val="single" w:sz="4" w:space="0" w:color="auto"/>
              <w:right w:val="single" w:sz="8" w:space="0" w:color="auto"/>
            </w:tcBorders>
            <w:shd w:val="clear" w:color="auto" w:fill="auto"/>
            <w:noWrap/>
            <w:hideMark/>
          </w:tcPr>
          <w:p w:rsidR="00B37176" w:rsidRPr="00B37176" w:rsidRDefault="00B37176" w:rsidP="00B37176">
            <w:pPr>
              <w:spacing w:after="0" w:line="240" w:lineRule="auto"/>
              <w:rPr>
                <w:rFonts w:ascii="Arial" w:eastAsia="Times New Roman" w:hAnsi="Arial" w:cs="Arial"/>
                <w:color w:val="000000"/>
                <w:lang w:eastAsia="en-AU"/>
              </w:rPr>
            </w:pPr>
          </w:p>
        </w:tc>
        <w:tc>
          <w:tcPr>
            <w:tcW w:w="1276" w:type="dxa"/>
            <w:tcBorders>
              <w:top w:val="nil"/>
              <w:left w:val="nil"/>
              <w:bottom w:val="single" w:sz="4" w:space="0" w:color="auto"/>
              <w:right w:val="single" w:sz="8" w:space="0" w:color="auto"/>
            </w:tcBorders>
            <w:shd w:val="clear" w:color="auto" w:fill="auto"/>
            <w:noWrap/>
            <w:vAlign w:val="bottom"/>
            <w:hideMark/>
          </w:tcPr>
          <w:p w:rsidR="00B37176" w:rsidRPr="00B37176" w:rsidRDefault="00B37176" w:rsidP="00B37176">
            <w:pPr>
              <w:spacing w:after="0" w:line="240" w:lineRule="auto"/>
              <w:rPr>
                <w:rFonts w:ascii="Arial" w:eastAsia="Times New Roman" w:hAnsi="Arial" w:cs="Arial"/>
                <w:color w:val="000000"/>
                <w:lang w:eastAsia="en-AU"/>
              </w:rPr>
            </w:pPr>
          </w:p>
        </w:tc>
      </w:tr>
      <w:tr w:rsidR="00B37176"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B37176" w:rsidRPr="00AD165E" w:rsidRDefault="00B37176" w:rsidP="00B37176">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2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B37176" w:rsidRPr="00B37176" w:rsidRDefault="00B37176" w:rsidP="00B37176">
            <w:pPr>
              <w:spacing w:after="0"/>
              <w:rPr>
                <w:rFonts w:ascii="Arial" w:hAnsi="Arial" w:cs="Arial"/>
              </w:rPr>
            </w:pPr>
            <w:r w:rsidRPr="00B37176">
              <w:rPr>
                <w:rFonts w:ascii="Arial" w:hAnsi="Arial" w:cs="Arial"/>
              </w:rPr>
              <w:t>40%</w:t>
            </w:r>
          </w:p>
        </w:tc>
        <w:tc>
          <w:tcPr>
            <w:tcW w:w="1276" w:type="dxa"/>
            <w:tcBorders>
              <w:top w:val="nil"/>
              <w:left w:val="nil"/>
              <w:bottom w:val="single" w:sz="4" w:space="0" w:color="auto"/>
              <w:right w:val="nil"/>
            </w:tcBorders>
            <w:shd w:val="clear" w:color="auto" w:fill="auto"/>
            <w:noWrap/>
            <w:vAlign w:val="center"/>
            <w:hideMark/>
          </w:tcPr>
          <w:p w:rsidR="00B37176" w:rsidRPr="00B37176" w:rsidRDefault="00B37176" w:rsidP="00B37176">
            <w:pPr>
              <w:spacing w:after="0"/>
              <w:rPr>
                <w:rFonts w:ascii="Arial" w:hAnsi="Arial" w:cs="Arial"/>
              </w:rPr>
            </w:pPr>
            <w:r w:rsidRPr="00B37176">
              <w:rPr>
                <w:rFonts w:ascii="Arial" w:hAnsi="Arial" w:cs="Arial"/>
              </w:rPr>
              <w:t>35%</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B37176" w:rsidRPr="00B37176" w:rsidRDefault="00B37176" w:rsidP="00B37176">
            <w:pPr>
              <w:spacing w:after="0"/>
              <w:rPr>
                <w:rFonts w:ascii="Arial" w:hAnsi="Arial" w:cs="Arial"/>
              </w:rPr>
            </w:pPr>
            <w:r w:rsidRPr="00B37176">
              <w:rPr>
                <w:rFonts w:ascii="Arial" w:hAnsi="Arial" w:cs="Arial"/>
              </w:rPr>
              <w:t>32%</w:t>
            </w:r>
          </w:p>
        </w:tc>
        <w:tc>
          <w:tcPr>
            <w:tcW w:w="1276" w:type="dxa"/>
            <w:tcBorders>
              <w:top w:val="nil"/>
              <w:left w:val="nil"/>
              <w:bottom w:val="single" w:sz="4" w:space="0" w:color="auto"/>
              <w:right w:val="nil"/>
            </w:tcBorders>
            <w:shd w:val="clear" w:color="auto" w:fill="auto"/>
            <w:noWrap/>
            <w:hideMark/>
          </w:tcPr>
          <w:p w:rsidR="00B37176" w:rsidRPr="00B37176" w:rsidRDefault="00B37176" w:rsidP="00B37176">
            <w:pPr>
              <w:spacing w:after="0" w:line="240" w:lineRule="auto"/>
              <w:rPr>
                <w:rFonts w:ascii="Arial" w:eastAsia="Times New Roman" w:hAnsi="Arial" w:cs="Arial"/>
                <w:color w:val="000000"/>
                <w:lang w:eastAsia="en-AU"/>
              </w:rPr>
            </w:pP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B37176" w:rsidRPr="00B37176" w:rsidRDefault="00B37176" w:rsidP="00B37176">
            <w:pPr>
              <w:spacing w:after="0" w:line="240" w:lineRule="auto"/>
              <w:rPr>
                <w:rFonts w:ascii="Arial" w:eastAsia="Times New Roman" w:hAnsi="Arial" w:cs="Arial"/>
                <w:color w:val="000000"/>
                <w:lang w:eastAsia="en-AU"/>
              </w:rPr>
            </w:pPr>
          </w:p>
        </w:tc>
        <w:tc>
          <w:tcPr>
            <w:tcW w:w="1276" w:type="dxa"/>
            <w:tcBorders>
              <w:top w:val="nil"/>
              <w:left w:val="nil"/>
              <w:bottom w:val="single" w:sz="4" w:space="0" w:color="auto"/>
              <w:right w:val="single" w:sz="8" w:space="0" w:color="auto"/>
            </w:tcBorders>
            <w:shd w:val="clear" w:color="auto" w:fill="auto"/>
            <w:noWrap/>
            <w:vAlign w:val="center"/>
            <w:hideMark/>
          </w:tcPr>
          <w:p w:rsidR="00B37176" w:rsidRPr="00B37176" w:rsidRDefault="00B37176" w:rsidP="00B37176">
            <w:pPr>
              <w:spacing w:after="0" w:line="240" w:lineRule="auto"/>
              <w:rPr>
                <w:rFonts w:ascii="Arial" w:eastAsia="Times New Roman" w:hAnsi="Arial" w:cs="Arial"/>
                <w:color w:val="000000"/>
                <w:lang w:eastAsia="en-AU"/>
              </w:rPr>
            </w:pPr>
          </w:p>
        </w:tc>
      </w:tr>
      <w:tr w:rsidR="00B37176" w:rsidRPr="00AD165E" w:rsidTr="00632614">
        <w:trPr>
          <w:trHeight w:val="285"/>
        </w:trPr>
        <w:tc>
          <w:tcPr>
            <w:tcW w:w="1500" w:type="dxa"/>
            <w:tcBorders>
              <w:top w:val="nil"/>
              <w:left w:val="single" w:sz="8" w:space="0" w:color="auto"/>
              <w:bottom w:val="single" w:sz="8" w:space="0" w:color="auto"/>
              <w:right w:val="nil"/>
            </w:tcBorders>
            <w:shd w:val="clear" w:color="auto" w:fill="auto"/>
            <w:noWrap/>
            <w:vAlign w:val="bottom"/>
            <w:hideMark/>
          </w:tcPr>
          <w:p w:rsidR="00B37176" w:rsidRPr="00AD165E" w:rsidRDefault="00B37176" w:rsidP="00B37176">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1 year</w:t>
            </w:r>
          </w:p>
        </w:tc>
        <w:tc>
          <w:tcPr>
            <w:tcW w:w="1325" w:type="dxa"/>
            <w:tcBorders>
              <w:top w:val="nil"/>
              <w:left w:val="single" w:sz="8" w:space="0" w:color="auto"/>
              <w:bottom w:val="single" w:sz="8" w:space="0" w:color="auto"/>
              <w:right w:val="single" w:sz="8" w:space="0" w:color="auto"/>
            </w:tcBorders>
            <w:shd w:val="clear" w:color="auto" w:fill="auto"/>
            <w:noWrap/>
            <w:vAlign w:val="center"/>
            <w:hideMark/>
          </w:tcPr>
          <w:p w:rsidR="00B37176" w:rsidRPr="00B37176" w:rsidRDefault="00B37176" w:rsidP="00B37176">
            <w:pPr>
              <w:spacing w:after="0"/>
              <w:rPr>
                <w:rFonts w:ascii="Arial" w:hAnsi="Arial" w:cs="Arial"/>
              </w:rPr>
            </w:pPr>
            <w:r w:rsidRPr="00B37176">
              <w:rPr>
                <w:rFonts w:ascii="Arial" w:hAnsi="Arial" w:cs="Arial"/>
              </w:rPr>
              <w:t>41%</w:t>
            </w:r>
          </w:p>
        </w:tc>
        <w:tc>
          <w:tcPr>
            <w:tcW w:w="1276" w:type="dxa"/>
            <w:tcBorders>
              <w:top w:val="nil"/>
              <w:left w:val="nil"/>
              <w:bottom w:val="single" w:sz="8" w:space="0" w:color="auto"/>
              <w:right w:val="nil"/>
            </w:tcBorders>
            <w:shd w:val="clear" w:color="auto" w:fill="auto"/>
            <w:noWrap/>
            <w:vAlign w:val="center"/>
            <w:hideMark/>
          </w:tcPr>
          <w:p w:rsidR="00B37176" w:rsidRPr="00B37176" w:rsidRDefault="00B37176" w:rsidP="00B37176">
            <w:pPr>
              <w:spacing w:after="0"/>
              <w:rPr>
                <w:rFonts w:ascii="Arial" w:hAnsi="Arial" w:cs="Arial"/>
              </w:rPr>
            </w:pPr>
            <w:r w:rsidRPr="00B37176">
              <w:rPr>
                <w:rFonts w:ascii="Arial" w:hAnsi="Arial" w:cs="Arial"/>
              </w:rPr>
              <w:t>36%</w:t>
            </w:r>
          </w:p>
        </w:tc>
        <w:tc>
          <w:tcPr>
            <w:tcW w:w="1276" w:type="dxa"/>
            <w:tcBorders>
              <w:top w:val="nil"/>
              <w:left w:val="single" w:sz="8" w:space="0" w:color="auto"/>
              <w:bottom w:val="single" w:sz="8" w:space="0" w:color="auto"/>
              <w:right w:val="single" w:sz="8" w:space="0" w:color="auto"/>
            </w:tcBorders>
            <w:shd w:val="clear" w:color="auto" w:fill="auto"/>
            <w:noWrap/>
            <w:hideMark/>
          </w:tcPr>
          <w:p w:rsidR="00B37176" w:rsidRPr="00B37176" w:rsidRDefault="00B37176" w:rsidP="00B37176">
            <w:pPr>
              <w:spacing w:after="0" w:line="240" w:lineRule="auto"/>
              <w:rPr>
                <w:rFonts w:ascii="Arial" w:eastAsia="Times New Roman" w:hAnsi="Arial" w:cs="Arial"/>
                <w:color w:val="000000"/>
                <w:lang w:eastAsia="en-AU"/>
              </w:rPr>
            </w:pPr>
          </w:p>
        </w:tc>
        <w:tc>
          <w:tcPr>
            <w:tcW w:w="1276" w:type="dxa"/>
            <w:tcBorders>
              <w:top w:val="nil"/>
              <w:left w:val="nil"/>
              <w:bottom w:val="single" w:sz="8" w:space="0" w:color="auto"/>
              <w:right w:val="nil"/>
            </w:tcBorders>
            <w:shd w:val="clear" w:color="auto" w:fill="auto"/>
            <w:noWrap/>
            <w:vAlign w:val="center"/>
            <w:hideMark/>
          </w:tcPr>
          <w:p w:rsidR="00B37176" w:rsidRPr="00B37176" w:rsidRDefault="00B37176" w:rsidP="00B37176">
            <w:pPr>
              <w:spacing w:after="0" w:line="240" w:lineRule="auto"/>
              <w:rPr>
                <w:rFonts w:ascii="Arial" w:eastAsia="Times New Roman" w:hAnsi="Arial" w:cs="Arial"/>
                <w:color w:val="000000"/>
                <w:lang w:eastAsia="en-AU"/>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rsidR="00B37176" w:rsidRPr="00B37176" w:rsidRDefault="00B37176" w:rsidP="00B37176">
            <w:pPr>
              <w:spacing w:after="0" w:line="240" w:lineRule="auto"/>
              <w:rPr>
                <w:rFonts w:ascii="Arial" w:eastAsia="Times New Roman" w:hAnsi="Arial" w:cs="Arial"/>
                <w:color w:val="000000"/>
                <w:lang w:eastAsia="en-AU"/>
              </w:rPr>
            </w:pPr>
          </w:p>
        </w:tc>
        <w:tc>
          <w:tcPr>
            <w:tcW w:w="1276" w:type="dxa"/>
            <w:tcBorders>
              <w:top w:val="nil"/>
              <w:left w:val="nil"/>
              <w:bottom w:val="single" w:sz="8" w:space="0" w:color="auto"/>
              <w:right w:val="single" w:sz="8" w:space="0" w:color="auto"/>
            </w:tcBorders>
            <w:shd w:val="clear" w:color="auto" w:fill="auto"/>
            <w:noWrap/>
            <w:hideMark/>
          </w:tcPr>
          <w:p w:rsidR="00B37176" w:rsidRPr="00B37176" w:rsidRDefault="00B37176" w:rsidP="00B37176">
            <w:pPr>
              <w:spacing w:after="0" w:line="240" w:lineRule="auto"/>
              <w:rPr>
                <w:rFonts w:ascii="Arial" w:eastAsia="Times New Roman" w:hAnsi="Arial" w:cs="Arial"/>
                <w:color w:val="000000"/>
                <w:lang w:eastAsia="en-AU"/>
              </w:rPr>
            </w:pPr>
          </w:p>
        </w:tc>
      </w:tr>
    </w:tbl>
    <w:p w:rsidR="00550D6D" w:rsidRDefault="00550D6D" w:rsidP="00412BE9">
      <w:pPr>
        <w:spacing w:after="240"/>
        <w:rPr>
          <w:rFonts w:cstheme="minorHAnsi"/>
        </w:rPr>
      </w:pPr>
    </w:p>
    <w:p w:rsidR="00B83265" w:rsidRDefault="0080201D" w:rsidP="00B83265">
      <w:pPr>
        <w:spacing w:after="240"/>
        <w:rPr>
          <w:rFonts w:cstheme="minorHAnsi"/>
        </w:rPr>
      </w:pPr>
      <w:r>
        <w:rPr>
          <w:rFonts w:cstheme="minorHAnsi"/>
        </w:rPr>
        <w:t xml:space="preserve">Footnote 1: </w:t>
      </w:r>
      <w:r w:rsidR="00B83265" w:rsidRPr="0084525C">
        <w:rPr>
          <w:rFonts w:cstheme="minorHAnsi"/>
        </w:rPr>
        <w:t xml:space="preserve">For more information on health and wellbeing outcomes see: </w:t>
      </w:r>
      <w:hyperlink r:id="rId13" w:history="1">
        <w:r w:rsidR="00B83265" w:rsidRPr="00E568D1">
          <w:rPr>
            <w:rStyle w:val="Hyperlink"/>
            <w:rFonts w:cstheme="minorHAnsi"/>
          </w:rPr>
          <w:t>https://data.ndis.gov.au/reports-and-analyses/outcomes-and-goals/health-and-wellbeing-ndis-participants-and-their-families-and-carers</w:t>
        </w:r>
      </w:hyperlink>
      <w:r w:rsidR="00B83265">
        <w:rPr>
          <w:rFonts w:cstheme="minorHAnsi"/>
        </w:rPr>
        <w:t>.</w:t>
      </w:r>
    </w:p>
    <w:p w:rsidR="00B83265" w:rsidRPr="00C73B37" w:rsidRDefault="00B83265" w:rsidP="00C73B37">
      <w:pPr>
        <w:pStyle w:val="Heading2"/>
      </w:pPr>
      <w:bookmarkStart w:id="81" w:name="_Toc121151453"/>
      <w:r w:rsidRPr="00C73B37">
        <w:t>Slide 71: Participants aged 15 and over – Health and wellbeing</w:t>
      </w:r>
      <w:r w:rsidR="0080201D">
        <w:t xml:space="preserve"> (Footnote 1)</w:t>
      </w:r>
      <w:bookmarkEnd w:id="81"/>
    </w:p>
    <w:p w:rsidR="00B83265" w:rsidRPr="00B8176E" w:rsidRDefault="00B83265" w:rsidP="00B83265">
      <w:pPr>
        <w:spacing w:after="240"/>
        <w:rPr>
          <w:b/>
        </w:rPr>
      </w:pPr>
      <w:r w:rsidRPr="00B8176E">
        <w:rPr>
          <w:b/>
        </w:rPr>
        <w:t xml:space="preserve">% </w:t>
      </w:r>
      <w:r>
        <w:rPr>
          <w:b/>
        </w:rPr>
        <w:t>who rate their health as excellent, very good or good</w:t>
      </w:r>
    </w:p>
    <w:p w:rsidR="00B83265" w:rsidRDefault="00B83265" w:rsidP="00B83265">
      <w:pPr>
        <w:spacing w:after="240"/>
      </w:pPr>
      <w:r>
        <w:t>The percentage of participants rating their health as excellent, very good, or good has declined slightly over time with a 6.2 percentage point drop between baseline (57.9%) and fifth review (51.6%), for those in cohort 5. However, for this cohort, there has been an increase in the latest year of 3.6 percentage points.</w:t>
      </w:r>
    </w:p>
    <w:p w:rsidR="00B83265" w:rsidRDefault="00B83265" w:rsidP="00B83265">
      <w:pPr>
        <w:spacing w:after="240"/>
      </w:pPr>
      <w:r>
        <w:lastRenderedPageBreak/>
        <w:t>The 25+ age group follows the same trend but has a much lower percentage of participants who rate their health as good or better – e.g. 44.9% at fifth review for cohort 5, compared with 65%-68% for the younger age groups.</w:t>
      </w:r>
    </w:p>
    <w:p w:rsidR="00B83265" w:rsidRDefault="00B83265" w:rsidP="00B83265">
      <w:pPr>
        <w:spacing w:after="240"/>
      </w:pPr>
      <w:r>
        <w:t>Whilst the younger age groups typically report higher percentages of participants who rate their health as good or better, they still experience a declining trend. Earlier cohorts and review periods are generally associated with smaller decreases and in particular, cohort 1 for the 15-24/25+ age group shows a 6.3 percentage point increase at first review.</w:t>
      </w:r>
    </w:p>
    <w:p w:rsidR="00412BE9" w:rsidRDefault="00B83265" w:rsidP="00412BE9">
      <w:pPr>
        <w:spacing w:after="240"/>
        <w:rPr>
          <w:rFonts w:cstheme="minorHAnsi"/>
        </w:rPr>
      </w:pPr>
      <w:r>
        <w:rPr>
          <w:rFonts w:cstheme="minorHAnsi"/>
        </w:rPr>
        <w:t xml:space="preserve">Five charts shows </w:t>
      </w:r>
      <w:r w:rsidRPr="00AD4C8D">
        <w:rPr>
          <w:rFonts w:cstheme="minorHAnsi"/>
        </w:rPr>
        <w:t xml:space="preserve">the percentage </w:t>
      </w:r>
      <w:r w:rsidRPr="0084525C">
        <w:rPr>
          <w:rFonts w:cstheme="minorHAnsi"/>
        </w:rPr>
        <w:t xml:space="preserve">who rate their health as excellent, very good or good </w:t>
      </w:r>
      <w:r w:rsidRPr="00AD4C8D">
        <w:rPr>
          <w:rFonts w:cstheme="minorHAnsi"/>
        </w:rPr>
        <w:t>at baseline and at subsequent reviews</w:t>
      </w:r>
      <w:r w:rsidR="00412BE9" w:rsidRPr="00715092">
        <w:rPr>
          <w:rFonts w:cstheme="minorHAnsi"/>
        </w:rPr>
        <w:t xml:space="preserve">, separately for participants in the </w:t>
      </w:r>
      <w:r w:rsidR="00412BE9">
        <w:rPr>
          <w:rFonts w:cstheme="minorHAnsi"/>
        </w:rPr>
        <w:t xml:space="preserve">five years, </w:t>
      </w:r>
      <w:r w:rsidR="00412BE9" w:rsidRPr="00715092">
        <w:rPr>
          <w:rFonts w:cstheme="minorHAnsi"/>
        </w:rPr>
        <w:t>four years, three years, two years or one year</w:t>
      </w:r>
      <w:r w:rsidR="00412BE9">
        <w:rPr>
          <w:rFonts w:cstheme="minorHAnsi"/>
        </w:rPr>
        <w:t xml:space="preserve"> cohorts</w:t>
      </w:r>
      <w:r w:rsidR="00412BE9" w:rsidRPr="00715092">
        <w:rPr>
          <w:rFonts w:cstheme="minorHAnsi"/>
        </w:rPr>
        <w:t>.</w:t>
      </w:r>
      <w:r w:rsidR="00412BE9">
        <w:rPr>
          <w:rFonts w:cstheme="minorHAnsi"/>
        </w:rPr>
        <w:t xml:space="preserve"> Separate lines on each chart show results for all participants, and for participants in the S-14/15-24, 15-24, 15-24/25+ and 25+ age groups.</w:t>
      </w:r>
    </w:p>
    <w:p w:rsidR="00412BE9" w:rsidRDefault="00412BE9" w:rsidP="00412BE9">
      <w:pPr>
        <w:spacing w:after="240"/>
        <w:rPr>
          <w:rFonts w:cstheme="minorHAnsi"/>
        </w:rPr>
      </w:pPr>
      <w:r>
        <w:rPr>
          <w:rFonts w:cstheme="minorHAnsi"/>
        </w:rPr>
        <w:t>For PSto14, analysed by time since first in P15to24, otherwise by time in Scheme.</w:t>
      </w:r>
    </w:p>
    <w:p w:rsidR="00412BE9" w:rsidRDefault="00412BE9" w:rsidP="00412BE9">
      <w:pPr>
        <w:spacing w:after="240"/>
        <w:rPr>
          <w:rFonts w:cstheme="minorHAnsi"/>
        </w:rPr>
      </w:pPr>
      <w:r>
        <w:rPr>
          <w:rFonts w:cstheme="minorHAnsi"/>
        </w:rPr>
        <w:t xml:space="preserve">This indicator </w:t>
      </w:r>
      <w:r w:rsidR="00B37176">
        <w:rPr>
          <w:rFonts w:cstheme="minorHAnsi"/>
        </w:rPr>
        <w:t>deteriorat</w:t>
      </w:r>
      <w:r>
        <w:rPr>
          <w:rFonts w:cstheme="minorHAnsi"/>
        </w:rPr>
        <w:t>ed.</w:t>
      </w:r>
    </w:p>
    <w:p w:rsidR="00412BE9" w:rsidRDefault="00412BE9" w:rsidP="00412BE9">
      <w:pPr>
        <w:spacing w:after="240"/>
        <w:rPr>
          <w:rFonts w:cstheme="minorHAnsi"/>
        </w:rPr>
      </w:pPr>
      <w:r>
        <w:rPr>
          <w:rFonts w:cstheme="minorHAnsi"/>
        </w:rPr>
        <w:t>Results for all participants are labelled on the charts:</w:t>
      </w:r>
    </w:p>
    <w:tbl>
      <w:tblPr>
        <w:tblW w:w="9204" w:type="dxa"/>
        <w:tblLook w:val="04A0" w:firstRow="1" w:lastRow="0" w:firstColumn="1" w:lastColumn="0" w:noHBand="0" w:noVBand="1"/>
      </w:tblPr>
      <w:tblGrid>
        <w:gridCol w:w="1500"/>
        <w:gridCol w:w="1325"/>
        <w:gridCol w:w="1276"/>
        <w:gridCol w:w="1276"/>
        <w:gridCol w:w="1276"/>
        <w:gridCol w:w="1275"/>
        <w:gridCol w:w="1276"/>
      </w:tblGrid>
      <w:tr w:rsidR="00550D6D" w:rsidRPr="00AD165E" w:rsidTr="00632614">
        <w:trPr>
          <w:trHeight w:val="285"/>
        </w:trPr>
        <w:tc>
          <w:tcPr>
            <w:tcW w:w="1500" w:type="dxa"/>
            <w:tcBorders>
              <w:top w:val="single" w:sz="8" w:space="0" w:color="auto"/>
              <w:left w:val="single" w:sz="8" w:space="0" w:color="auto"/>
              <w:bottom w:val="single" w:sz="8" w:space="0" w:color="auto"/>
              <w:right w:val="nil"/>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Cohort</w:t>
            </w:r>
          </w:p>
        </w:tc>
        <w:tc>
          <w:tcPr>
            <w:tcW w:w="13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B</w:t>
            </w:r>
            <w:r>
              <w:rPr>
                <w:rFonts w:ascii="Arial" w:eastAsia="Times New Roman" w:hAnsi="Arial" w:cs="Arial"/>
                <w:b/>
                <w:bCs/>
                <w:color w:val="000000"/>
                <w:lang w:eastAsia="en-AU"/>
              </w:rPr>
              <w:t>aseline</w:t>
            </w:r>
          </w:p>
        </w:tc>
        <w:tc>
          <w:tcPr>
            <w:tcW w:w="1276" w:type="dxa"/>
            <w:tcBorders>
              <w:top w:val="single" w:sz="8" w:space="0" w:color="auto"/>
              <w:left w:val="nil"/>
              <w:bottom w:val="single" w:sz="8" w:space="0" w:color="auto"/>
              <w:right w:val="nil"/>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1</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2</w:t>
            </w:r>
          </w:p>
        </w:tc>
        <w:tc>
          <w:tcPr>
            <w:tcW w:w="1276" w:type="dxa"/>
            <w:tcBorders>
              <w:top w:val="single" w:sz="8" w:space="0" w:color="auto"/>
              <w:left w:val="nil"/>
              <w:bottom w:val="single" w:sz="8" w:space="0" w:color="auto"/>
              <w:right w:val="nil"/>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3</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4</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550D6D" w:rsidRPr="00AD165E" w:rsidRDefault="00550D6D" w:rsidP="00632614">
            <w:pPr>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Review 5</w:t>
            </w:r>
          </w:p>
        </w:tc>
      </w:tr>
      <w:tr w:rsidR="00B37176"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B37176" w:rsidRPr="00AD165E" w:rsidRDefault="00B37176" w:rsidP="00B37176">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5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B37176" w:rsidRPr="00B37176" w:rsidRDefault="00B37176" w:rsidP="00B37176">
            <w:pPr>
              <w:spacing w:after="0"/>
              <w:rPr>
                <w:rFonts w:ascii="Arial" w:hAnsi="Arial" w:cs="Arial"/>
              </w:rPr>
            </w:pPr>
            <w:r w:rsidRPr="00B37176">
              <w:rPr>
                <w:rFonts w:ascii="Arial" w:hAnsi="Arial" w:cs="Arial"/>
              </w:rPr>
              <w:t>58%</w:t>
            </w:r>
          </w:p>
        </w:tc>
        <w:tc>
          <w:tcPr>
            <w:tcW w:w="1276" w:type="dxa"/>
            <w:tcBorders>
              <w:top w:val="nil"/>
              <w:left w:val="nil"/>
              <w:bottom w:val="single" w:sz="4" w:space="0" w:color="auto"/>
              <w:right w:val="nil"/>
            </w:tcBorders>
            <w:shd w:val="clear" w:color="auto" w:fill="auto"/>
            <w:noWrap/>
            <w:vAlign w:val="center"/>
            <w:hideMark/>
          </w:tcPr>
          <w:p w:rsidR="00B37176" w:rsidRPr="00B37176" w:rsidRDefault="00B37176" w:rsidP="00B37176">
            <w:pPr>
              <w:spacing w:after="0"/>
              <w:rPr>
                <w:rFonts w:ascii="Arial" w:hAnsi="Arial" w:cs="Arial"/>
              </w:rPr>
            </w:pPr>
            <w:r w:rsidRPr="00B37176">
              <w:rPr>
                <w:rFonts w:ascii="Arial" w:hAnsi="Arial" w:cs="Arial"/>
              </w:rPr>
              <w:t>56%</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B37176" w:rsidRPr="00B37176" w:rsidRDefault="00B37176" w:rsidP="00B37176">
            <w:pPr>
              <w:spacing w:after="0"/>
              <w:rPr>
                <w:rFonts w:ascii="Arial" w:hAnsi="Arial" w:cs="Arial"/>
              </w:rPr>
            </w:pPr>
            <w:r w:rsidRPr="00B37176">
              <w:rPr>
                <w:rFonts w:ascii="Arial" w:hAnsi="Arial" w:cs="Arial"/>
              </w:rPr>
              <w:t>53%</w:t>
            </w:r>
          </w:p>
        </w:tc>
        <w:tc>
          <w:tcPr>
            <w:tcW w:w="1276" w:type="dxa"/>
            <w:tcBorders>
              <w:top w:val="nil"/>
              <w:left w:val="nil"/>
              <w:bottom w:val="single" w:sz="4" w:space="0" w:color="auto"/>
              <w:right w:val="nil"/>
            </w:tcBorders>
            <w:shd w:val="clear" w:color="auto" w:fill="auto"/>
            <w:noWrap/>
            <w:vAlign w:val="center"/>
            <w:hideMark/>
          </w:tcPr>
          <w:p w:rsidR="00B37176" w:rsidRPr="00B37176" w:rsidRDefault="00B37176" w:rsidP="00B37176">
            <w:pPr>
              <w:spacing w:after="0"/>
              <w:rPr>
                <w:rFonts w:ascii="Arial" w:hAnsi="Arial" w:cs="Arial"/>
              </w:rPr>
            </w:pPr>
            <w:r w:rsidRPr="00B37176">
              <w:rPr>
                <w:rFonts w:ascii="Arial" w:hAnsi="Arial" w:cs="Arial"/>
              </w:rPr>
              <w:t>53%</w:t>
            </w: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B37176" w:rsidRPr="00B37176" w:rsidRDefault="00B37176" w:rsidP="00B37176">
            <w:pPr>
              <w:spacing w:after="0"/>
              <w:rPr>
                <w:rFonts w:ascii="Arial" w:hAnsi="Arial" w:cs="Arial"/>
              </w:rPr>
            </w:pPr>
            <w:r w:rsidRPr="00B37176">
              <w:rPr>
                <w:rFonts w:ascii="Arial" w:hAnsi="Arial" w:cs="Arial"/>
              </w:rPr>
              <w:t>48%</w:t>
            </w:r>
          </w:p>
        </w:tc>
        <w:tc>
          <w:tcPr>
            <w:tcW w:w="1276" w:type="dxa"/>
            <w:tcBorders>
              <w:top w:val="nil"/>
              <w:left w:val="nil"/>
              <w:bottom w:val="single" w:sz="4" w:space="0" w:color="auto"/>
              <w:right w:val="single" w:sz="8" w:space="0" w:color="auto"/>
            </w:tcBorders>
            <w:shd w:val="clear" w:color="auto" w:fill="auto"/>
            <w:noWrap/>
            <w:vAlign w:val="center"/>
            <w:hideMark/>
          </w:tcPr>
          <w:p w:rsidR="00B37176" w:rsidRPr="00B37176" w:rsidRDefault="00B37176" w:rsidP="00B37176">
            <w:pPr>
              <w:spacing w:after="0"/>
              <w:rPr>
                <w:rFonts w:ascii="Arial" w:hAnsi="Arial" w:cs="Arial"/>
              </w:rPr>
            </w:pPr>
            <w:r w:rsidRPr="00B37176">
              <w:rPr>
                <w:rFonts w:ascii="Arial" w:hAnsi="Arial" w:cs="Arial"/>
              </w:rPr>
              <w:t>52%</w:t>
            </w:r>
          </w:p>
        </w:tc>
      </w:tr>
      <w:tr w:rsidR="00B37176"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B37176" w:rsidRPr="00AD165E" w:rsidRDefault="00B37176" w:rsidP="00B37176">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4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B37176" w:rsidRPr="00B37176" w:rsidRDefault="00B37176" w:rsidP="00B37176">
            <w:pPr>
              <w:spacing w:after="0"/>
              <w:rPr>
                <w:rFonts w:ascii="Arial" w:hAnsi="Arial" w:cs="Arial"/>
              </w:rPr>
            </w:pPr>
            <w:r w:rsidRPr="00B37176">
              <w:rPr>
                <w:rFonts w:ascii="Arial" w:hAnsi="Arial" w:cs="Arial"/>
              </w:rPr>
              <w:t>54%</w:t>
            </w:r>
          </w:p>
        </w:tc>
        <w:tc>
          <w:tcPr>
            <w:tcW w:w="1276" w:type="dxa"/>
            <w:tcBorders>
              <w:top w:val="nil"/>
              <w:left w:val="nil"/>
              <w:bottom w:val="single" w:sz="4" w:space="0" w:color="auto"/>
              <w:right w:val="nil"/>
            </w:tcBorders>
            <w:shd w:val="clear" w:color="auto" w:fill="auto"/>
            <w:noWrap/>
            <w:vAlign w:val="center"/>
            <w:hideMark/>
          </w:tcPr>
          <w:p w:rsidR="00B37176" w:rsidRPr="00B37176" w:rsidRDefault="00B37176" w:rsidP="00B37176">
            <w:pPr>
              <w:spacing w:after="0"/>
              <w:rPr>
                <w:rFonts w:ascii="Arial" w:hAnsi="Arial" w:cs="Arial"/>
              </w:rPr>
            </w:pPr>
            <w:r w:rsidRPr="00B37176">
              <w:rPr>
                <w:rFonts w:ascii="Arial" w:hAnsi="Arial" w:cs="Arial"/>
              </w:rPr>
              <w:t>53%</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B37176" w:rsidRPr="00B37176" w:rsidRDefault="00B37176" w:rsidP="00B37176">
            <w:pPr>
              <w:spacing w:after="0"/>
              <w:rPr>
                <w:rFonts w:ascii="Arial" w:hAnsi="Arial" w:cs="Arial"/>
              </w:rPr>
            </w:pPr>
            <w:r w:rsidRPr="00B37176">
              <w:rPr>
                <w:rFonts w:ascii="Arial" w:hAnsi="Arial" w:cs="Arial"/>
              </w:rPr>
              <w:t>52%</w:t>
            </w:r>
          </w:p>
        </w:tc>
        <w:tc>
          <w:tcPr>
            <w:tcW w:w="1276" w:type="dxa"/>
            <w:tcBorders>
              <w:top w:val="nil"/>
              <w:left w:val="nil"/>
              <w:bottom w:val="single" w:sz="4" w:space="0" w:color="auto"/>
              <w:right w:val="nil"/>
            </w:tcBorders>
            <w:shd w:val="clear" w:color="auto" w:fill="auto"/>
            <w:noWrap/>
            <w:vAlign w:val="center"/>
            <w:hideMark/>
          </w:tcPr>
          <w:p w:rsidR="00B37176" w:rsidRPr="00B37176" w:rsidRDefault="00B37176" w:rsidP="00B37176">
            <w:pPr>
              <w:spacing w:after="0"/>
              <w:rPr>
                <w:rFonts w:ascii="Arial" w:hAnsi="Arial" w:cs="Arial"/>
              </w:rPr>
            </w:pPr>
            <w:r w:rsidRPr="00B37176">
              <w:rPr>
                <w:rFonts w:ascii="Arial" w:hAnsi="Arial" w:cs="Arial"/>
              </w:rPr>
              <w:t>49%</w:t>
            </w: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B37176" w:rsidRPr="00B37176" w:rsidRDefault="00B37176" w:rsidP="00B37176">
            <w:pPr>
              <w:spacing w:after="0"/>
              <w:rPr>
                <w:rFonts w:ascii="Arial" w:hAnsi="Arial" w:cs="Arial"/>
              </w:rPr>
            </w:pPr>
            <w:r w:rsidRPr="00B37176">
              <w:rPr>
                <w:rFonts w:ascii="Arial" w:hAnsi="Arial" w:cs="Arial"/>
              </w:rPr>
              <w:t>50%</w:t>
            </w:r>
          </w:p>
        </w:tc>
        <w:tc>
          <w:tcPr>
            <w:tcW w:w="1276" w:type="dxa"/>
            <w:tcBorders>
              <w:top w:val="nil"/>
              <w:left w:val="nil"/>
              <w:bottom w:val="single" w:sz="4" w:space="0" w:color="auto"/>
              <w:right w:val="single" w:sz="8" w:space="0" w:color="auto"/>
            </w:tcBorders>
            <w:shd w:val="clear" w:color="auto" w:fill="auto"/>
            <w:noWrap/>
            <w:hideMark/>
          </w:tcPr>
          <w:p w:rsidR="00B37176" w:rsidRPr="00B37176" w:rsidRDefault="00B37176" w:rsidP="00B37176">
            <w:pPr>
              <w:spacing w:after="0" w:line="240" w:lineRule="auto"/>
              <w:rPr>
                <w:rFonts w:ascii="Arial" w:eastAsia="Times New Roman" w:hAnsi="Arial" w:cs="Arial"/>
                <w:color w:val="000000"/>
                <w:lang w:eastAsia="en-AU"/>
              </w:rPr>
            </w:pPr>
          </w:p>
        </w:tc>
      </w:tr>
      <w:tr w:rsidR="00B37176"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B37176" w:rsidRPr="00AD165E" w:rsidRDefault="00B37176" w:rsidP="00B37176">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3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B37176" w:rsidRPr="00B37176" w:rsidRDefault="00B37176" w:rsidP="00B37176">
            <w:pPr>
              <w:spacing w:after="0"/>
              <w:rPr>
                <w:rFonts w:ascii="Arial" w:hAnsi="Arial" w:cs="Arial"/>
              </w:rPr>
            </w:pPr>
            <w:r w:rsidRPr="00B37176">
              <w:rPr>
                <w:rFonts w:ascii="Arial" w:hAnsi="Arial" w:cs="Arial"/>
              </w:rPr>
              <w:t>53%</w:t>
            </w:r>
          </w:p>
        </w:tc>
        <w:tc>
          <w:tcPr>
            <w:tcW w:w="1276" w:type="dxa"/>
            <w:tcBorders>
              <w:top w:val="nil"/>
              <w:left w:val="nil"/>
              <w:bottom w:val="single" w:sz="4" w:space="0" w:color="auto"/>
              <w:right w:val="nil"/>
            </w:tcBorders>
            <w:shd w:val="clear" w:color="auto" w:fill="auto"/>
            <w:noWrap/>
            <w:vAlign w:val="center"/>
            <w:hideMark/>
          </w:tcPr>
          <w:p w:rsidR="00B37176" w:rsidRPr="00B37176" w:rsidRDefault="00B37176" w:rsidP="00B37176">
            <w:pPr>
              <w:spacing w:after="0"/>
              <w:rPr>
                <w:rFonts w:ascii="Arial" w:hAnsi="Arial" w:cs="Arial"/>
              </w:rPr>
            </w:pPr>
            <w:r w:rsidRPr="00B37176">
              <w:rPr>
                <w:rFonts w:ascii="Arial" w:hAnsi="Arial" w:cs="Arial"/>
              </w:rPr>
              <w:t>52%</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B37176" w:rsidRPr="00B37176" w:rsidRDefault="00B37176" w:rsidP="00B37176">
            <w:pPr>
              <w:spacing w:after="0"/>
              <w:rPr>
                <w:rFonts w:ascii="Arial" w:hAnsi="Arial" w:cs="Arial"/>
              </w:rPr>
            </w:pPr>
            <w:r w:rsidRPr="00B37176">
              <w:rPr>
                <w:rFonts w:ascii="Arial" w:hAnsi="Arial" w:cs="Arial"/>
              </w:rPr>
              <w:t>50%</w:t>
            </w:r>
          </w:p>
        </w:tc>
        <w:tc>
          <w:tcPr>
            <w:tcW w:w="1276" w:type="dxa"/>
            <w:tcBorders>
              <w:top w:val="nil"/>
              <w:left w:val="nil"/>
              <w:bottom w:val="single" w:sz="4" w:space="0" w:color="auto"/>
              <w:right w:val="nil"/>
            </w:tcBorders>
            <w:shd w:val="clear" w:color="auto" w:fill="auto"/>
            <w:noWrap/>
            <w:vAlign w:val="center"/>
            <w:hideMark/>
          </w:tcPr>
          <w:p w:rsidR="00B37176" w:rsidRPr="00B37176" w:rsidRDefault="00B37176" w:rsidP="00B37176">
            <w:pPr>
              <w:spacing w:after="0"/>
              <w:rPr>
                <w:rFonts w:ascii="Arial" w:hAnsi="Arial" w:cs="Arial"/>
              </w:rPr>
            </w:pPr>
            <w:r w:rsidRPr="00B37176">
              <w:rPr>
                <w:rFonts w:ascii="Arial" w:hAnsi="Arial" w:cs="Arial"/>
              </w:rPr>
              <w:t>49%</w:t>
            </w:r>
          </w:p>
        </w:tc>
        <w:tc>
          <w:tcPr>
            <w:tcW w:w="1275" w:type="dxa"/>
            <w:tcBorders>
              <w:top w:val="nil"/>
              <w:left w:val="single" w:sz="8" w:space="0" w:color="auto"/>
              <w:bottom w:val="single" w:sz="4" w:space="0" w:color="auto"/>
              <w:right w:val="single" w:sz="8" w:space="0" w:color="auto"/>
            </w:tcBorders>
            <w:shd w:val="clear" w:color="auto" w:fill="auto"/>
            <w:noWrap/>
            <w:hideMark/>
          </w:tcPr>
          <w:p w:rsidR="00B37176" w:rsidRPr="00B37176" w:rsidRDefault="00B37176" w:rsidP="00B37176">
            <w:pPr>
              <w:spacing w:after="0" w:line="240" w:lineRule="auto"/>
              <w:rPr>
                <w:rFonts w:ascii="Arial" w:eastAsia="Times New Roman" w:hAnsi="Arial" w:cs="Arial"/>
                <w:color w:val="000000"/>
                <w:lang w:eastAsia="en-AU"/>
              </w:rPr>
            </w:pPr>
          </w:p>
        </w:tc>
        <w:tc>
          <w:tcPr>
            <w:tcW w:w="1276" w:type="dxa"/>
            <w:tcBorders>
              <w:top w:val="nil"/>
              <w:left w:val="nil"/>
              <w:bottom w:val="single" w:sz="4" w:space="0" w:color="auto"/>
              <w:right w:val="single" w:sz="8" w:space="0" w:color="auto"/>
            </w:tcBorders>
            <w:shd w:val="clear" w:color="auto" w:fill="auto"/>
            <w:noWrap/>
            <w:vAlign w:val="bottom"/>
            <w:hideMark/>
          </w:tcPr>
          <w:p w:rsidR="00B37176" w:rsidRPr="00B37176" w:rsidRDefault="00B37176" w:rsidP="00B37176">
            <w:pPr>
              <w:spacing w:after="0" w:line="240" w:lineRule="auto"/>
              <w:rPr>
                <w:rFonts w:ascii="Arial" w:eastAsia="Times New Roman" w:hAnsi="Arial" w:cs="Arial"/>
                <w:color w:val="000000"/>
                <w:lang w:eastAsia="en-AU"/>
              </w:rPr>
            </w:pPr>
          </w:p>
        </w:tc>
      </w:tr>
      <w:tr w:rsidR="00B37176" w:rsidRPr="00AD165E" w:rsidTr="00632614">
        <w:trPr>
          <w:trHeight w:val="278"/>
        </w:trPr>
        <w:tc>
          <w:tcPr>
            <w:tcW w:w="1500" w:type="dxa"/>
            <w:tcBorders>
              <w:top w:val="nil"/>
              <w:left w:val="single" w:sz="8" w:space="0" w:color="auto"/>
              <w:bottom w:val="single" w:sz="4" w:space="0" w:color="auto"/>
              <w:right w:val="nil"/>
            </w:tcBorders>
            <w:shd w:val="clear" w:color="auto" w:fill="auto"/>
            <w:noWrap/>
            <w:vAlign w:val="bottom"/>
            <w:hideMark/>
          </w:tcPr>
          <w:p w:rsidR="00B37176" w:rsidRPr="00AD165E" w:rsidRDefault="00B37176" w:rsidP="00B37176">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2 years</w:t>
            </w:r>
          </w:p>
        </w:tc>
        <w:tc>
          <w:tcPr>
            <w:tcW w:w="1325" w:type="dxa"/>
            <w:tcBorders>
              <w:top w:val="nil"/>
              <w:left w:val="single" w:sz="8" w:space="0" w:color="auto"/>
              <w:bottom w:val="single" w:sz="4" w:space="0" w:color="auto"/>
              <w:right w:val="single" w:sz="8" w:space="0" w:color="auto"/>
            </w:tcBorders>
            <w:shd w:val="clear" w:color="auto" w:fill="auto"/>
            <w:noWrap/>
            <w:vAlign w:val="center"/>
            <w:hideMark/>
          </w:tcPr>
          <w:p w:rsidR="00B37176" w:rsidRPr="00B37176" w:rsidRDefault="00B37176" w:rsidP="00B37176">
            <w:pPr>
              <w:spacing w:after="0"/>
              <w:rPr>
                <w:rFonts w:ascii="Arial" w:hAnsi="Arial" w:cs="Arial"/>
              </w:rPr>
            </w:pPr>
            <w:r w:rsidRPr="00B37176">
              <w:rPr>
                <w:rFonts w:ascii="Arial" w:hAnsi="Arial" w:cs="Arial"/>
              </w:rPr>
              <w:t>51%</w:t>
            </w:r>
          </w:p>
        </w:tc>
        <w:tc>
          <w:tcPr>
            <w:tcW w:w="1276" w:type="dxa"/>
            <w:tcBorders>
              <w:top w:val="nil"/>
              <w:left w:val="nil"/>
              <w:bottom w:val="single" w:sz="4" w:space="0" w:color="auto"/>
              <w:right w:val="nil"/>
            </w:tcBorders>
            <w:shd w:val="clear" w:color="auto" w:fill="auto"/>
            <w:noWrap/>
            <w:vAlign w:val="center"/>
            <w:hideMark/>
          </w:tcPr>
          <w:p w:rsidR="00B37176" w:rsidRPr="00B37176" w:rsidRDefault="00B37176" w:rsidP="00B37176">
            <w:pPr>
              <w:spacing w:after="0"/>
              <w:rPr>
                <w:rFonts w:ascii="Arial" w:hAnsi="Arial" w:cs="Arial"/>
              </w:rPr>
            </w:pPr>
            <w:r w:rsidRPr="00B37176">
              <w:rPr>
                <w:rFonts w:ascii="Arial" w:hAnsi="Arial" w:cs="Arial"/>
              </w:rPr>
              <w:t>50%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B37176" w:rsidRPr="00B37176" w:rsidRDefault="00B37176" w:rsidP="00B37176">
            <w:pPr>
              <w:spacing w:after="0"/>
              <w:rPr>
                <w:rFonts w:ascii="Arial" w:hAnsi="Arial" w:cs="Arial"/>
              </w:rPr>
            </w:pPr>
            <w:r w:rsidRPr="00B37176">
              <w:rPr>
                <w:rFonts w:ascii="Arial" w:hAnsi="Arial" w:cs="Arial"/>
              </w:rPr>
              <w:t>48%</w:t>
            </w:r>
          </w:p>
        </w:tc>
        <w:tc>
          <w:tcPr>
            <w:tcW w:w="1276" w:type="dxa"/>
            <w:tcBorders>
              <w:top w:val="nil"/>
              <w:left w:val="nil"/>
              <w:bottom w:val="single" w:sz="4" w:space="0" w:color="auto"/>
              <w:right w:val="nil"/>
            </w:tcBorders>
            <w:shd w:val="clear" w:color="auto" w:fill="auto"/>
            <w:noWrap/>
            <w:hideMark/>
          </w:tcPr>
          <w:p w:rsidR="00B37176" w:rsidRPr="00B37176" w:rsidRDefault="00B37176" w:rsidP="00B37176">
            <w:pPr>
              <w:spacing w:after="0" w:line="240" w:lineRule="auto"/>
              <w:rPr>
                <w:rFonts w:ascii="Arial" w:eastAsia="Times New Roman" w:hAnsi="Arial" w:cs="Arial"/>
                <w:color w:val="000000"/>
                <w:lang w:eastAsia="en-AU"/>
              </w:rPr>
            </w:pP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rsidR="00B37176" w:rsidRPr="00B37176" w:rsidRDefault="00B37176" w:rsidP="00B37176">
            <w:pPr>
              <w:spacing w:after="0" w:line="240" w:lineRule="auto"/>
              <w:rPr>
                <w:rFonts w:ascii="Arial" w:eastAsia="Times New Roman" w:hAnsi="Arial" w:cs="Arial"/>
                <w:color w:val="000000"/>
                <w:lang w:eastAsia="en-AU"/>
              </w:rPr>
            </w:pPr>
          </w:p>
        </w:tc>
        <w:tc>
          <w:tcPr>
            <w:tcW w:w="1276" w:type="dxa"/>
            <w:tcBorders>
              <w:top w:val="nil"/>
              <w:left w:val="nil"/>
              <w:bottom w:val="single" w:sz="4" w:space="0" w:color="auto"/>
              <w:right w:val="single" w:sz="8" w:space="0" w:color="auto"/>
            </w:tcBorders>
            <w:shd w:val="clear" w:color="auto" w:fill="auto"/>
            <w:noWrap/>
            <w:vAlign w:val="center"/>
            <w:hideMark/>
          </w:tcPr>
          <w:p w:rsidR="00B37176" w:rsidRPr="00B37176" w:rsidRDefault="00B37176" w:rsidP="00B37176">
            <w:pPr>
              <w:spacing w:after="0" w:line="240" w:lineRule="auto"/>
              <w:rPr>
                <w:rFonts w:ascii="Arial" w:eastAsia="Times New Roman" w:hAnsi="Arial" w:cs="Arial"/>
                <w:color w:val="000000"/>
                <w:lang w:eastAsia="en-AU"/>
              </w:rPr>
            </w:pPr>
          </w:p>
        </w:tc>
      </w:tr>
      <w:tr w:rsidR="00B37176" w:rsidRPr="00AD165E" w:rsidTr="00632614">
        <w:trPr>
          <w:trHeight w:val="285"/>
        </w:trPr>
        <w:tc>
          <w:tcPr>
            <w:tcW w:w="1500" w:type="dxa"/>
            <w:tcBorders>
              <w:top w:val="nil"/>
              <w:left w:val="single" w:sz="8" w:space="0" w:color="auto"/>
              <w:bottom w:val="single" w:sz="8" w:space="0" w:color="auto"/>
              <w:right w:val="nil"/>
            </w:tcBorders>
            <w:shd w:val="clear" w:color="auto" w:fill="auto"/>
            <w:noWrap/>
            <w:vAlign w:val="bottom"/>
            <w:hideMark/>
          </w:tcPr>
          <w:p w:rsidR="00B37176" w:rsidRPr="00AD165E" w:rsidRDefault="00B37176" w:rsidP="00B37176">
            <w:pPr>
              <w:spacing w:after="0" w:line="240" w:lineRule="auto"/>
              <w:rPr>
                <w:rFonts w:ascii="Arial" w:eastAsia="Times New Roman" w:hAnsi="Arial" w:cs="Arial"/>
                <w:b/>
                <w:bCs/>
                <w:color w:val="000000"/>
                <w:lang w:eastAsia="en-AU"/>
              </w:rPr>
            </w:pPr>
            <w:r w:rsidRPr="00AD165E">
              <w:rPr>
                <w:rFonts w:ascii="Arial" w:eastAsia="Times New Roman" w:hAnsi="Arial" w:cs="Arial"/>
                <w:b/>
                <w:bCs/>
                <w:color w:val="000000"/>
                <w:lang w:eastAsia="en-AU"/>
              </w:rPr>
              <w:t>1 year</w:t>
            </w:r>
          </w:p>
        </w:tc>
        <w:tc>
          <w:tcPr>
            <w:tcW w:w="1325" w:type="dxa"/>
            <w:tcBorders>
              <w:top w:val="nil"/>
              <w:left w:val="single" w:sz="8" w:space="0" w:color="auto"/>
              <w:bottom w:val="single" w:sz="8" w:space="0" w:color="auto"/>
              <w:right w:val="single" w:sz="8" w:space="0" w:color="auto"/>
            </w:tcBorders>
            <w:shd w:val="clear" w:color="auto" w:fill="auto"/>
            <w:noWrap/>
            <w:vAlign w:val="center"/>
            <w:hideMark/>
          </w:tcPr>
          <w:p w:rsidR="00B37176" w:rsidRPr="00B37176" w:rsidRDefault="00B37176" w:rsidP="00B37176">
            <w:pPr>
              <w:spacing w:after="0"/>
              <w:rPr>
                <w:rFonts w:ascii="Arial" w:hAnsi="Arial" w:cs="Arial"/>
              </w:rPr>
            </w:pPr>
            <w:r w:rsidRPr="00B37176">
              <w:rPr>
                <w:rFonts w:ascii="Arial" w:hAnsi="Arial" w:cs="Arial"/>
              </w:rPr>
              <w:t>47%</w:t>
            </w:r>
          </w:p>
        </w:tc>
        <w:tc>
          <w:tcPr>
            <w:tcW w:w="1276" w:type="dxa"/>
            <w:tcBorders>
              <w:top w:val="nil"/>
              <w:left w:val="nil"/>
              <w:bottom w:val="single" w:sz="8" w:space="0" w:color="auto"/>
              <w:right w:val="nil"/>
            </w:tcBorders>
            <w:shd w:val="clear" w:color="auto" w:fill="auto"/>
            <w:noWrap/>
            <w:vAlign w:val="center"/>
            <w:hideMark/>
          </w:tcPr>
          <w:p w:rsidR="00B37176" w:rsidRPr="00B37176" w:rsidRDefault="00B37176" w:rsidP="00B37176">
            <w:pPr>
              <w:spacing w:after="0"/>
              <w:rPr>
                <w:rFonts w:ascii="Arial" w:hAnsi="Arial" w:cs="Arial"/>
              </w:rPr>
            </w:pPr>
            <w:r w:rsidRPr="00B37176">
              <w:rPr>
                <w:rFonts w:ascii="Arial" w:hAnsi="Arial" w:cs="Arial"/>
              </w:rPr>
              <w:t>46%</w:t>
            </w:r>
          </w:p>
        </w:tc>
        <w:tc>
          <w:tcPr>
            <w:tcW w:w="1276" w:type="dxa"/>
            <w:tcBorders>
              <w:top w:val="nil"/>
              <w:left w:val="single" w:sz="8" w:space="0" w:color="auto"/>
              <w:bottom w:val="single" w:sz="8" w:space="0" w:color="auto"/>
              <w:right w:val="single" w:sz="8" w:space="0" w:color="auto"/>
            </w:tcBorders>
            <w:shd w:val="clear" w:color="auto" w:fill="auto"/>
            <w:noWrap/>
            <w:hideMark/>
          </w:tcPr>
          <w:p w:rsidR="00B37176" w:rsidRPr="00B37176" w:rsidRDefault="00B37176" w:rsidP="00B37176">
            <w:pPr>
              <w:spacing w:after="0" w:line="240" w:lineRule="auto"/>
              <w:rPr>
                <w:rFonts w:ascii="Arial" w:eastAsia="Times New Roman" w:hAnsi="Arial" w:cs="Arial"/>
                <w:color w:val="000000"/>
                <w:lang w:eastAsia="en-AU"/>
              </w:rPr>
            </w:pPr>
          </w:p>
        </w:tc>
        <w:tc>
          <w:tcPr>
            <w:tcW w:w="1276" w:type="dxa"/>
            <w:tcBorders>
              <w:top w:val="nil"/>
              <w:left w:val="nil"/>
              <w:bottom w:val="single" w:sz="8" w:space="0" w:color="auto"/>
              <w:right w:val="nil"/>
            </w:tcBorders>
            <w:shd w:val="clear" w:color="auto" w:fill="auto"/>
            <w:noWrap/>
            <w:vAlign w:val="center"/>
            <w:hideMark/>
          </w:tcPr>
          <w:p w:rsidR="00B37176" w:rsidRPr="00B37176" w:rsidRDefault="00B37176" w:rsidP="00B37176">
            <w:pPr>
              <w:spacing w:after="0" w:line="240" w:lineRule="auto"/>
              <w:rPr>
                <w:rFonts w:ascii="Arial" w:eastAsia="Times New Roman" w:hAnsi="Arial" w:cs="Arial"/>
                <w:color w:val="000000"/>
                <w:lang w:eastAsia="en-AU"/>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rsidR="00B37176" w:rsidRPr="00B37176" w:rsidRDefault="00B37176" w:rsidP="00B37176">
            <w:pPr>
              <w:spacing w:after="0" w:line="240" w:lineRule="auto"/>
              <w:rPr>
                <w:rFonts w:ascii="Arial" w:eastAsia="Times New Roman" w:hAnsi="Arial" w:cs="Arial"/>
                <w:color w:val="000000"/>
                <w:lang w:eastAsia="en-AU"/>
              </w:rPr>
            </w:pPr>
          </w:p>
        </w:tc>
        <w:tc>
          <w:tcPr>
            <w:tcW w:w="1276" w:type="dxa"/>
            <w:tcBorders>
              <w:top w:val="nil"/>
              <w:left w:val="nil"/>
              <w:bottom w:val="single" w:sz="8" w:space="0" w:color="auto"/>
              <w:right w:val="single" w:sz="8" w:space="0" w:color="auto"/>
            </w:tcBorders>
            <w:shd w:val="clear" w:color="auto" w:fill="auto"/>
            <w:noWrap/>
            <w:hideMark/>
          </w:tcPr>
          <w:p w:rsidR="00B37176" w:rsidRPr="00B37176" w:rsidRDefault="00B37176" w:rsidP="00B37176">
            <w:pPr>
              <w:spacing w:after="0" w:line="240" w:lineRule="auto"/>
              <w:rPr>
                <w:rFonts w:ascii="Arial" w:eastAsia="Times New Roman" w:hAnsi="Arial" w:cs="Arial"/>
                <w:color w:val="000000"/>
                <w:lang w:eastAsia="en-AU"/>
              </w:rPr>
            </w:pPr>
          </w:p>
        </w:tc>
      </w:tr>
    </w:tbl>
    <w:p w:rsidR="00550D6D" w:rsidRDefault="00550D6D" w:rsidP="00412BE9">
      <w:pPr>
        <w:spacing w:after="240"/>
        <w:rPr>
          <w:rFonts w:cstheme="minorHAnsi"/>
        </w:rPr>
      </w:pPr>
    </w:p>
    <w:p w:rsidR="00B83265" w:rsidRDefault="0080201D" w:rsidP="00B83265">
      <w:pPr>
        <w:spacing w:after="240"/>
        <w:rPr>
          <w:rFonts w:cstheme="minorHAnsi"/>
        </w:rPr>
      </w:pPr>
      <w:r>
        <w:rPr>
          <w:rFonts w:cstheme="minorHAnsi"/>
        </w:rPr>
        <w:t xml:space="preserve">Footnote 1: </w:t>
      </w:r>
      <w:r w:rsidR="00B83265" w:rsidRPr="0084525C">
        <w:rPr>
          <w:rFonts w:cstheme="minorHAnsi"/>
        </w:rPr>
        <w:t xml:space="preserve">For more information on health and wellbeing outcomes see: </w:t>
      </w:r>
      <w:hyperlink r:id="rId14" w:history="1">
        <w:r w:rsidR="00B83265" w:rsidRPr="00E568D1">
          <w:rPr>
            <w:rStyle w:val="Hyperlink"/>
            <w:rFonts w:cstheme="minorHAnsi"/>
          </w:rPr>
          <w:t>https://data.ndis.gov.au/reports-and-analyses/outcomes-and-goals/health-and-wellbeing-ndis-participants-and-their-families-and-carers</w:t>
        </w:r>
      </w:hyperlink>
      <w:r w:rsidR="00B83265">
        <w:rPr>
          <w:rFonts w:cstheme="minorHAnsi"/>
        </w:rPr>
        <w:t>.</w:t>
      </w:r>
    </w:p>
    <w:p w:rsidR="00B83265" w:rsidRPr="002817DE" w:rsidRDefault="00B83265" w:rsidP="002817DE">
      <w:pPr>
        <w:pStyle w:val="Heading2"/>
      </w:pPr>
      <w:bookmarkStart w:id="82" w:name="_Toc121151454"/>
      <w:r w:rsidRPr="002817DE">
        <w:t>Slide 72: Participants aged 15 and over – Health and wellbeing</w:t>
      </w:r>
      <w:r w:rsidR="0080201D">
        <w:t xml:space="preserve"> (Footnote 1)</w:t>
      </w:r>
      <w:r w:rsidRPr="002817DE">
        <w:t>: Self-rated health, regular doctor and hospital visits (benchmark)</w:t>
      </w:r>
      <w:bookmarkEnd w:id="82"/>
    </w:p>
    <w:p w:rsidR="00B83265" w:rsidRPr="00715092" w:rsidRDefault="00B83265" w:rsidP="00B83265">
      <w:pPr>
        <w:spacing w:after="240"/>
        <w:rPr>
          <w:rFonts w:cstheme="minorHAnsi"/>
        </w:rPr>
      </w:pPr>
      <w:r w:rsidRPr="00715092">
        <w:rPr>
          <w:rFonts w:cstheme="minorHAnsi"/>
        </w:rPr>
        <w:t xml:space="preserve">This slide benchmarks participants’ </w:t>
      </w:r>
      <w:r>
        <w:rPr>
          <w:rFonts w:cstheme="minorHAnsi"/>
        </w:rPr>
        <w:t xml:space="preserve">health and wellbeing outcomes in self-rated health, regular doctor and hospital visits, </w:t>
      </w:r>
      <w:r w:rsidRPr="00715092">
        <w:rPr>
          <w:rFonts w:cstheme="minorHAnsi"/>
        </w:rPr>
        <w:t>relative to those of the Australian population.</w:t>
      </w:r>
    </w:p>
    <w:p w:rsidR="00B83265" w:rsidRDefault="00B83265" w:rsidP="00B83265">
      <w:pPr>
        <w:spacing w:after="240"/>
      </w:pPr>
      <w:r>
        <w:t>Despite improvements in some indicators, participants’ health and wellbeing is generally poorer than for the Australian population, across a number of key indicators. Participant self-rated health has been deteriorating, both longitudinally (i.e. for a given cohort over time) and cross-sectionally (i.e. later entrants appear to have worse outcomes). Longitudinally, the percentage rating their health as “Excellent”, “Very Good” or “Good” decreased by 6.2 percentage points over five years to 51.6%, compared to 86.7% for the Australian population overall1. However, participants are more likely than the general population to have a regular doctor. There has been a gradual increase in the percentage with a regular doctor, from 85.1% to 93.9% over five years, which is substantially higher than the Australian population average of 65.6%.</w:t>
      </w:r>
    </w:p>
    <w:p w:rsidR="00B83265" w:rsidRDefault="00B83265" w:rsidP="00B83265">
      <w:pPr>
        <w:spacing w:after="240"/>
      </w:pPr>
      <w:r>
        <w:lastRenderedPageBreak/>
        <w:t>The percentage of participants who have attended hospital in the past 12 months decreased over five years from 36.4% to 27.8%. Despite this improvement, the percentage remains higher than for the general Australian population, at 10.5%.</w:t>
      </w:r>
    </w:p>
    <w:p w:rsidR="00B83265" w:rsidRDefault="00B83265" w:rsidP="00B83265">
      <w:pPr>
        <w:spacing w:after="240"/>
        <w:rPr>
          <w:rFonts w:cstheme="minorHAnsi"/>
        </w:rPr>
      </w:pPr>
      <w:r>
        <w:rPr>
          <w:rFonts w:cstheme="minorHAnsi"/>
        </w:rPr>
        <w:t xml:space="preserve">Three charts shows </w:t>
      </w:r>
      <w:r w:rsidRPr="00AD4C8D">
        <w:rPr>
          <w:rFonts w:cstheme="minorHAnsi"/>
        </w:rPr>
        <w:t xml:space="preserve">the percentage </w:t>
      </w:r>
      <w:r>
        <w:rPr>
          <w:rFonts w:cstheme="minorHAnsi"/>
        </w:rPr>
        <w:t xml:space="preserve">who </w:t>
      </w:r>
      <w:r w:rsidRPr="0084525C">
        <w:rPr>
          <w:rFonts w:cstheme="minorHAnsi"/>
        </w:rPr>
        <w:t>rate their health as excellent, very good or good</w:t>
      </w:r>
      <w:r>
        <w:rPr>
          <w:rFonts w:cstheme="minorHAnsi"/>
        </w:rPr>
        <w:t xml:space="preserve">, who have a regular doctors and who attended hospital in the last 12 months </w:t>
      </w:r>
      <w:r w:rsidRPr="00AD4C8D">
        <w:rPr>
          <w:rFonts w:cstheme="minorHAnsi"/>
        </w:rPr>
        <w:t>at baseline and at subsequent reviews, separately for participants in the five years, four years, three years, two years or one year</w:t>
      </w:r>
      <w:r w:rsidR="00F60946">
        <w:rPr>
          <w:rFonts w:cstheme="minorHAnsi"/>
        </w:rPr>
        <w:t xml:space="preserve"> cohorts</w:t>
      </w:r>
      <w:r w:rsidRPr="00AD4C8D">
        <w:rPr>
          <w:rFonts w:cstheme="minorHAnsi"/>
        </w:rPr>
        <w:t>.</w:t>
      </w:r>
      <w:r>
        <w:rPr>
          <w:rFonts w:cstheme="minorHAnsi"/>
        </w:rPr>
        <w:t xml:space="preserve"> </w:t>
      </w:r>
      <w:r w:rsidRPr="00715092">
        <w:rPr>
          <w:rFonts w:cstheme="minorHAnsi"/>
        </w:rPr>
        <w:t>Benchmarks for the Australian population are also shown.</w:t>
      </w:r>
    </w:p>
    <w:p w:rsidR="00F60946" w:rsidRPr="00AD4C8D" w:rsidRDefault="00F60946" w:rsidP="00B83265">
      <w:pPr>
        <w:spacing w:after="240"/>
        <w:rPr>
          <w:rFonts w:cstheme="minorHAnsi"/>
        </w:rPr>
      </w:pPr>
      <w:r>
        <w:rPr>
          <w:rFonts w:cstheme="minorHAnsi"/>
        </w:rPr>
        <w:t>For PSto14, analysed by time since first in P15to24, otherwise by time in Scheme.</w:t>
      </w:r>
    </w:p>
    <w:p w:rsidR="00B83265" w:rsidRDefault="00B83265" w:rsidP="00B83265">
      <w:pPr>
        <w:spacing w:after="240"/>
        <w:rPr>
          <w:rFonts w:cstheme="minorHAnsi"/>
        </w:rPr>
      </w:pPr>
      <w:r>
        <w:rPr>
          <w:rFonts w:cstheme="minorHAnsi"/>
        </w:rPr>
        <w:t>Self-rated health</w:t>
      </w:r>
    </w:p>
    <w:tbl>
      <w:tblPr>
        <w:tblpPr w:leftFromText="180" w:rightFromText="180" w:vertAnchor="text" w:tblpY="1"/>
        <w:tblOverlap w:val="never"/>
        <w:tblW w:w="9384" w:type="dxa"/>
        <w:tblLayout w:type="fixed"/>
        <w:tblLook w:val="04A0" w:firstRow="1" w:lastRow="0" w:firstColumn="1" w:lastColumn="0" w:noHBand="0" w:noVBand="1"/>
      </w:tblPr>
      <w:tblGrid>
        <w:gridCol w:w="2197"/>
        <w:gridCol w:w="1197"/>
        <w:gridCol w:w="1198"/>
        <w:gridCol w:w="1198"/>
        <w:gridCol w:w="1198"/>
        <w:gridCol w:w="1198"/>
        <w:gridCol w:w="1198"/>
      </w:tblGrid>
      <w:tr w:rsidR="00B83265" w:rsidRPr="00902625" w:rsidTr="00902625">
        <w:trPr>
          <w:trHeight w:val="282"/>
        </w:trPr>
        <w:tc>
          <w:tcPr>
            <w:tcW w:w="21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83265" w:rsidRPr="00902625" w:rsidRDefault="00B83265" w:rsidP="00902625">
            <w:pPr>
              <w:spacing w:after="0" w:line="240" w:lineRule="auto"/>
              <w:rPr>
                <w:rFonts w:ascii="Arial" w:eastAsia="Times New Roman" w:hAnsi="Arial" w:cs="Arial"/>
                <w:b/>
                <w:bCs/>
                <w:color w:val="000000"/>
                <w:lang w:eastAsia="zh-CN"/>
              </w:rPr>
            </w:pPr>
            <w:r w:rsidRPr="00902625">
              <w:rPr>
                <w:rFonts w:ascii="Arial" w:eastAsia="Times New Roman" w:hAnsi="Arial" w:cs="Arial"/>
                <w:b/>
                <w:bCs/>
                <w:color w:val="000000"/>
                <w:lang w:eastAsia="zh-CN"/>
              </w:rPr>
              <w:t>Cohort</w:t>
            </w:r>
            <w:r w:rsidR="00902625">
              <w:rPr>
                <w:rFonts w:ascii="Arial" w:eastAsia="Times New Roman" w:hAnsi="Arial" w:cs="Arial"/>
                <w:b/>
                <w:bCs/>
                <w:color w:val="000000"/>
                <w:lang w:eastAsia="zh-CN"/>
              </w:rPr>
              <w:t>/Benchmark</w:t>
            </w:r>
          </w:p>
        </w:tc>
        <w:tc>
          <w:tcPr>
            <w:tcW w:w="1197" w:type="dxa"/>
            <w:tcBorders>
              <w:top w:val="single" w:sz="4" w:space="0" w:color="auto"/>
              <w:left w:val="nil"/>
              <w:bottom w:val="single" w:sz="4" w:space="0" w:color="auto"/>
              <w:right w:val="single" w:sz="4" w:space="0" w:color="auto"/>
            </w:tcBorders>
            <w:shd w:val="clear" w:color="000000" w:fill="FFFFFF"/>
            <w:noWrap/>
            <w:vAlign w:val="center"/>
            <w:hideMark/>
          </w:tcPr>
          <w:p w:rsidR="00B83265" w:rsidRPr="00902625" w:rsidRDefault="00B83265" w:rsidP="00902625">
            <w:pPr>
              <w:spacing w:after="0" w:line="240" w:lineRule="auto"/>
              <w:rPr>
                <w:rFonts w:ascii="Arial" w:eastAsia="Times New Roman" w:hAnsi="Arial" w:cs="Arial"/>
                <w:b/>
                <w:bCs/>
                <w:color w:val="000000"/>
                <w:lang w:eastAsia="zh-CN"/>
              </w:rPr>
            </w:pPr>
            <w:r w:rsidRPr="00902625">
              <w:rPr>
                <w:rFonts w:ascii="Arial" w:eastAsia="Times New Roman" w:hAnsi="Arial" w:cs="Arial"/>
                <w:b/>
                <w:bCs/>
                <w:color w:val="000000"/>
                <w:lang w:eastAsia="zh-CN"/>
              </w:rPr>
              <w:t>Baseline</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B83265" w:rsidRPr="00902625" w:rsidRDefault="00B83265" w:rsidP="00902625">
            <w:pPr>
              <w:spacing w:after="0" w:line="240" w:lineRule="auto"/>
              <w:rPr>
                <w:rFonts w:ascii="Arial" w:eastAsia="Times New Roman" w:hAnsi="Arial" w:cs="Arial"/>
                <w:b/>
                <w:bCs/>
                <w:color w:val="000000"/>
                <w:lang w:eastAsia="zh-CN"/>
              </w:rPr>
            </w:pPr>
            <w:r w:rsidRPr="00902625">
              <w:rPr>
                <w:rFonts w:ascii="Arial" w:eastAsia="Times New Roman" w:hAnsi="Arial" w:cs="Arial"/>
                <w:b/>
                <w:bCs/>
                <w:color w:val="000000"/>
                <w:lang w:eastAsia="zh-CN"/>
              </w:rPr>
              <w:t>Review 1</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B83265" w:rsidRPr="00902625" w:rsidRDefault="00B83265" w:rsidP="00902625">
            <w:pPr>
              <w:spacing w:after="0" w:line="240" w:lineRule="auto"/>
              <w:rPr>
                <w:rFonts w:ascii="Arial" w:eastAsia="Times New Roman" w:hAnsi="Arial" w:cs="Arial"/>
                <w:b/>
                <w:bCs/>
                <w:color w:val="000000"/>
                <w:lang w:eastAsia="zh-CN"/>
              </w:rPr>
            </w:pPr>
            <w:r w:rsidRPr="00902625">
              <w:rPr>
                <w:rFonts w:ascii="Arial" w:eastAsia="Times New Roman" w:hAnsi="Arial" w:cs="Arial"/>
                <w:b/>
                <w:bCs/>
                <w:color w:val="000000"/>
                <w:lang w:eastAsia="zh-CN"/>
              </w:rPr>
              <w:t>Review 2</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B83265" w:rsidRPr="00902625" w:rsidRDefault="00B83265" w:rsidP="00902625">
            <w:pPr>
              <w:spacing w:after="0" w:line="240" w:lineRule="auto"/>
              <w:rPr>
                <w:rFonts w:ascii="Arial" w:eastAsia="Times New Roman" w:hAnsi="Arial" w:cs="Arial"/>
                <w:b/>
                <w:bCs/>
                <w:color w:val="000000"/>
                <w:lang w:eastAsia="zh-CN"/>
              </w:rPr>
            </w:pPr>
            <w:r w:rsidRPr="00902625">
              <w:rPr>
                <w:rFonts w:ascii="Arial" w:eastAsia="Times New Roman" w:hAnsi="Arial" w:cs="Arial"/>
                <w:b/>
                <w:bCs/>
                <w:color w:val="000000"/>
                <w:lang w:eastAsia="zh-CN"/>
              </w:rPr>
              <w:t>Review 3</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B83265" w:rsidRPr="00902625" w:rsidRDefault="00B83265" w:rsidP="00902625">
            <w:pPr>
              <w:spacing w:after="0" w:line="240" w:lineRule="auto"/>
              <w:rPr>
                <w:rFonts w:ascii="Arial" w:eastAsia="Times New Roman" w:hAnsi="Arial" w:cs="Arial"/>
                <w:b/>
                <w:bCs/>
                <w:color w:val="000000"/>
                <w:lang w:eastAsia="zh-CN"/>
              </w:rPr>
            </w:pPr>
            <w:r w:rsidRPr="00902625">
              <w:rPr>
                <w:rFonts w:ascii="Arial" w:eastAsia="Times New Roman" w:hAnsi="Arial" w:cs="Arial"/>
                <w:b/>
                <w:bCs/>
                <w:color w:val="000000"/>
                <w:lang w:eastAsia="zh-CN"/>
              </w:rPr>
              <w:t>Review 4</w:t>
            </w:r>
          </w:p>
        </w:tc>
        <w:tc>
          <w:tcPr>
            <w:tcW w:w="1198" w:type="dxa"/>
            <w:tcBorders>
              <w:top w:val="single" w:sz="4" w:space="0" w:color="auto"/>
              <w:left w:val="nil"/>
              <w:bottom w:val="single" w:sz="4" w:space="0" w:color="auto"/>
              <w:right w:val="single" w:sz="4" w:space="0" w:color="auto"/>
            </w:tcBorders>
            <w:shd w:val="clear" w:color="000000" w:fill="FFFFFF"/>
            <w:vAlign w:val="center"/>
          </w:tcPr>
          <w:p w:rsidR="00B83265" w:rsidRPr="00902625" w:rsidRDefault="00B83265" w:rsidP="00902625">
            <w:pPr>
              <w:spacing w:after="0" w:line="240" w:lineRule="auto"/>
              <w:rPr>
                <w:rFonts w:ascii="Arial" w:eastAsia="Times New Roman" w:hAnsi="Arial" w:cs="Arial"/>
                <w:b/>
                <w:bCs/>
                <w:color w:val="000000"/>
                <w:lang w:eastAsia="zh-CN"/>
              </w:rPr>
            </w:pPr>
            <w:r w:rsidRPr="00902625">
              <w:rPr>
                <w:rFonts w:ascii="Arial" w:eastAsia="Times New Roman" w:hAnsi="Arial" w:cs="Arial"/>
                <w:b/>
                <w:bCs/>
                <w:color w:val="000000"/>
                <w:lang w:eastAsia="zh-CN"/>
              </w:rPr>
              <w:t>Review 5</w:t>
            </w:r>
          </w:p>
        </w:tc>
      </w:tr>
      <w:tr w:rsidR="00B83265" w:rsidRPr="00902625" w:rsidTr="00902625">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center"/>
            <w:hideMark/>
          </w:tcPr>
          <w:p w:rsidR="00B83265" w:rsidRPr="00902625" w:rsidRDefault="00B83265" w:rsidP="00902625">
            <w:pPr>
              <w:spacing w:after="0"/>
              <w:rPr>
                <w:rFonts w:ascii="Arial" w:hAnsi="Arial" w:cs="Arial"/>
              </w:rPr>
            </w:pPr>
            <w:r w:rsidRPr="00902625">
              <w:rPr>
                <w:rFonts w:ascii="Arial" w:hAnsi="Arial" w:cs="Arial"/>
              </w:rPr>
              <w:t>Benchmark</w:t>
            </w:r>
          </w:p>
        </w:tc>
        <w:tc>
          <w:tcPr>
            <w:tcW w:w="1197" w:type="dxa"/>
            <w:tcBorders>
              <w:top w:val="nil"/>
              <w:left w:val="nil"/>
              <w:bottom w:val="single" w:sz="4" w:space="0" w:color="auto"/>
              <w:right w:val="single" w:sz="4" w:space="0" w:color="auto"/>
            </w:tcBorders>
            <w:shd w:val="clear" w:color="000000" w:fill="FFFFFF"/>
            <w:noWrap/>
          </w:tcPr>
          <w:p w:rsidR="00B83265" w:rsidRPr="00902625" w:rsidRDefault="00B83265" w:rsidP="00902625">
            <w:pPr>
              <w:spacing w:after="0"/>
              <w:rPr>
                <w:rFonts w:ascii="Arial" w:hAnsi="Arial" w:cs="Arial"/>
              </w:rPr>
            </w:pPr>
            <w:r w:rsidRPr="00902625">
              <w:rPr>
                <w:rFonts w:ascii="Arial" w:hAnsi="Arial" w:cs="Arial"/>
              </w:rPr>
              <w:t>86.7%</w:t>
            </w:r>
          </w:p>
        </w:tc>
        <w:tc>
          <w:tcPr>
            <w:tcW w:w="1198" w:type="dxa"/>
            <w:tcBorders>
              <w:top w:val="nil"/>
              <w:left w:val="nil"/>
              <w:bottom w:val="single" w:sz="4" w:space="0" w:color="auto"/>
              <w:right w:val="single" w:sz="4" w:space="0" w:color="auto"/>
            </w:tcBorders>
            <w:shd w:val="clear" w:color="000000" w:fill="FFFFFF"/>
            <w:noWrap/>
          </w:tcPr>
          <w:p w:rsidR="00B83265" w:rsidRPr="00902625" w:rsidRDefault="00B83265" w:rsidP="00902625">
            <w:pPr>
              <w:spacing w:after="0"/>
              <w:rPr>
                <w:rFonts w:ascii="Arial" w:hAnsi="Arial" w:cs="Arial"/>
              </w:rPr>
            </w:pPr>
            <w:r w:rsidRPr="00902625">
              <w:rPr>
                <w:rFonts w:ascii="Arial" w:hAnsi="Arial" w:cs="Arial"/>
              </w:rPr>
              <w:t>86.7%</w:t>
            </w:r>
          </w:p>
        </w:tc>
        <w:tc>
          <w:tcPr>
            <w:tcW w:w="1198" w:type="dxa"/>
            <w:tcBorders>
              <w:top w:val="nil"/>
              <w:left w:val="nil"/>
              <w:bottom w:val="single" w:sz="4" w:space="0" w:color="auto"/>
              <w:right w:val="single" w:sz="4" w:space="0" w:color="auto"/>
            </w:tcBorders>
            <w:shd w:val="clear" w:color="000000" w:fill="FFFFFF"/>
            <w:noWrap/>
          </w:tcPr>
          <w:p w:rsidR="00B83265" w:rsidRPr="00902625" w:rsidRDefault="00B83265" w:rsidP="00902625">
            <w:pPr>
              <w:spacing w:after="0"/>
              <w:rPr>
                <w:rFonts w:ascii="Arial" w:hAnsi="Arial" w:cs="Arial"/>
              </w:rPr>
            </w:pPr>
            <w:r w:rsidRPr="00902625">
              <w:rPr>
                <w:rFonts w:ascii="Arial" w:hAnsi="Arial" w:cs="Arial"/>
              </w:rPr>
              <w:t>86.7%</w:t>
            </w:r>
          </w:p>
        </w:tc>
        <w:tc>
          <w:tcPr>
            <w:tcW w:w="1198" w:type="dxa"/>
            <w:tcBorders>
              <w:top w:val="nil"/>
              <w:left w:val="nil"/>
              <w:bottom w:val="single" w:sz="4" w:space="0" w:color="auto"/>
              <w:right w:val="single" w:sz="4" w:space="0" w:color="auto"/>
            </w:tcBorders>
            <w:shd w:val="clear" w:color="000000" w:fill="FFFFFF"/>
            <w:noWrap/>
          </w:tcPr>
          <w:p w:rsidR="00B83265" w:rsidRPr="00902625" w:rsidRDefault="00B83265" w:rsidP="00902625">
            <w:pPr>
              <w:spacing w:after="0"/>
              <w:rPr>
                <w:rFonts w:ascii="Arial" w:hAnsi="Arial" w:cs="Arial"/>
              </w:rPr>
            </w:pPr>
            <w:r w:rsidRPr="00902625">
              <w:rPr>
                <w:rFonts w:ascii="Arial" w:hAnsi="Arial" w:cs="Arial"/>
              </w:rPr>
              <w:t>86.7%</w:t>
            </w:r>
          </w:p>
        </w:tc>
        <w:tc>
          <w:tcPr>
            <w:tcW w:w="1198" w:type="dxa"/>
            <w:tcBorders>
              <w:top w:val="nil"/>
              <w:left w:val="nil"/>
              <w:bottom w:val="single" w:sz="4" w:space="0" w:color="auto"/>
              <w:right w:val="single" w:sz="4" w:space="0" w:color="auto"/>
            </w:tcBorders>
            <w:shd w:val="clear" w:color="000000" w:fill="FFFFFF"/>
            <w:noWrap/>
          </w:tcPr>
          <w:p w:rsidR="00B83265" w:rsidRPr="00902625" w:rsidRDefault="00B83265" w:rsidP="00902625">
            <w:pPr>
              <w:spacing w:after="0"/>
              <w:rPr>
                <w:rFonts w:ascii="Arial" w:hAnsi="Arial" w:cs="Arial"/>
              </w:rPr>
            </w:pPr>
            <w:r w:rsidRPr="00902625">
              <w:rPr>
                <w:rFonts w:ascii="Arial" w:hAnsi="Arial" w:cs="Arial"/>
              </w:rPr>
              <w:t>86.7%</w:t>
            </w:r>
          </w:p>
        </w:tc>
        <w:tc>
          <w:tcPr>
            <w:tcW w:w="1198" w:type="dxa"/>
            <w:tcBorders>
              <w:top w:val="nil"/>
              <w:left w:val="nil"/>
              <w:bottom w:val="single" w:sz="4" w:space="0" w:color="auto"/>
              <w:right w:val="single" w:sz="4" w:space="0" w:color="auto"/>
            </w:tcBorders>
            <w:shd w:val="clear" w:color="000000" w:fill="FFFFFF"/>
          </w:tcPr>
          <w:p w:rsidR="00B83265" w:rsidRPr="00902625" w:rsidRDefault="00B83265" w:rsidP="00902625">
            <w:pPr>
              <w:spacing w:after="0"/>
              <w:rPr>
                <w:rFonts w:ascii="Arial" w:hAnsi="Arial" w:cs="Arial"/>
              </w:rPr>
            </w:pPr>
            <w:r w:rsidRPr="00902625">
              <w:rPr>
                <w:rFonts w:ascii="Arial" w:hAnsi="Arial" w:cs="Arial"/>
              </w:rPr>
              <w:t>86.7%</w:t>
            </w:r>
          </w:p>
        </w:tc>
      </w:tr>
      <w:tr w:rsidR="00902625" w:rsidRPr="00902625" w:rsidTr="00902625">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bottom"/>
          </w:tcPr>
          <w:p w:rsidR="00902625" w:rsidRPr="00B32499" w:rsidRDefault="00902625" w:rsidP="00902625">
            <w:pPr>
              <w:spacing w:after="0" w:line="240" w:lineRule="auto"/>
              <w:rPr>
                <w:rFonts w:ascii="Arial" w:eastAsia="Times New Roman" w:hAnsi="Arial" w:cs="Arial"/>
                <w:bCs/>
                <w:color w:val="000000"/>
                <w:lang w:eastAsia="en-AU"/>
              </w:rPr>
            </w:pPr>
            <w:r w:rsidRPr="00B32499">
              <w:rPr>
                <w:rFonts w:ascii="Arial" w:eastAsia="Times New Roman" w:hAnsi="Arial" w:cs="Arial"/>
                <w:bCs/>
                <w:color w:val="000000"/>
                <w:lang w:eastAsia="en-AU"/>
              </w:rPr>
              <w:t>5 years</w:t>
            </w:r>
          </w:p>
        </w:tc>
        <w:tc>
          <w:tcPr>
            <w:tcW w:w="1197"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57.9%</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55.8%</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53.1%</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52.6%</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48.1%</w:t>
            </w:r>
          </w:p>
        </w:tc>
        <w:tc>
          <w:tcPr>
            <w:tcW w:w="1198" w:type="dxa"/>
            <w:tcBorders>
              <w:top w:val="nil"/>
              <w:left w:val="nil"/>
              <w:bottom w:val="single" w:sz="4" w:space="0" w:color="auto"/>
              <w:right w:val="single" w:sz="4" w:space="0" w:color="auto"/>
            </w:tcBorders>
            <w:shd w:val="clear" w:color="000000" w:fill="FFFFFF"/>
          </w:tcPr>
          <w:p w:rsidR="00902625" w:rsidRPr="00902625" w:rsidRDefault="00902625" w:rsidP="00902625">
            <w:pPr>
              <w:spacing w:after="0"/>
              <w:rPr>
                <w:rFonts w:ascii="Arial" w:hAnsi="Arial" w:cs="Arial"/>
              </w:rPr>
            </w:pPr>
            <w:r w:rsidRPr="00902625">
              <w:rPr>
                <w:rFonts w:ascii="Arial" w:hAnsi="Arial" w:cs="Arial"/>
              </w:rPr>
              <w:t>51.6%</w:t>
            </w:r>
          </w:p>
        </w:tc>
      </w:tr>
      <w:tr w:rsidR="00902625" w:rsidRPr="00902625" w:rsidTr="00902625">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bottom"/>
            <w:hideMark/>
          </w:tcPr>
          <w:p w:rsidR="00902625" w:rsidRPr="00B32499" w:rsidRDefault="00902625" w:rsidP="00902625">
            <w:pPr>
              <w:spacing w:after="0" w:line="240" w:lineRule="auto"/>
              <w:rPr>
                <w:rFonts w:ascii="Arial" w:eastAsia="Times New Roman" w:hAnsi="Arial" w:cs="Arial"/>
                <w:bCs/>
                <w:color w:val="000000"/>
                <w:lang w:eastAsia="en-AU"/>
              </w:rPr>
            </w:pPr>
            <w:r w:rsidRPr="00B32499">
              <w:rPr>
                <w:rFonts w:ascii="Arial" w:eastAsia="Times New Roman" w:hAnsi="Arial" w:cs="Arial"/>
                <w:bCs/>
                <w:color w:val="000000"/>
                <w:lang w:eastAsia="en-AU"/>
              </w:rPr>
              <w:t>4 years</w:t>
            </w:r>
          </w:p>
        </w:tc>
        <w:tc>
          <w:tcPr>
            <w:tcW w:w="1197"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54.2%</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52.8%</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51.8%</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49.0%</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50.1%</w:t>
            </w:r>
          </w:p>
        </w:tc>
        <w:tc>
          <w:tcPr>
            <w:tcW w:w="1198" w:type="dxa"/>
            <w:tcBorders>
              <w:top w:val="nil"/>
              <w:left w:val="nil"/>
              <w:bottom w:val="single" w:sz="4" w:space="0" w:color="auto"/>
              <w:right w:val="single" w:sz="4" w:space="0" w:color="auto"/>
            </w:tcBorders>
            <w:shd w:val="clear" w:color="000000" w:fill="FFFFFF"/>
          </w:tcPr>
          <w:p w:rsidR="00902625" w:rsidRPr="00902625" w:rsidRDefault="00902625" w:rsidP="00902625">
            <w:pPr>
              <w:spacing w:after="0"/>
              <w:rPr>
                <w:rFonts w:ascii="Arial" w:hAnsi="Arial" w:cs="Arial"/>
              </w:rPr>
            </w:pPr>
          </w:p>
        </w:tc>
      </w:tr>
      <w:tr w:rsidR="00902625" w:rsidRPr="00902625" w:rsidTr="00902625">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bottom"/>
            <w:hideMark/>
          </w:tcPr>
          <w:p w:rsidR="00902625" w:rsidRPr="00B32499" w:rsidRDefault="00902625" w:rsidP="00902625">
            <w:pPr>
              <w:spacing w:after="0" w:line="240" w:lineRule="auto"/>
              <w:rPr>
                <w:rFonts w:ascii="Arial" w:eastAsia="Times New Roman" w:hAnsi="Arial" w:cs="Arial"/>
                <w:bCs/>
                <w:color w:val="000000"/>
                <w:lang w:eastAsia="en-AU"/>
              </w:rPr>
            </w:pPr>
            <w:r w:rsidRPr="00B32499">
              <w:rPr>
                <w:rFonts w:ascii="Arial" w:eastAsia="Times New Roman" w:hAnsi="Arial" w:cs="Arial"/>
                <w:bCs/>
                <w:color w:val="000000"/>
                <w:lang w:eastAsia="en-AU"/>
              </w:rPr>
              <w:t>3 years</w:t>
            </w:r>
          </w:p>
        </w:tc>
        <w:tc>
          <w:tcPr>
            <w:tcW w:w="1197"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53.2%</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51.8%</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49.8%</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49.4%</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p>
        </w:tc>
        <w:tc>
          <w:tcPr>
            <w:tcW w:w="1198" w:type="dxa"/>
            <w:tcBorders>
              <w:top w:val="nil"/>
              <w:left w:val="nil"/>
              <w:bottom w:val="single" w:sz="4" w:space="0" w:color="auto"/>
              <w:right w:val="single" w:sz="4" w:space="0" w:color="auto"/>
            </w:tcBorders>
            <w:shd w:val="clear" w:color="000000" w:fill="FFFFFF"/>
          </w:tcPr>
          <w:p w:rsidR="00902625" w:rsidRPr="00902625" w:rsidRDefault="00902625" w:rsidP="00902625">
            <w:pPr>
              <w:spacing w:after="0"/>
              <w:rPr>
                <w:rFonts w:ascii="Arial" w:hAnsi="Arial" w:cs="Arial"/>
              </w:rPr>
            </w:pPr>
          </w:p>
        </w:tc>
      </w:tr>
      <w:tr w:rsidR="00902625" w:rsidRPr="00902625" w:rsidTr="00902625">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bottom"/>
            <w:hideMark/>
          </w:tcPr>
          <w:p w:rsidR="00902625" w:rsidRPr="00B32499" w:rsidRDefault="00902625" w:rsidP="00902625">
            <w:pPr>
              <w:spacing w:after="0" w:line="240" w:lineRule="auto"/>
              <w:rPr>
                <w:rFonts w:ascii="Arial" w:eastAsia="Times New Roman" w:hAnsi="Arial" w:cs="Arial"/>
                <w:bCs/>
                <w:color w:val="000000"/>
                <w:lang w:eastAsia="en-AU"/>
              </w:rPr>
            </w:pPr>
            <w:r w:rsidRPr="00B32499">
              <w:rPr>
                <w:rFonts w:ascii="Arial" w:eastAsia="Times New Roman" w:hAnsi="Arial" w:cs="Arial"/>
                <w:bCs/>
                <w:color w:val="000000"/>
                <w:lang w:eastAsia="en-AU"/>
              </w:rPr>
              <w:t>2 years</w:t>
            </w:r>
          </w:p>
        </w:tc>
        <w:tc>
          <w:tcPr>
            <w:tcW w:w="1197"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50.5%</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49.9%</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48.1%</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p>
        </w:tc>
        <w:tc>
          <w:tcPr>
            <w:tcW w:w="1198" w:type="dxa"/>
            <w:tcBorders>
              <w:top w:val="nil"/>
              <w:left w:val="nil"/>
              <w:bottom w:val="single" w:sz="4" w:space="0" w:color="auto"/>
              <w:right w:val="single" w:sz="4" w:space="0" w:color="auto"/>
            </w:tcBorders>
            <w:shd w:val="clear" w:color="000000" w:fill="FFFFFF"/>
          </w:tcPr>
          <w:p w:rsidR="00902625" w:rsidRPr="00902625" w:rsidRDefault="00902625" w:rsidP="00902625">
            <w:pPr>
              <w:spacing w:after="0"/>
              <w:rPr>
                <w:rFonts w:ascii="Arial" w:hAnsi="Arial" w:cs="Arial"/>
              </w:rPr>
            </w:pPr>
          </w:p>
        </w:tc>
      </w:tr>
      <w:tr w:rsidR="00902625" w:rsidRPr="00902625" w:rsidTr="00902625">
        <w:trPr>
          <w:trHeight w:val="282"/>
        </w:trPr>
        <w:tc>
          <w:tcPr>
            <w:tcW w:w="219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02625" w:rsidRPr="00B32499" w:rsidRDefault="00902625" w:rsidP="00902625">
            <w:pPr>
              <w:spacing w:after="0" w:line="240" w:lineRule="auto"/>
              <w:rPr>
                <w:rFonts w:ascii="Arial" w:eastAsia="Times New Roman" w:hAnsi="Arial" w:cs="Arial"/>
                <w:bCs/>
                <w:color w:val="000000"/>
                <w:lang w:eastAsia="en-AU"/>
              </w:rPr>
            </w:pPr>
            <w:r w:rsidRPr="00B32499">
              <w:rPr>
                <w:rFonts w:ascii="Arial" w:eastAsia="Times New Roman" w:hAnsi="Arial" w:cs="Arial"/>
                <w:bCs/>
                <w:color w:val="000000"/>
                <w:lang w:eastAsia="en-AU"/>
              </w:rPr>
              <w:t>1 year</w:t>
            </w:r>
          </w:p>
        </w:tc>
        <w:tc>
          <w:tcPr>
            <w:tcW w:w="1197" w:type="dxa"/>
            <w:tcBorders>
              <w:top w:val="single" w:sz="4" w:space="0" w:color="auto"/>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47.2%</w:t>
            </w:r>
          </w:p>
        </w:tc>
        <w:tc>
          <w:tcPr>
            <w:tcW w:w="1198" w:type="dxa"/>
            <w:tcBorders>
              <w:top w:val="single" w:sz="4" w:space="0" w:color="auto"/>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46.3%</w:t>
            </w:r>
          </w:p>
        </w:tc>
        <w:tc>
          <w:tcPr>
            <w:tcW w:w="1198" w:type="dxa"/>
            <w:tcBorders>
              <w:top w:val="single" w:sz="4" w:space="0" w:color="auto"/>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p>
        </w:tc>
        <w:tc>
          <w:tcPr>
            <w:tcW w:w="1198" w:type="dxa"/>
            <w:tcBorders>
              <w:top w:val="single" w:sz="4" w:space="0" w:color="auto"/>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p>
        </w:tc>
        <w:tc>
          <w:tcPr>
            <w:tcW w:w="1198" w:type="dxa"/>
            <w:tcBorders>
              <w:top w:val="single" w:sz="4" w:space="0" w:color="auto"/>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p>
        </w:tc>
        <w:tc>
          <w:tcPr>
            <w:tcW w:w="1198" w:type="dxa"/>
            <w:tcBorders>
              <w:top w:val="single" w:sz="4" w:space="0" w:color="auto"/>
              <w:left w:val="nil"/>
              <w:bottom w:val="single" w:sz="4" w:space="0" w:color="auto"/>
              <w:right w:val="single" w:sz="4" w:space="0" w:color="auto"/>
            </w:tcBorders>
            <w:shd w:val="clear" w:color="000000" w:fill="FFFFFF"/>
          </w:tcPr>
          <w:p w:rsidR="00902625" w:rsidRPr="00902625" w:rsidRDefault="00902625" w:rsidP="00902625">
            <w:pPr>
              <w:spacing w:after="0"/>
              <w:rPr>
                <w:rFonts w:ascii="Arial" w:hAnsi="Arial" w:cs="Arial"/>
              </w:rPr>
            </w:pPr>
          </w:p>
        </w:tc>
      </w:tr>
    </w:tbl>
    <w:p w:rsidR="00B83265" w:rsidRDefault="00B83265" w:rsidP="00B83265">
      <w:pPr>
        <w:spacing w:after="240"/>
        <w:rPr>
          <w:rFonts w:cstheme="minorHAnsi"/>
        </w:rPr>
      </w:pPr>
    </w:p>
    <w:p w:rsidR="00B83265" w:rsidRDefault="00B83265" w:rsidP="00B83265">
      <w:pPr>
        <w:spacing w:after="240"/>
        <w:rPr>
          <w:rFonts w:cstheme="minorHAnsi"/>
        </w:rPr>
      </w:pPr>
      <w:r>
        <w:rPr>
          <w:rFonts w:cstheme="minorHAnsi"/>
        </w:rPr>
        <w:t>Having a regular doctor</w:t>
      </w:r>
    </w:p>
    <w:tbl>
      <w:tblPr>
        <w:tblpPr w:leftFromText="180" w:rightFromText="180" w:vertAnchor="text" w:tblpY="1"/>
        <w:tblOverlap w:val="never"/>
        <w:tblW w:w="9384" w:type="dxa"/>
        <w:tblLayout w:type="fixed"/>
        <w:tblLook w:val="04A0" w:firstRow="1" w:lastRow="0" w:firstColumn="1" w:lastColumn="0" w:noHBand="0" w:noVBand="1"/>
      </w:tblPr>
      <w:tblGrid>
        <w:gridCol w:w="2197"/>
        <w:gridCol w:w="1197"/>
        <w:gridCol w:w="1198"/>
        <w:gridCol w:w="1198"/>
        <w:gridCol w:w="1198"/>
        <w:gridCol w:w="1198"/>
        <w:gridCol w:w="1198"/>
      </w:tblGrid>
      <w:tr w:rsidR="00902625" w:rsidRPr="00902625" w:rsidTr="00902625">
        <w:trPr>
          <w:trHeight w:val="282"/>
        </w:trPr>
        <w:tc>
          <w:tcPr>
            <w:tcW w:w="21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02625" w:rsidRPr="00902625" w:rsidRDefault="00902625" w:rsidP="00902625">
            <w:pPr>
              <w:spacing w:after="0" w:line="240" w:lineRule="auto"/>
              <w:rPr>
                <w:rFonts w:ascii="Arial" w:eastAsia="Times New Roman" w:hAnsi="Arial" w:cs="Arial"/>
                <w:b/>
                <w:bCs/>
                <w:color w:val="000000"/>
                <w:lang w:eastAsia="zh-CN"/>
              </w:rPr>
            </w:pPr>
            <w:r w:rsidRPr="00902625">
              <w:rPr>
                <w:rFonts w:ascii="Arial" w:eastAsia="Times New Roman" w:hAnsi="Arial" w:cs="Arial"/>
                <w:b/>
                <w:bCs/>
                <w:color w:val="000000"/>
                <w:lang w:eastAsia="zh-CN"/>
              </w:rPr>
              <w:t>Cohort/Benchmark</w:t>
            </w:r>
          </w:p>
        </w:tc>
        <w:tc>
          <w:tcPr>
            <w:tcW w:w="1197" w:type="dxa"/>
            <w:tcBorders>
              <w:top w:val="single" w:sz="4" w:space="0" w:color="auto"/>
              <w:left w:val="nil"/>
              <w:bottom w:val="single" w:sz="4" w:space="0" w:color="auto"/>
              <w:right w:val="single" w:sz="4" w:space="0" w:color="auto"/>
            </w:tcBorders>
            <w:shd w:val="clear" w:color="000000" w:fill="FFFFFF"/>
            <w:noWrap/>
            <w:vAlign w:val="center"/>
            <w:hideMark/>
          </w:tcPr>
          <w:p w:rsidR="00902625" w:rsidRPr="00902625" w:rsidRDefault="00902625" w:rsidP="00902625">
            <w:pPr>
              <w:spacing w:after="0" w:line="240" w:lineRule="auto"/>
              <w:rPr>
                <w:rFonts w:ascii="Arial" w:eastAsia="Times New Roman" w:hAnsi="Arial" w:cs="Arial"/>
                <w:b/>
                <w:bCs/>
                <w:color w:val="000000"/>
                <w:lang w:eastAsia="zh-CN"/>
              </w:rPr>
            </w:pPr>
            <w:r w:rsidRPr="00902625">
              <w:rPr>
                <w:rFonts w:ascii="Arial" w:eastAsia="Times New Roman" w:hAnsi="Arial" w:cs="Arial"/>
                <w:b/>
                <w:bCs/>
                <w:color w:val="000000"/>
                <w:lang w:eastAsia="zh-CN"/>
              </w:rPr>
              <w:t>Baseline</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902625" w:rsidRPr="00902625" w:rsidRDefault="00902625" w:rsidP="00902625">
            <w:pPr>
              <w:spacing w:after="0" w:line="240" w:lineRule="auto"/>
              <w:rPr>
                <w:rFonts w:ascii="Arial" w:eastAsia="Times New Roman" w:hAnsi="Arial" w:cs="Arial"/>
                <w:b/>
                <w:bCs/>
                <w:color w:val="000000"/>
                <w:lang w:eastAsia="zh-CN"/>
              </w:rPr>
            </w:pPr>
            <w:r w:rsidRPr="00902625">
              <w:rPr>
                <w:rFonts w:ascii="Arial" w:eastAsia="Times New Roman" w:hAnsi="Arial" w:cs="Arial"/>
                <w:b/>
                <w:bCs/>
                <w:color w:val="000000"/>
                <w:lang w:eastAsia="zh-CN"/>
              </w:rPr>
              <w:t>Review 1</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902625" w:rsidRPr="00902625" w:rsidRDefault="00902625" w:rsidP="00902625">
            <w:pPr>
              <w:spacing w:after="0" w:line="240" w:lineRule="auto"/>
              <w:rPr>
                <w:rFonts w:ascii="Arial" w:eastAsia="Times New Roman" w:hAnsi="Arial" w:cs="Arial"/>
                <w:b/>
                <w:bCs/>
                <w:color w:val="000000"/>
                <w:lang w:eastAsia="zh-CN"/>
              </w:rPr>
            </w:pPr>
            <w:r w:rsidRPr="00902625">
              <w:rPr>
                <w:rFonts w:ascii="Arial" w:eastAsia="Times New Roman" w:hAnsi="Arial" w:cs="Arial"/>
                <w:b/>
                <w:bCs/>
                <w:color w:val="000000"/>
                <w:lang w:eastAsia="zh-CN"/>
              </w:rPr>
              <w:t>Review 2</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902625" w:rsidRPr="00902625" w:rsidRDefault="00902625" w:rsidP="00902625">
            <w:pPr>
              <w:spacing w:after="0" w:line="240" w:lineRule="auto"/>
              <w:rPr>
                <w:rFonts w:ascii="Arial" w:eastAsia="Times New Roman" w:hAnsi="Arial" w:cs="Arial"/>
                <w:b/>
                <w:bCs/>
                <w:color w:val="000000"/>
                <w:lang w:eastAsia="zh-CN"/>
              </w:rPr>
            </w:pPr>
            <w:r w:rsidRPr="00902625">
              <w:rPr>
                <w:rFonts w:ascii="Arial" w:eastAsia="Times New Roman" w:hAnsi="Arial" w:cs="Arial"/>
                <w:b/>
                <w:bCs/>
                <w:color w:val="000000"/>
                <w:lang w:eastAsia="zh-CN"/>
              </w:rPr>
              <w:t>Review 3</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902625" w:rsidRPr="00902625" w:rsidRDefault="00902625" w:rsidP="00902625">
            <w:pPr>
              <w:spacing w:after="0" w:line="240" w:lineRule="auto"/>
              <w:rPr>
                <w:rFonts w:ascii="Arial" w:eastAsia="Times New Roman" w:hAnsi="Arial" w:cs="Arial"/>
                <w:b/>
                <w:bCs/>
                <w:color w:val="000000"/>
                <w:lang w:eastAsia="zh-CN"/>
              </w:rPr>
            </w:pPr>
            <w:r w:rsidRPr="00902625">
              <w:rPr>
                <w:rFonts w:ascii="Arial" w:eastAsia="Times New Roman" w:hAnsi="Arial" w:cs="Arial"/>
                <w:b/>
                <w:bCs/>
                <w:color w:val="000000"/>
                <w:lang w:eastAsia="zh-CN"/>
              </w:rPr>
              <w:t>Review 4</w:t>
            </w:r>
          </w:p>
        </w:tc>
        <w:tc>
          <w:tcPr>
            <w:tcW w:w="1198" w:type="dxa"/>
            <w:tcBorders>
              <w:top w:val="single" w:sz="4" w:space="0" w:color="auto"/>
              <w:left w:val="nil"/>
              <w:bottom w:val="single" w:sz="4" w:space="0" w:color="auto"/>
              <w:right w:val="single" w:sz="4" w:space="0" w:color="auto"/>
            </w:tcBorders>
            <w:shd w:val="clear" w:color="000000" w:fill="FFFFFF"/>
            <w:vAlign w:val="center"/>
          </w:tcPr>
          <w:p w:rsidR="00902625" w:rsidRPr="00902625" w:rsidRDefault="00902625" w:rsidP="00902625">
            <w:pPr>
              <w:spacing w:after="0" w:line="240" w:lineRule="auto"/>
              <w:rPr>
                <w:rFonts w:ascii="Arial" w:eastAsia="Times New Roman" w:hAnsi="Arial" w:cs="Arial"/>
                <w:b/>
                <w:bCs/>
                <w:color w:val="000000"/>
                <w:lang w:eastAsia="zh-CN"/>
              </w:rPr>
            </w:pPr>
            <w:r w:rsidRPr="00902625">
              <w:rPr>
                <w:rFonts w:ascii="Arial" w:eastAsia="Times New Roman" w:hAnsi="Arial" w:cs="Arial"/>
                <w:b/>
                <w:bCs/>
                <w:color w:val="000000"/>
                <w:lang w:eastAsia="zh-CN"/>
              </w:rPr>
              <w:t>Review 5</w:t>
            </w:r>
          </w:p>
        </w:tc>
      </w:tr>
      <w:tr w:rsidR="00B83265" w:rsidRPr="00902625" w:rsidTr="00902625">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center"/>
            <w:hideMark/>
          </w:tcPr>
          <w:p w:rsidR="00B83265" w:rsidRPr="00902625" w:rsidRDefault="00B83265" w:rsidP="00902625">
            <w:pPr>
              <w:spacing w:after="0"/>
              <w:rPr>
                <w:rFonts w:ascii="Arial" w:hAnsi="Arial" w:cs="Arial"/>
              </w:rPr>
            </w:pPr>
            <w:r w:rsidRPr="00902625">
              <w:rPr>
                <w:rFonts w:ascii="Arial" w:hAnsi="Arial" w:cs="Arial"/>
              </w:rPr>
              <w:t>Benchmark</w:t>
            </w:r>
          </w:p>
        </w:tc>
        <w:tc>
          <w:tcPr>
            <w:tcW w:w="1197" w:type="dxa"/>
            <w:tcBorders>
              <w:top w:val="nil"/>
              <w:left w:val="nil"/>
              <w:bottom w:val="single" w:sz="4" w:space="0" w:color="auto"/>
              <w:right w:val="single" w:sz="4" w:space="0" w:color="auto"/>
            </w:tcBorders>
            <w:shd w:val="clear" w:color="000000" w:fill="FFFFFF"/>
            <w:noWrap/>
          </w:tcPr>
          <w:p w:rsidR="00B83265" w:rsidRPr="00902625" w:rsidRDefault="00B83265" w:rsidP="00902625">
            <w:pPr>
              <w:spacing w:after="0"/>
              <w:rPr>
                <w:rFonts w:ascii="Arial" w:hAnsi="Arial" w:cs="Arial"/>
              </w:rPr>
            </w:pPr>
            <w:r w:rsidRPr="00902625">
              <w:rPr>
                <w:rFonts w:ascii="Arial" w:hAnsi="Arial" w:cs="Arial"/>
              </w:rPr>
              <w:t>65.6%</w:t>
            </w:r>
          </w:p>
        </w:tc>
        <w:tc>
          <w:tcPr>
            <w:tcW w:w="1198" w:type="dxa"/>
            <w:tcBorders>
              <w:top w:val="nil"/>
              <w:left w:val="nil"/>
              <w:bottom w:val="single" w:sz="4" w:space="0" w:color="auto"/>
              <w:right w:val="single" w:sz="4" w:space="0" w:color="auto"/>
            </w:tcBorders>
            <w:shd w:val="clear" w:color="000000" w:fill="FFFFFF"/>
            <w:noWrap/>
          </w:tcPr>
          <w:p w:rsidR="00B83265" w:rsidRPr="00902625" w:rsidRDefault="00B83265" w:rsidP="00902625">
            <w:pPr>
              <w:spacing w:after="0"/>
              <w:rPr>
                <w:rFonts w:ascii="Arial" w:hAnsi="Arial" w:cs="Arial"/>
              </w:rPr>
            </w:pPr>
            <w:r w:rsidRPr="00902625">
              <w:rPr>
                <w:rFonts w:ascii="Arial" w:hAnsi="Arial" w:cs="Arial"/>
              </w:rPr>
              <w:t>65.6%</w:t>
            </w:r>
          </w:p>
        </w:tc>
        <w:tc>
          <w:tcPr>
            <w:tcW w:w="1198" w:type="dxa"/>
            <w:tcBorders>
              <w:top w:val="nil"/>
              <w:left w:val="nil"/>
              <w:bottom w:val="single" w:sz="4" w:space="0" w:color="auto"/>
              <w:right w:val="single" w:sz="4" w:space="0" w:color="auto"/>
            </w:tcBorders>
            <w:shd w:val="clear" w:color="000000" w:fill="FFFFFF"/>
            <w:noWrap/>
          </w:tcPr>
          <w:p w:rsidR="00B83265" w:rsidRPr="00902625" w:rsidRDefault="00B83265" w:rsidP="00902625">
            <w:pPr>
              <w:spacing w:after="0"/>
              <w:rPr>
                <w:rFonts w:ascii="Arial" w:hAnsi="Arial" w:cs="Arial"/>
              </w:rPr>
            </w:pPr>
            <w:r w:rsidRPr="00902625">
              <w:rPr>
                <w:rFonts w:ascii="Arial" w:hAnsi="Arial" w:cs="Arial"/>
              </w:rPr>
              <w:t>65.6%</w:t>
            </w:r>
          </w:p>
        </w:tc>
        <w:tc>
          <w:tcPr>
            <w:tcW w:w="1198" w:type="dxa"/>
            <w:tcBorders>
              <w:top w:val="nil"/>
              <w:left w:val="nil"/>
              <w:bottom w:val="single" w:sz="4" w:space="0" w:color="auto"/>
              <w:right w:val="single" w:sz="4" w:space="0" w:color="auto"/>
            </w:tcBorders>
            <w:shd w:val="clear" w:color="000000" w:fill="FFFFFF"/>
            <w:noWrap/>
          </w:tcPr>
          <w:p w:rsidR="00B83265" w:rsidRPr="00902625" w:rsidRDefault="00B83265" w:rsidP="00902625">
            <w:pPr>
              <w:spacing w:after="0"/>
              <w:rPr>
                <w:rFonts w:ascii="Arial" w:hAnsi="Arial" w:cs="Arial"/>
              </w:rPr>
            </w:pPr>
            <w:r w:rsidRPr="00902625">
              <w:rPr>
                <w:rFonts w:ascii="Arial" w:hAnsi="Arial" w:cs="Arial"/>
              </w:rPr>
              <w:t>65.6%</w:t>
            </w:r>
          </w:p>
        </w:tc>
        <w:tc>
          <w:tcPr>
            <w:tcW w:w="1198" w:type="dxa"/>
            <w:tcBorders>
              <w:top w:val="nil"/>
              <w:left w:val="nil"/>
              <w:bottom w:val="single" w:sz="4" w:space="0" w:color="auto"/>
              <w:right w:val="single" w:sz="4" w:space="0" w:color="auto"/>
            </w:tcBorders>
            <w:shd w:val="clear" w:color="000000" w:fill="FFFFFF"/>
            <w:noWrap/>
          </w:tcPr>
          <w:p w:rsidR="00B83265" w:rsidRPr="00902625" w:rsidRDefault="00B83265" w:rsidP="00902625">
            <w:pPr>
              <w:spacing w:after="0"/>
              <w:rPr>
                <w:rFonts w:ascii="Arial" w:hAnsi="Arial" w:cs="Arial"/>
              </w:rPr>
            </w:pPr>
            <w:r w:rsidRPr="00902625">
              <w:rPr>
                <w:rFonts w:ascii="Arial" w:hAnsi="Arial" w:cs="Arial"/>
              </w:rPr>
              <w:t>65.6%</w:t>
            </w:r>
          </w:p>
        </w:tc>
        <w:tc>
          <w:tcPr>
            <w:tcW w:w="1198" w:type="dxa"/>
            <w:tcBorders>
              <w:top w:val="nil"/>
              <w:left w:val="nil"/>
              <w:bottom w:val="single" w:sz="4" w:space="0" w:color="auto"/>
              <w:right w:val="single" w:sz="4" w:space="0" w:color="auto"/>
            </w:tcBorders>
            <w:shd w:val="clear" w:color="000000" w:fill="FFFFFF"/>
          </w:tcPr>
          <w:p w:rsidR="00B83265" w:rsidRPr="00902625" w:rsidRDefault="00B83265" w:rsidP="00902625">
            <w:pPr>
              <w:spacing w:after="0"/>
              <w:rPr>
                <w:rFonts w:ascii="Arial" w:hAnsi="Arial" w:cs="Arial"/>
              </w:rPr>
            </w:pPr>
            <w:r w:rsidRPr="00902625">
              <w:rPr>
                <w:rFonts w:ascii="Arial" w:hAnsi="Arial" w:cs="Arial"/>
              </w:rPr>
              <w:t>65.6%</w:t>
            </w:r>
          </w:p>
        </w:tc>
      </w:tr>
      <w:tr w:rsidR="00902625" w:rsidRPr="00902625" w:rsidTr="00902625">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bottom"/>
          </w:tcPr>
          <w:p w:rsidR="00902625" w:rsidRPr="00902625" w:rsidRDefault="00902625" w:rsidP="00902625">
            <w:pPr>
              <w:spacing w:after="0" w:line="240" w:lineRule="auto"/>
              <w:rPr>
                <w:rFonts w:ascii="Arial" w:eastAsia="Times New Roman" w:hAnsi="Arial" w:cs="Arial"/>
                <w:bCs/>
                <w:color w:val="000000"/>
                <w:lang w:eastAsia="en-AU"/>
              </w:rPr>
            </w:pPr>
            <w:r w:rsidRPr="00902625">
              <w:rPr>
                <w:rFonts w:ascii="Arial" w:eastAsia="Times New Roman" w:hAnsi="Arial" w:cs="Arial"/>
                <w:bCs/>
                <w:color w:val="000000"/>
                <w:lang w:eastAsia="en-AU"/>
              </w:rPr>
              <w:t>5 years</w:t>
            </w:r>
          </w:p>
        </w:tc>
        <w:tc>
          <w:tcPr>
            <w:tcW w:w="1197"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85.1%</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90.0%</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92.7%</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93.6%</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93.6%</w:t>
            </w:r>
          </w:p>
        </w:tc>
        <w:tc>
          <w:tcPr>
            <w:tcW w:w="1198" w:type="dxa"/>
            <w:tcBorders>
              <w:top w:val="nil"/>
              <w:left w:val="nil"/>
              <w:bottom w:val="single" w:sz="4" w:space="0" w:color="auto"/>
              <w:right w:val="single" w:sz="4" w:space="0" w:color="auto"/>
            </w:tcBorders>
            <w:shd w:val="clear" w:color="000000" w:fill="FFFFFF"/>
          </w:tcPr>
          <w:p w:rsidR="00902625" w:rsidRPr="00902625" w:rsidRDefault="00902625" w:rsidP="00902625">
            <w:pPr>
              <w:spacing w:after="0"/>
              <w:rPr>
                <w:rFonts w:ascii="Arial" w:hAnsi="Arial" w:cs="Arial"/>
              </w:rPr>
            </w:pPr>
            <w:r w:rsidRPr="00902625">
              <w:rPr>
                <w:rFonts w:ascii="Arial" w:hAnsi="Arial" w:cs="Arial"/>
              </w:rPr>
              <w:t>93.9%</w:t>
            </w:r>
          </w:p>
        </w:tc>
      </w:tr>
      <w:tr w:rsidR="00902625" w:rsidRPr="00902625" w:rsidTr="00902625">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bottom"/>
            <w:hideMark/>
          </w:tcPr>
          <w:p w:rsidR="00902625" w:rsidRPr="00902625" w:rsidRDefault="00902625" w:rsidP="00902625">
            <w:pPr>
              <w:spacing w:after="0" w:line="240" w:lineRule="auto"/>
              <w:rPr>
                <w:rFonts w:ascii="Arial" w:eastAsia="Times New Roman" w:hAnsi="Arial" w:cs="Arial"/>
                <w:bCs/>
                <w:color w:val="000000"/>
                <w:lang w:eastAsia="en-AU"/>
              </w:rPr>
            </w:pPr>
            <w:r w:rsidRPr="00902625">
              <w:rPr>
                <w:rFonts w:ascii="Arial" w:eastAsia="Times New Roman" w:hAnsi="Arial" w:cs="Arial"/>
                <w:bCs/>
                <w:color w:val="000000"/>
                <w:lang w:eastAsia="en-AU"/>
              </w:rPr>
              <w:t>4 years</w:t>
            </w:r>
          </w:p>
        </w:tc>
        <w:tc>
          <w:tcPr>
            <w:tcW w:w="1197"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87.6%</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91.2%</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93.1%</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93.8%</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93.8%</w:t>
            </w:r>
          </w:p>
        </w:tc>
        <w:tc>
          <w:tcPr>
            <w:tcW w:w="1198" w:type="dxa"/>
            <w:tcBorders>
              <w:top w:val="nil"/>
              <w:left w:val="nil"/>
              <w:bottom w:val="single" w:sz="4" w:space="0" w:color="auto"/>
              <w:right w:val="single" w:sz="4" w:space="0" w:color="auto"/>
            </w:tcBorders>
            <w:shd w:val="clear" w:color="000000" w:fill="FFFFFF"/>
          </w:tcPr>
          <w:p w:rsidR="00902625" w:rsidRPr="00902625" w:rsidRDefault="00902625" w:rsidP="00902625">
            <w:pPr>
              <w:spacing w:after="0"/>
              <w:rPr>
                <w:rFonts w:ascii="Arial" w:hAnsi="Arial" w:cs="Arial"/>
              </w:rPr>
            </w:pPr>
          </w:p>
        </w:tc>
      </w:tr>
      <w:tr w:rsidR="00902625" w:rsidRPr="00902625" w:rsidTr="00902625">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bottom"/>
            <w:hideMark/>
          </w:tcPr>
          <w:p w:rsidR="00902625" w:rsidRPr="00902625" w:rsidRDefault="00902625" w:rsidP="00902625">
            <w:pPr>
              <w:spacing w:after="0" w:line="240" w:lineRule="auto"/>
              <w:rPr>
                <w:rFonts w:ascii="Arial" w:eastAsia="Times New Roman" w:hAnsi="Arial" w:cs="Arial"/>
                <w:bCs/>
                <w:color w:val="000000"/>
                <w:lang w:eastAsia="en-AU"/>
              </w:rPr>
            </w:pPr>
            <w:r w:rsidRPr="00902625">
              <w:rPr>
                <w:rFonts w:ascii="Arial" w:eastAsia="Times New Roman" w:hAnsi="Arial" w:cs="Arial"/>
                <w:bCs/>
                <w:color w:val="000000"/>
                <w:lang w:eastAsia="en-AU"/>
              </w:rPr>
              <w:t>3 years</w:t>
            </w:r>
          </w:p>
        </w:tc>
        <w:tc>
          <w:tcPr>
            <w:tcW w:w="1197"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88.2%</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91.3%</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92.7%</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93.2%</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p>
        </w:tc>
        <w:tc>
          <w:tcPr>
            <w:tcW w:w="1198" w:type="dxa"/>
            <w:tcBorders>
              <w:top w:val="nil"/>
              <w:left w:val="nil"/>
              <w:bottom w:val="single" w:sz="4" w:space="0" w:color="auto"/>
              <w:right w:val="single" w:sz="4" w:space="0" w:color="auto"/>
            </w:tcBorders>
            <w:shd w:val="clear" w:color="000000" w:fill="FFFFFF"/>
          </w:tcPr>
          <w:p w:rsidR="00902625" w:rsidRPr="00902625" w:rsidRDefault="00902625" w:rsidP="00902625">
            <w:pPr>
              <w:spacing w:after="0"/>
              <w:rPr>
                <w:rFonts w:ascii="Arial" w:hAnsi="Arial" w:cs="Arial"/>
              </w:rPr>
            </w:pPr>
          </w:p>
        </w:tc>
      </w:tr>
      <w:tr w:rsidR="00902625" w:rsidRPr="00902625" w:rsidTr="00902625">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bottom"/>
            <w:hideMark/>
          </w:tcPr>
          <w:p w:rsidR="00902625" w:rsidRPr="00902625" w:rsidRDefault="00902625" w:rsidP="00902625">
            <w:pPr>
              <w:spacing w:after="0" w:line="240" w:lineRule="auto"/>
              <w:rPr>
                <w:rFonts w:ascii="Arial" w:eastAsia="Times New Roman" w:hAnsi="Arial" w:cs="Arial"/>
                <w:bCs/>
                <w:color w:val="000000"/>
                <w:lang w:eastAsia="en-AU"/>
              </w:rPr>
            </w:pPr>
            <w:r w:rsidRPr="00902625">
              <w:rPr>
                <w:rFonts w:ascii="Arial" w:eastAsia="Times New Roman" w:hAnsi="Arial" w:cs="Arial"/>
                <w:bCs/>
                <w:color w:val="000000"/>
                <w:lang w:eastAsia="en-AU"/>
              </w:rPr>
              <w:t>2 years</w:t>
            </w:r>
          </w:p>
        </w:tc>
        <w:tc>
          <w:tcPr>
            <w:tcW w:w="1197"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86.7%</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90.3%</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91.1%</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p>
        </w:tc>
        <w:tc>
          <w:tcPr>
            <w:tcW w:w="1198" w:type="dxa"/>
            <w:tcBorders>
              <w:top w:val="nil"/>
              <w:left w:val="nil"/>
              <w:bottom w:val="single" w:sz="4" w:space="0" w:color="auto"/>
              <w:right w:val="single" w:sz="4" w:space="0" w:color="auto"/>
            </w:tcBorders>
            <w:shd w:val="clear" w:color="000000" w:fill="FFFFFF"/>
          </w:tcPr>
          <w:p w:rsidR="00902625" w:rsidRPr="00902625" w:rsidRDefault="00902625" w:rsidP="00902625">
            <w:pPr>
              <w:spacing w:after="0"/>
              <w:rPr>
                <w:rFonts w:ascii="Arial" w:hAnsi="Arial" w:cs="Arial"/>
              </w:rPr>
            </w:pPr>
          </w:p>
        </w:tc>
      </w:tr>
      <w:tr w:rsidR="00902625" w:rsidRPr="00902625" w:rsidTr="00902625">
        <w:trPr>
          <w:trHeight w:val="282"/>
        </w:trPr>
        <w:tc>
          <w:tcPr>
            <w:tcW w:w="219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02625" w:rsidRPr="00902625" w:rsidRDefault="00902625" w:rsidP="00902625">
            <w:pPr>
              <w:spacing w:after="0" w:line="240" w:lineRule="auto"/>
              <w:rPr>
                <w:rFonts w:ascii="Arial" w:eastAsia="Times New Roman" w:hAnsi="Arial" w:cs="Arial"/>
                <w:bCs/>
                <w:color w:val="000000"/>
                <w:lang w:eastAsia="en-AU"/>
              </w:rPr>
            </w:pPr>
            <w:r w:rsidRPr="00902625">
              <w:rPr>
                <w:rFonts w:ascii="Arial" w:eastAsia="Times New Roman" w:hAnsi="Arial" w:cs="Arial"/>
                <w:bCs/>
                <w:color w:val="000000"/>
                <w:lang w:eastAsia="en-AU"/>
              </w:rPr>
              <w:t>1 year</w:t>
            </w:r>
          </w:p>
        </w:tc>
        <w:tc>
          <w:tcPr>
            <w:tcW w:w="1197" w:type="dxa"/>
            <w:tcBorders>
              <w:top w:val="single" w:sz="4" w:space="0" w:color="auto"/>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85.8%</w:t>
            </w:r>
          </w:p>
        </w:tc>
        <w:tc>
          <w:tcPr>
            <w:tcW w:w="1198" w:type="dxa"/>
            <w:tcBorders>
              <w:top w:val="single" w:sz="4" w:space="0" w:color="auto"/>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89.0%</w:t>
            </w:r>
          </w:p>
        </w:tc>
        <w:tc>
          <w:tcPr>
            <w:tcW w:w="1198" w:type="dxa"/>
            <w:tcBorders>
              <w:top w:val="single" w:sz="4" w:space="0" w:color="auto"/>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p>
        </w:tc>
        <w:tc>
          <w:tcPr>
            <w:tcW w:w="1198" w:type="dxa"/>
            <w:tcBorders>
              <w:top w:val="single" w:sz="4" w:space="0" w:color="auto"/>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p>
        </w:tc>
        <w:tc>
          <w:tcPr>
            <w:tcW w:w="1198" w:type="dxa"/>
            <w:tcBorders>
              <w:top w:val="single" w:sz="4" w:space="0" w:color="auto"/>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p>
        </w:tc>
        <w:tc>
          <w:tcPr>
            <w:tcW w:w="1198" w:type="dxa"/>
            <w:tcBorders>
              <w:top w:val="single" w:sz="4" w:space="0" w:color="auto"/>
              <w:left w:val="nil"/>
              <w:bottom w:val="single" w:sz="4" w:space="0" w:color="auto"/>
              <w:right w:val="single" w:sz="4" w:space="0" w:color="auto"/>
            </w:tcBorders>
            <w:shd w:val="clear" w:color="000000" w:fill="FFFFFF"/>
          </w:tcPr>
          <w:p w:rsidR="00902625" w:rsidRPr="00902625" w:rsidRDefault="00902625" w:rsidP="00902625">
            <w:pPr>
              <w:spacing w:after="0"/>
              <w:rPr>
                <w:rFonts w:ascii="Arial" w:hAnsi="Arial" w:cs="Arial"/>
              </w:rPr>
            </w:pPr>
          </w:p>
        </w:tc>
      </w:tr>
    </w:tbl>
    <w:p w:rsidR="00B83265" w:rsidRDefault="00B83265" w:rsidP="00B83265">
      <w:pPr>
        <w:spacing w:after="240"/>
        <w:rPr>
          <w:rFonts w:cstheme="minorHAnsi"/>
        </w:rPr>
      </w:pPr>
    </w:p>
    <w:p w:rsidR="00B83265" w:rsidRDefault="00B83265" w:rsidP="00B83265">
      <w:pPr>
        <w:spacing w:after="240"/>
        <w:rPr>
          <w:rFonts w:cstheme="minorHAnsi"/>
        </w:rPr>
      </w:pPr>
      <w:r>
        <w:rPr>
          <w:rFonts w:cstheme="minorHAnsi"/>
        </w:rPr>
        <w:t>Attended hospital in the last 12 months</w:t>
      </w:r>
    </w:p>
    <w:tbl>
      <w:tblPr>
        <w:tblpPr w:leftFromText="180" w:rightFromText="180" w:vertAnchor="text" w:tblpY="1"/>
        <w:tblOverlap w:val="never"/>
        <w:tblW w:w="9384" w:type="dxa"/>
        <w:tblLayout w:type="fixed"/>
        <w:tblLook w:val="04A0" w:firstRow="1" w:lastRow="0" w:firstColumn="1" w:lastColumn="0" w:noHBand="0" w:noVBand="1"/>
      </w:tblPr>
      <w:tblGrid>
        <w:gridCol w:w="2197"/>
        <w:gridCol w:w="1197"/>
        <w:gridCol w:w="1198"/>
        <w:gridCol w:w="1198"/>
        <w:gridCol w:w="1198"/>
        <w:gridCol w:w="1198"/>
        <w:gridCol w:w="1198"/>
      </w:tblGrid>
      <w:tr w:rsidR="00902625" w:rsidRPr="00902625" w:rsidTr="00902625">
        <w:trPr>
          <w:trHeight w:val="282"/>
        </w:trPr>
        <w:tc>
          <w:tcPr>
            <w:tcW w:w="21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02625" w:rsidRPr="00902625" w:rsidRDefault="00902625" w:rsidP="00902625">
            <w:pPr>
              <w:spacing w:after="0" w:line="240" w:lineRule="auto"/>
              <w:rPr>
                <w:rFonts w:ascii="Arial" w:eastAsia="Times New Roman" w:hAnsi="Arial" w:cs="Arial"/>
                <w:b/>
                <w:bCs/>
                <w:color w:val="000000"/>
                <w:lang w:eastAsia="zh-CN"/>
              </w:rPr>
            </w:pPr>
            <w:r w:rsidRPr="00902625">
              <w:rPr>
                <w:rFonts w:ascii="Arial" w:eastAsia="Times New Roman" w:hAnsi="Arial" w:cs="Arial"/>
                <w:b/>
                <w:bCs/>
                <w:color w:val="000000"/>
                <w:lang w:eastAsia="zh-CN"/>
              </w:rPr>
              <w:t>Cohort/Benchmark</w:t>
            </w:r>
          </w:p>
        </w:tc>
        <w:tc>
          <w:tcPr>
            <w:tcW w:w="1197" w:type="dxa"/>
            <w:tcBorders>
              <w:top w:val="single" w:sz="4" w:space="0" w:color="auto"/>
              <w:left w:val="nil"/>
              <w:bottom w:val="single" w:sz="4" w:space="0" w:color="auto"/>
              <w:right w:val="single" w:sz="4" w:space="0" w:color="auto"/>
            </w:tcBorders>
            <w:shd w:val="clear" w:color="000000" w:fill="FFFFFF"/>
            <w:noWrap/>
            <w:vAlign w:val="center"/>
            <w:hideMark/>
          </w:tcPr>
          <w:p w:rsidR="00902625" w:rsidRPr="00902625" w:rsidRDefault="00902625" w:rsidP="00902625">
            <w:pPr>
              <w:spacing w:after="0" w:line="240" w:lineRule="auto"/>
              <w:rPr>
                <w:rFonts w:ascii="Arial" w:eastAsia="Times New Roman" w:hAnsi="Arial" w:cs="Arial"/>
                <w:b/>
                <w:bCs/>
                <w:color w:val="000000"/>
                <w:lang w:eastAsia="zh-CN"/>
              </w:rPr>
            </w:pPr>
            <w:r w:rsidRPr="00902625">
              <w:rPr>
                <w:rFonts w:ascii="Arial" w:eastAsia="Times New Roman" w:hAnsi="Arial" w:cs="Arial"/>
                <w:b/>
                <w:bCs/>
                <w:color w:val="000000"/>
                <w:lang w:eastAsia="zh-CN"/>
              </w:rPr>
              <w:t>Baseline</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902625" w:rsidRPr="00902625" w:rsidRDefault="00902625" w:rsidP="00902625">
            <w:pPr>
              <w:spacing w:after="0" w:line="240" w:lineRule="auto"/>
              <w:rPr>
                <w:rFonts w:ascii="Arial" w:eastAsia="Times New Roman" w:hAnsi="Arial" w:cs="Arial"/>
                <w:b/>
                <w:bCs/>
                <w:color w:val="000000"/>
                <w:lang w:eastAsia="zh-CN"/>
              </w:rPr>
            </w:pPr>
            <w:r w:rsidRPr="00902625">
              <w:rPr>
                <w:rFonts w:ascii="Arial" w:eastAsia="Times New Roman" w:hAnsi="Arial" w:cs="Arial"/>
                <w:b/>
                <w:bCs/>
                <w:color w:val="000000"/>
                <w:lang w:eastAsia="zh-CN"/>
              </w:rPr>
              <w:t>Review 1</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902625" w:rsidRPr="00902625" w:rsidRDefault="00902625" w:rsidP="00902625">
            <w:pPr>
              <w:spacing w:after="0" w:line="240" w:lineRule="auto"/>
              <w:rPr>
                <w:rFonts w:ascii="Arial" w:eastAsia="Times New Roman" w:hAnsi="Arial" w:cs="Arial"/>
                <w:b/>
                <w:bCs/>
                <w:color w:val="000000"/>
                <w:lang w:eastAsia="zh-CN"/>
              </w:rPr>
            </w:pPr>
            <w:r w:rsidRPr="00902625">
              <w:rPr>
                <w:rFonts w:ascii="Arial" w:eastAsia="Times New Roman" w:hAnsi="Arial" w:cs="Arial"/>
                <w:b/>
                <w:bCs/>
                <w:color w:val="000000"/>
                <w:lang w:eastAsia="zh-CN"/>
              </w:rPr>
              <w:t>Review 2</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902625" w:rsidRPr="00902625" w:rsidRDefault="00902625" w:rsidP="00902625">
            <w:pPr>
              <w:spacing w:after="0" w:line="240" w:lineRule="auto"/>
              <w:rPr>
                <w:rFonts w:ascii="Arial" w:eastAsia="Times New Roman" w:hAnsi="Arial" w:cs="Arial"/>
                <w:b/>
                <w:bCs/>
                <w:color w:val="000000"/>
                <w:lang w:eastAsia="zh-CN"/>
              </w:rPr>
            </w:pPr>
            <w:r w:rsidRPr="00902625">
              <w:rPr>
                <w:rFonts w:ascii="Arial" w:eastAsia="Times New Roman" w:hAnsi="Arial" w:cs="Arial"/>
                <w:b/>
                <w:bCs/>
                <w:color w:val="000000"/>
                <w:lang w:eastAsia="zh-CN"/>
              </w:rPr>
              <w:t>Review 3</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902625" w:rsidRPr="00902625" w:rsidRDefault="00902625" w:rsidP="00902625">
            <w:pPr>
              <w:spacing w:after="0" w:line="240" w:lineRule="auto"/>
              <w:rPr>
                <w:rFonts w:ascii="Arial" w:eastAsia="Times New Roman" w:hAnsi="Arial" w:cs="Arial"/>
                <w:b/>
                <w:bCs/>
                <w:color w:val="000000"/>
                <w:lang w:eastAsia="zh-CN"/>
              </w:rPr>
            </w:pPr>
            <w:r w:rsidRPr="00902625">
              <w:rPr>
                <w:rFonts w:ascii="Arial" w:eastAsia="Times New Roman" w:hAnsi="Arial" w:cs="Arial"/>
                <w:b/>
                <w:bCs/>
                <w:color w:val="000000"/>
                <w:lang w:eastAsia="zh-CN"/>
              </w:rPr>
              <w:t>Review 4</w:t>
            </w:r>
          </w:p>
        </w:tc>
        <w:tc>
          <w:tcPr>
            <w:tcW w:w="1198" w:type="dxa"/>
            <w:tcBorders>
              <w:top w:val="single" w:sz="4" w:space="0" w:color="auto"/>
              <w:left w:val="nil"/>
              <w:bottom w:val="single" w:sz="4" w:space="0" w:color="auto"/>
              <w:right w:val="single" w:sz="4" w:space="0" w:color="auto"/>
            </w:tcBorders>
            <w:shd w:val="clear" w:color="000000" w:fill="FFFFFF"/>
            <w:vAlign w:val="center"/>
          </w:tcPr>
          <w:p w:rsidR="00902625" w:rsidRPr="00902625" w:rsidRDefault="00902625" w:rsidP="00902625">
            <w:pPr>
              <w:spacing w:after="0" w:line="240" w:lineRule="auto"/>
              <w:rPr>
                <w:rFonts w:ascii="Arial" w:eastAsia="Times New Roman" w:hAnsi="Arial" w:cs="Arial"/>
                <w:b/>
                <w:bCs/>
                <w:color w:val="000000"/>
                <w:lang w:eastAsia="zh-CN"/>
              </w:rPr>
            </w:pPr>
            <w:r w:rsidRPr="00902625">
              <w:rPr>
                <w:rFonts w:ascii="Arial" w:eastAsia="Times New Roman" w:hAnsi="Arial" w:cs="Arial"/>
                <w:b/>
                <w:bCs/>
                <w:color w:val="000000"/>
                <w:lang w:eastAsia="zh-CN"/>
              </w:rPr>
              <w:t>Review 5</w:t>
            </w:r>
          </w:p>
        </w:tc>
      </w:tr>
      <w:tr w:rsidR="00B83265" w:rsidRPr="00902625" w:rsidTr="00902625">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center"/>
            <w:hideMark/>
          </w:tcPr>
          <w:p w:rsidR="00B83265" w:rsidRPr="00902625" w:rsidRDefault="00B83265" w:rsidP="00902625">
            <w:pPr>
              <w:spacing w:after="0"/>
              <w:rPr>
                <w:rFonts w:ascii="Arial" w:hAnsi="Arial" w:cs="Arial"/>
              </w:rPr>
            </w:pPr>
            <w:r w:rsidRPr="00902625">
              <w:rPr>
                <w:rFonts w:ascii="Arial" w:hAnsi="Arial" w:cs="Arial"/>
              </w:rPr>
              <w:t>Benchmark</w:t>
            </w:r>
          </w:p>
        </w:tc>
        <w:tc>
          <w:tcPr>
            <w:tcW w:w="1197" w:type="dxa"/>
            <w:tcBorders>
              <w:top w:val="nil"/>
              <w:left w:val="nil"/>
              <w:bottom w:val="single" w:sz="4" w:space="0" w:color="auto"/>
              <w:right w:val="single" w:sz="4" w:space="0" w:color="auto"/>
            </w:tcBorders>
            <w:shd w:val="clear" w:color="000000" w:fill="FFFFFF"/>
            <w:noWrap/>
          </w:tcPr>
          <w:p w:rsidR="00B83265" w:rsidRPr="00902625" w:rsidRDefault="00B83265" w:rsidP="00902625">
            <w:pPr>
              <w:spacing w:after="0"/>
              <w:rPr>
                <w:rFonts w:ascii="Arial" w:hAnsi="Arial" w:cs="Arial"/>
              </w:rPr>
            </w:pPr>
            <w:r w:rsidRPr="00902625">
              <w:rPr>
                <w:rFonts w:ascii="Arial" w:hAnsi="Arial" w:cs="Arial"/>
              </w:rPr>
              <w:t>10.5%</w:t>
            </w:r>
          </w:p>
        </w:tc>
        <w:tc>
          <w:tcPr>
            <w:tcW w:w="1198" w:type="dxa"/>
            <w:tcBorders>
              <w:top w:val="nil"/>
              <w:left w:val="nil"/>
              <w:bottom w:val="single" w:sz="4" w:space="0" w:color="auto"/>
              <w:right w:val="single" w:sz="4" w:space="0" w:color="auto"/>
            </w:tcBorders>
            <w:shd w:val="clear" w:color="000000" w:fill="FFFFFF"/>
            <w:noWrap/>
          </w:tcPr>
          <w:p w:rsidR="00B83265" w:rsidRPr="00902625" w:rsidRDefault="00B83265" w:rsidP="00902625">
            <w:pPr>
              <w:spacing w:after="0"/>
              <w:rPr>
                <w:rFonts w:ascii="Arial" w:hAnsi="Arial" w:cs="Arial"/>
              </w:rPr>
            </w:pPr>
            <w:r w:rsidRPr="00902625">
              <w:rPr>
                <w:rFonts w:ascii="Arial" w:hAnsi="Arial" w:cs="Arial"/>
              </w:rPr>
              <w:t>10.5%</w:t>
            </w:r>
          </w:p>
        </w:tc>
        <w:tc>
          <w:tcPr>
            <w:tcW w:w="1198" w:type="dxa"/>
            <w:tcBorders>
              <w:top w:val="nil"/>
              <w:left w:val="nil"/>
              <w:bottom w:val="single" w:sz="4" w:space="0" w:color="auto"/>
              <w:right w:val="single" w:sz="4" w:space="0" w:color="auto"/>
            </w:tcBorders>
            <w:shd w:val="clear" w:color="000000" w:fill="FFFFFF"/>
            <w:noWrap/>
          </w:tcPr>
          <w:p w:rsidR="00B83265" w:rsidRPr="00902625" w:rsidRDefault="00B83265" w:rsidP="00902625">
            <w:pPr>
              <w:spacing w:after="0"/>
              <w:rPr>
                <w:rFonts w:ascii="Arial" w:hAnsi="Arial" w:cs="Arial"/>
              </w:rPr>
            </w:pPr>
            <w:r w:rsidRPr="00902625">
              <w:rPr>
                <w:rFonts w:ascii="Arial" w:hAnsi="Arial" w:cs="Arial"/>
              </w:rPr>
              <w:t>10.5%</w:t>
            </w:r>
          </w:p>
        </w:tc>
        <w:tc>
          <w:tcPr>
            <w:tcW w:w="1198" w:type="dxa"/>
            <w:tcBorders>
              <w:top w:val="nil"/>
              <w:left w:val="nil"/>
              <w:bottom w:val="single" w:sz="4" w:space="0" w:color="auto"/>
              <w:right w:val="single" w:sz="4" w:space="0" w:color="auto"/>
            </w:tcBorders>
            <w:shd w:val="clear" w:color="000000" w:fill="FFFFFF"/>
            <w:noWrap/>
          </w:tcPr>
          <w:p w:rsidR="00B83265" w:rsidRPr="00902625" w:rsidRDefault="00B83265" w:rsidP="00902625">
            <w:pPr>
              <w:spacing w:after="0"/>
              <w:rPr>
                <w:rFonts w:ascii="Arial" w:hAnsi="Arial" w:cs="Arial"/>
              </w:rPr>
            </w:pPr>
            <w:r w:rsidRPr="00902625">
              <w:rPr>
                <w:rFonts w:ascii="Arial" w:hAnsi="Arial" w:cs="Arial"/>
              </w:rPr>
              <w:t>10.5%</w:t>
            </w:r>
          </w:p>
        </w:tc>
        <w:tc>
          <w:tcPr>
            <w:tcW w:w="1198" w:type="dxa"/>
            <w:tcBorders>
              <w:top w:val="nil"/>
              <w:left w:val="nil"/>
              <w:bottom w:val="single" w:sz="4" w:space="0" w:color="auto"/>
              <w:right w:val="single" w:sz="4" w:space="0" w:color="auto"/>
            </w:tcBorders>
            <w:shd w:val="clear" w:color="000000" w:fill="FFFFFF"/>
            <w:noWrap/>
          </w:tcPr>
          <w:p w:rsidR="00B83265" w:rsidRPr="00902625" w:rsidRDefault="00B83265" w:rsidP="00902625">
            <w:pPr>
              <w:spacing w:after="0"/>
              <w:rPr>
                <w:rFonts w:ascii="Arial" w:hAnsi="Arial" w:cs="Arial"/>
              </w:rPr>
            </w:pPr>
            <w:r w:rsidRPr="00902625">
              <w:rPr>
                <w:rFonts w:ascii="Arial" w:hAnsi="Arial" w:cs="Arial"/>
              </w:rPr>
              <w:t>10.5%</w:t>
            </w:r>
          </w:p>
        </w:tc>
        <w:tc>
          <w:tcPr>
            <w:tcW w:w="1198" w:type="dxa"/>
            <w:tcBorders>
              <w:top w:val="nil"/>
              <w:left w:val="nil"/>
              <w:bottom w:val="single" w:sz="4" w:space="0" w:color="auto"/>
              <w:right w:val="single" w:sz="4" w:space="0" w:color="auto"/>
            </w:tcBorders>
            <w:shd w:val="clear" w:color="000000" w:fill="FFFFFF"/>
          </w:tcPr>
          <w:p w:rsidR="00B83265" w:rsidRPr="00902625" w:rsidRDefault="00B83265" w:rsidP="00902625">
            <w:pPr>
              <w:spacing w:after="0"/>
              <w:rPr>
                <w:rFonts w:ascii="Arial" w:hAnsi="Arial" w:cs="Arial"/>
              </w:rPr>
            </w:pPr>
            <w:r w:rsidRPr="00902625">
              <w:rPr>
                <w:rFonts w:ascii="Arial" w:hAnsi="Arial" w:cs="Arial"/>
              </w:rPr>
              <w:t>10.5%</w:t>
            </w:r>
          </w:p>
        </w:tc>
      </w:tr>
      <w:tr w:rsidR="00902625" w:rsidRPr="00902625" w:rsidTr="00902625">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bottom"/>
          </w:tcPr>
          <w:p w:rsidR="00902625" w:rsidRPr="00902625" w:rsidRDefault="00902625" w:rsidP="00902625">
            <w:pPr>
              <w:spacing w:after="0" w:line="240" w:lineRule="auto"/>
              <w:rPr>
                <w:rFonts w:ascii="Arial" w:eastAsia="Times New Roman" w:hAnsi="Arial" w:cs="Arial"/>
                <w:bCs/>
                <w:color w:val="000000"/>
                <w:lang w:eastAsia="en-AU"/>
              </w:rPr>
            </w:pPr>
            <w:r w:rsidRPr="00902625">
              <w:rPr>
                <w:rFonts w:ascii="Arial" w:eastAsia="Times New Roman" w:hAnsi="Arial" w:cs="Arial"/>
                <w:bCs/>
                <w:color w:val="000000"/>
                <w:lang w:eastAsia="en-AU"/>
              </w:rPr>
              <w:t>5 years</w:t>
            </w:r>
          </w:p>
        </w:tc>
        <w:tc>
          <w:tcPr>
            <w:tcW w:w="1197"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36.4%</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32.2%</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32.0%</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30.9%</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33.0%</w:t>
            </w:r>
          </w:p>
        </w:tc>
        <w:tc>
          <w:tcPr>
            <w:tcW w:w="1198" w:type="dxa"/>
            <w:tcBorders>
              <w:top w:val="nil"/>
              <w:left w:val="nil"/>
              <w:bottom w:val="single" w:sz="4" w:space="0" w:color="auto"/>
              <w:right w:val="single" w:sz="4" w:space="0" w:color="auto"/>
            </w:tcBorders>
            <w:shd w:val="clear" w:color="000000" w:fill="FFFFFF"/>
          </w:tcPr>
          <w:p w:rsidR="00902625" w:rsidRPr="00902625" w:rsidRDefault="00902625" w:rsidP="00902625">
            <w:pPr>
              <w:spacing w:after="0"/>
              <w:rPr>
                <w:rFonts w:ascii="Arial" w:hAnsi="Arial" w:cs="Arial"/>
              </w:rPr>
            </w:pPr>
            <w:r w:rsidRPr="00902625">
              <w:rPr>
                <w:rFonts w:ascii="Arial" w:hAnsi="Arial" w:cs="Arial"/>
              </w:rPr>
              <w:t>27.8%</w:t>
            </w:r>
          </w:p>
        </w:tc>
      </w:tr>
      <w:tr w:rsidR="00902625" w:rsidRPr="00902625" w:rsidTr="00902625">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bottom"/>
            <w:hideMark/>
          </w:tcPr>
          <w:p w:rsidR="00902625" w:rsidRPr="00902625" w:rsidRDefault="00902625" w:rsidP="00902625">
            <w:pPr>
              <w:spacing w:after="0" w:line="240" w:lineRule="auto"/>
              <w:rPr>
                <w:rFonts w:ascii="Arial" w:eastAsia="Times New Roman" w:hAnsi="Arial" w:cs="Arial"/>
                <w:bCs/>
                <w:color w:val="000000"/>
                <w:lang w:eastAsia="en-AU"/>
              </w:rPr>
            </w:pPr>
            <w:r w:rsidRPr="00902625">
              <w:rPr>
                <w:rFonts w:ascii="Arial" w:eastAsia="Times New Roman" w:hAnsi="Arial" w:cs="Arial"/>
                <w:bCs/>
                <w:color w:val="000000"/>
                <w:lang w:eastAsia="en-AU"/>
              </w:rPr>
              <w:t>4 years</w:t>
            </w:r>
          </w:p>
        </w:tc>
        <w:tc>
          <w:tcPr>
            <w:tcW w:w="1197"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37.3%</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33.1%</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31.5%</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32.1%</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29.1%</w:t>
            </w:r>
          </w:p>
        </w:tc>
        <w:tc>
          <w:tcPr>
            <w:tcW w:w="1198" w:type="dxa"/>
            <w:tcBorders>
              <w:top w:val="nil"/>
              <w:left w:val="nil"/>
              <w:bottom w:val="single" w:sz="4" w:space="0" w:color="auto"/>
              <w:right w:val="single" w:sz="4" w:space="0" w:color="auto"/>
            </w:tcBorders>
            <w:shd w:val="clear" w:color="000000" w:fill="FFFFFF"/>
          </w:tcPr>
          <w:p w:rsidR="00902625" w:rsidRPr="00902625" w:rsidRDefault="00902625" w:rsidP="00902625">
            <w:pPr>
              <w:spacing w:after="0"/>
              <w:rPr>
                <w:rFonts w:ascii="Arial" w:hAnsi="Arial" w:cs="Arial"/>
              </w:rPr>
            </w:pPr>
          </w:p>
        </w:tc>
      </w:tr>
      <w:tr w:rsidR="00902625" w:rsidRPr="00902625" w:rsidTr="00902625">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bottom"/>
            <w:hideMark/>
          </w:tcPr>
          <w:p w:rsidR="00902625" w:rsidRPr="00902625" w:rsidRDefault="00902625" w:rsidP="00902625">
            <w:pPr>
              <w:spacing w:after="0" w:line="240" w:lineRule="auto"/>
              <w:rPr>
                <w:rFonts w:ascii="Arial" w:eastAsia="Times New Roman" w:hAnsi="Arial" w:cs="Arial"/>
                <w:bCs/>
                <w:color w:val="000000"/>
                <w:lang w:eastAsia="en-AU"/>
              </w:rPr>
            </w:pPr>
            <w:r w:rsidRPr="00902625">
              <w:rPr>
                <w:rFonts w:ascii="Arial" w:eastAsia="Times New Roman" w:hAnsi="Arial" w:cs="Arial"/>
                <w:bCs/>
                <w:color w:val="000000"/>
                <w:lang w:eastAsia="en-AU"/>
              </w:rPr>
              <w:t>3 years</w:t>
            </w:r>
          </w:p>
        </w:tc>
        <w:tc>
          <w:tcPr>
            <w:tcW w:w="1197"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38.1%</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33.5%</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32.6%</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30.5%</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p>
        </w:tc>
        <w:tc>
          <w:tcPr>
            <w:tcW w:w="1198" w:type="dxa"/>
            <w:tcBorders>
              <w:top w:val="nil"/>
              <w:left w:val="nil"/>
              <w:bottom w:val="single" w:sz="4" w:space="0" w:color="auto"/>
              <w:right w:val="single" w:sz="4" w:space="0" w:color="auto"/>
            </w:tcBorders>
            <w:shd w:val="clear" w:color="000000" w:fill="FFFFFF"/>
          </w:tcPr>
          <w:p w:rsidR="00902625" w:rsidRPr="00902625" w:rsidRDefault="00902625" w:rsidP="00902625">
            <w:pPr>
              <w:spacing w:after="0"/>
              <w:rPr>
                <w:rFonts w:ascii="Arial" w:hAnsi="Arial" w:cs="Arial"/>
              </w:rPr>
            </w:pPr>
          </w:p>
        </w:tc>
      </w:tr>
      <w:tr w:rsidR="00902625" w:rsidRPr="00902625" w:rsidTr="00902625">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bottom"/>
            <w:hideMark/>
          </w:tcPr>
          <w:p w:rsidR="00902625" w:rsidRPr="00902625" w:rsidRDefault="00902625" w:rsidP="00902625">
            <w:pPr>
              <w:spacing w:after="0" w:line="240" w:lineRule="auto"/>
              <w:rPr>
                <w:rFonts w:ascii="Arial" w:eastAsia="Times New Roman" w:hAnsi="Arial" w:cs="Arial"/>
                <w:bCs/>
                <w:color w:val="000000"/>
                <w:lang w:eastAsia="en-AU"/>
              </w:rPr>
            </w:pPr>
            <w:r w:rsidRPr="00902625">
              <w:rPr>
                <w:rFonts w:ascii="Arial" w:eastAsia="Times New Roman" w:hAnsi="Arial" w:cs="Arial"/>
                <w:bCs/>
                <w:color w:val="000000"/>
                <w:lang w:eastAsia="en-AU"/>
              </w:rPr>
              <w:t>2 years</w:t>
            </w:r>
          </w:p>
        </w:tc>
        <w:tc>
          <w:tcPr>
            <w:tcW w:w="1197"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39.9%</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34.5%</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32.4%</w:t>
            </w: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p>
        </w:tc>
        <w:tc>
          <w:tcPr>
            <w:tcW w:w="1198" w:type="dxa"/>
            <w:tcBorders>
              <w:top w:val="nil"/>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p>
        </w:tc>
        <w:tc>
          <w:tcPr>
            <w:tcW w:w="1198" w:type="dxa"/>
            <w:tcBorders>
              <w:top w:val="nil"/>
              <w:left w:val="nil"/>
              <w:bottom w:val="single" w:sz="4" w:space="0" w:color="auto"/>
              <w:right w:val="single" w:sz="4" w:space="0" w:color="auto"/>
            </w:tcBorders>
            <w:shd w:val="clear" w:color="000000" w:fill="FFFFFF"/>
          </w:tcPr>
          <w:p w:rsidR="00902625" w:rsidRPr="00902625" w:rsidRDefault="00902625" w:rsidP="00902625">
            <w:pPr>
              <w:spacing w:after="0"/>
              <w:rPr>
                <w:rFonts w:ascii="Arial" w:hAnsi="Arial" w:cs="Arial"/>
              </w:rPr>
            </w:pPr>
          </w:p>
        </w:tc>
      </w:tr>
      <w:tr w:rsidR="00902625" w:rsidRPr="00902625" w:rsidTr="00902625">
        <w:trPr>
          <w:trHeight w:val="282"/>
        </w:trPr>
        <w:tc>
          <w:tcPr>
            <w:tcW w:w="219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02625" w:rsidRPr="00902625" w:rsidRDefault="00902625" w:rsidP="00902625">
            <w:pPr>
              <w:spacing w:after="0" w:line="240" w:lineRule="auto"/>
              <w:rPr>
                <w:rFonts w:ascii="Arial" w:eastAsia="Times New Roman" w:hAnsi="Arial" w:cs="Arial"/>
                <w:bCs/>
                <w:color w:val="000000"/>
                <w:lang w:eastAsia="en-AU"/>
              </w:rPr>
            </w:pPr>
            <w:r w:rsidRPr="00902625">
              <w:rPr>
                <w:rFonts w:ascii="Arial" w:eastAsia="Times New Roman" w:hAnsi="Arial" w:cs="Arial"/>
                <w:bCs/>
                <w:color w:val="000000"/>
                <w:lang w:eastAsia="en-AU"/>
              </w:rPr>
              <w:t>1 year</w:t>
            </w:r>
          </w:p>
        </w:tc>
        <w:tc>
          <w:tcPr>
            <w:tcW w:w="1197" w:type="dxa"/>
            <w:tcBorders>
              <w:top w:val="single" w:sz="4" w:space="0" w:color="auto"/>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41.2%</w:t>
            </w:r>
          </w:p>
        </w:tc>
        <w:tc>
          <w:tcPr>
            <w:tcW w:w="1198" w:type="dxa"/>
            <w:tcBorders>
              <w:top w:val="single" w:sz="4" w:space="0" w:color="auto"/>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r w:rsidRPr="00902625">
              <w:rPr>
                <w:rFonts w:ascii="Arial" w:hAnsi="Arial" w:cs="Arial"/>
              </w:rPr>
              <w:t>36.0%</w:t>
            </w:r>
          </w:p>
        </w:tc>
        <w:tc>
          <w:tcPr>
            <w:tcW w:w="1198" w:type="dxa"/>
            <w:tcBorders>
              <w:top w:val="single" w:sz="4" w:space="0" w:color="auto"/>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p>
        </w:tc>
        <w:tc>
          <w:tcPr>
            <w:tcW w:w="1198" w:type="dxa"/>
            <w:tcBorders>
              <w:top w:val="single" w:sz="4" w:space="0" w:color="auto"/>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p>
        </w:tc>
        <w:tc>
          <w:tcPr>
            <w:tcW w:w="1198" w:type="dxa"/>
            <w:tcBorders>
              <w:top w:val="single" w:sz="4" w:space="0" w:color="auto"/>
              <w:left w:val="nil"/>
              <w:bottom w:val="single" w:sz="4" w:space="0" w:color="auto"/>
              <w:right w:val="single" w:sz="4" w:space="0" w:color="auto"/>
            </w:tcBorders>
            <w:shd w:val="clear" w:color="000000" w:fill="FFFFFF"/>
            <w:noWrap/>
          </w:tcPr>
          <w:p w:rsidR="00902625" w:rsidRPr="00902625" w:rsidRDefault="00902625" w:rsidP="00902625">
            <w:pPr>
              <w:spacing w:after="0"/>
              <w:rPr>
                <w:rFonts w:ascii="Arial" w:hAnsi="Arial" w:cs="Arial"/>
              </w:rPr>
            </w:pPr>
          </w:p>
        </w:tc>
        <w:tc>
          <w:tcPr>
            <w:tcW w:w="1198" w:type="dxa"/>
            <w:tcBorders>
              <w:top w:val="single" w:sz="4" w:space="0" w:color="auto"/>
              <w:left w:val="nil"/>
              <w:bottom w:val="single" w:sz="4" w:space="0" w:color="auto"/>
              <w:right w:val="single" w:sz="4" w:space="0" w:color="auto"/>
            </w:tcBorders>
            <w:shd w:val="clear" w:color="000000" w:fill="FFFFFF"/>
          </w:tcPr>
          <w:p w:rsidR="00902625" w:rsidRPr="00902625" w:rsidRDefault="00902625" w:rsidP="00902625">
            <w:pPr>
              <w:spacing w:after="0"/>
              <w:rPr>
                <w:rFonts w:ascii="Arial" w:hAnsi="Arial" w:cs="Arial"/>
              </w:rPr>
            </w:pPr>
          </w:p>
        </w:tc>
      </w:tr>
    </w:tbl>
    <w:p w:rsidR="00B83265" w:rsidRDefault="00B83265" w:rsidP="00B83265">
      <w:pPr>
        <w:spacing w:after="240"/>
        <w:rPr>
          <w:rFonts w:cstheme="minorHAnsi"/>
        </w:rPr>
      </w:pPr>
    </w:p>
    <w:p w:rsidR="0080201D" w:rsidRDefault="0080201D" w:rsidP="00B83265">
      <w:pPr>
        <w:spacing w:after="240"/>
        <w:rPr>
          <w:rFonts w:cstheme="minorHAnsi"/>
        </w:rPr>
      </w:pPr>
      <w:r>
        <w:rPr>
          <w:rFonts w:cstheme="minorHAnsi"/>
        </w:rPr>
        <w:t>Footnote 1:</w:t>
      </w:r>
    </w:p>
    <w:p w:rsidR="00B83265" w:rsidRPr="000F6DBA" w:rsidRDefault="00B83265" w:rsidP="00B83265">
      <w:pPr>
        <w:spacing w:after="240"/>
        <w:rPr>
          <w:rFonts w:cstheme="minorHAnsi"/>
        </w:rPr>
      </w:pPr>
      <w:r w:rsidRPr="000F6DBA">
        <w:rPr>
          <w:rFonts w:cstheme="minorHAnsi"/>
        </w:rPr>
        <w:t>Population benchmark figures are from:</w:t>
      </w:r>
    </w:p>
    <w:p w:rsidR="00B83265" w:rsidRPr="000F6DBA" w:rsidRDefault="00B83265" w:rsidP="00B83265">
      <w:pPr>
        <w:pStyle w:val="ListParagraph"/>
        <w:numPr>
          <w:ilvl w:val="0"/>
          <w:numId w:val="35"/>
        </w:numPr>
        <w:spacing w:after="240"/>
        <w:rPr>
          <w:rFonts w:cstheme="minorHAnsi"/>
        </w:rPr>
      </w:pPr>
      <w:r w:rsidRPr="000F6DBA">
        <w:rPr>
          <w:rFonts w:cstheme="minorHAnsi"/>
        </w:rPr>
        <w:lastRenderedPageBreak/>
        <w:t>Self-rated health: Australian Bureau of Statistics (ABS), General Social Survey (GSS) 2020, standardised for NDIS participant age and gender distribution.</w:t>
      </w:r>
    </w:p>
    <w:p w:rsidR="00B83265" w:rsidRPr="000F6DBA" w:rsidRDefault="00B83265" w:rsidP="00B83265">
      <w:pPr>
        <w:pStyle w:val="ListParagraph"/>
        <w:numPr>
          <w:ilvl w:val="0"/>
          <w:numId w:val="35"/>
        </w:numPr>
        <w:spacing w:after="240"/>
        <w:rPr>
          <w:rFonts w:cstheme="minorHAnsi"/>
        </w:rPr>
      </w:pPr>
      <w:r w:rsidRPr="000F6DBA">
        <w:rPr>
          <w:rFonts w:cstheme="minorHAnsi"/>
        </w:rPr>
        <w:t>Hospital visits: ABS, Hospital Visits 2020-21, standardised for NDIS participant age distribution</w:t>
      </w:r>
    </w:p>
    <w:p w:rsidR="00B83265" w:rsidRPr="000F6DBA" w:rsidRDefault="00B83265" w:rsidP="00B83265">
      <w:pPr>
        <w:pStyle w:val="ListParagraph"/>
        <w:numPr>
          <w:ilvl w:val="0"/>
          <w:numId w:val="35"/>
        </w:numPr>
        <w:spacing w:after="240"/>
        <w:rPr>
          <w:rFonts w:cstheme="minorHAnsi"/>
        </w:rPr>
      </w:pPr>
      <w:r w:rsidRPr="000F6DBA">
        <w:rPr>
          <w:rFonts w:cstheme="minorHAnsi"/>
        </w:rPr>
        <w:t>Regular doctor: Household, Income and Labour Dynamics in Australia (HILDA) 2017, standardised for NDIS participant age and gender distribution.</w:t>
      </w:r>
    </w:p>
    <w:p w:rsidR="00B83265" w:rsidRPr="004168FC" w:rsidRDefault="00B83265" w:rsidP="002817DE">
      <w:pPr>
        <w:pStyle w:val="Heading2"/>
        <w:rPr>
          <w:sz w:val="22"/>
          <w:szCs w:val="22"/>
        </w:rPr>
      </w:pPr>
      <w:bookmarkStart w:id="83" w:name="_Toc121151455"/>
      <w:r w:rsidRPr="002817DE">
        <w:t>Slide 73: Participants aged 15 and over – Health and wellbeing</w:t>
      </w:r>
      <w:r w:rsidR="002D6785">
        <w:t xml:space="preserve"> (Footnote 1)</w:t>
      </w:r>
      <w:r w:rsidRPr="002817DE">
        <w:t xml:space="preserve">: Life satisfaction, flu </w:t>
      </w:r>
      <w:r w:rsidRPr="004168FC">
        <w:rPr>
          <w:sz w:val="22"/>
          <w:szCs w:val="22"/>
        </w:rPr>
        <w:t>vaccination and dentist visits (benchmark)</w:t>
      </w:r>
      <w:bookmarkEnd w:id="83"/>
    </w:p>
    <w:p w:rsidR="00B83265" w:rsidRPr="00715092" w:rsidRDefault="00B83265" w:rsidP="00B83265">
      <w:pPr>
        <w:spacing w:after="240"/>
        <w:rPr>
          <w:rFonts w:cstheme="minorHAnsi"/>
        </w:rPr>
      </w:pPr>
      <w:r w:rsidRPr="00715092">
        <w:rPr>
          <w:rFonts w:cstheme="minorHAnsi"/>
        </w:rPr>
        <w:t xml:space="preserve">This slide benchmarks participants’ </w:t>
      </w:r>
      <w:r>
        <w:rPr>
          <w:rFonts w:cstheme="minorHAnsi"/>
        </w:rPr>
        <w:t xml:space="preserve">health and wellbeing outcomes in life satisfaction, flu vaccinations and dentist visits, </w:t>
      </w:r>
      <w:r w:rsidRPr="00715092">
        <w:rPr>
          <w:rFonts w:cstheme="minorHAnsi"/>
        </w:rPr>
        <w:t>relative to those of the Australian population.</w:t>
      </w:r>
    </w:p>
    <w:p w:rsidR="00B83265" w:rsidRDefault="00B83265" w:rsidP="00B83265">
      <w:pPr>
        <w:spacing w:after="240"/>
      </w:pPr>
      <w:r>
        <w:t>Participant life satisfaction has tended to improve, with an increase of 18.4 percentage points from baseline to fifth review (C5) in the percentage of participants feeling delighted, pleased or mostly satisfied about their life in general, now and in the future (despite some volatility due to small numbers). However, the percentage is still lower than the Australian population average of 76.5%.</w:t>
      </w:r>
    </w:p>
    <w:p w:rsidR="00B83265" w:rsidRDefault="00B83265" w:rsidP="00B83265">
      <w:pPr>
        <w:spacing w:after="240"/>
      </w:pPr>
      <w:r>
        <w:t>The percentage of participants receiving a flu vaccination in the past 12 months has increased for all cohorts. For those in cohort 5, the percentage increased from 55.3% at baseline to 71.1% at fifth review, which is more than double the Australian population average of 34.6%.</w:t>
      </w:r>
    </w:p>
    <w:p w:rsidR="00B83265" w:rsidRDefault="00B83265" w:rsidP="00B83265">
      <w:pPr>
        <w:spacing w:after="240"/>
        <w:rPr>
          <w:rFonts w:cstheme="minorHAnsi"/>
        </w:rPr>
      </w:pPr>
      <w:r>
        <w:t>Dentist visits have been declining over time, with a 3.9 percentage point drop over five years to 50.0% - just above the population average of 48.1%. (At later reviews, these percentages may be impacted by the COVID-19 pandemic).</w:t>
      </w:r>
      <w:r>
        <w:rPr>
          <w:rFonts w:cstheme="minorHAnsi"/>
        </w:rPr>
        <w:t xml:space="preserve"> </w:t>
      </w:r>
    </w:p>
    <w:p w:rsidR="00B83265" w:rsidRDefault="00B83265" w:rsidP="00B83265">
      <w:pPr>
        <w:spacing w:after="240"/>
        <w:rPr>
          <w:rFonts w:cstheme="minorHAnsi"/>
        </w:rPr>
      </w:pPr>
      <w:r>
        <w:rPr>
          <w:rFonts w:cstheme="minorHAnsi"/>
        </w:rPr>
        <w:t xml:space="preserve">Three charts shows </w:t>
      </w:r>
      <w:r w:rsidRPr="00AD4C8D">
        <w:rPr>
          <w:rFonts w:cstheme="minorHAnsi"/>
        </w:rPr>
        <w:t xml:space="preserve">the percentage </w:t>
      </w:r>
      <w:r>
        <w:rPr>
          <w:rFonts w:cstheme="minorHAnsi"/>
        </w:rPr>
        <w:t xml:space="preserve">who </w:t>
      </w:r>
      <w:r w:rsidRPr="00AC35E8">
        <w:rPr>
          <w:rFonts w:cstheme="minorHAnsi"/>
        </w:rPr>
        <w:t>feel delighted, pleased or mostly satisfied about their life in</w:t>
      </w:r>
      <w:r>
        <w:rPr>
          <w:rFonts w:cstheme="minorHAnsi"/>
        </w:rPr>
        <w:t xml:space="preserve"> general, now and in the future, who have had a flu vaccination in the past 12 months and who have visited a dentist in the past 12 months </w:t>
      </w:r>
      <w:r w:rsidRPr="00AD4C8D">
        <w:rPr>
          <w:rFonts w:cstheme="minorHAnsi"/>
        </w:rPr>
        <w:t>at baseline and at subsequent reviews, separately for participants in the five years, four years, three years, two years or one year</w:t>
      </w:r>
      <w:r w:rsidR="00F60946">
        <w:rPr>
          <w:rFonts w:cstheme="minorHAnsi"/>
        </w:rPr>
        <w:t xml:space="preserve"> cohorts</w:t>
      </w:r>
      <w:r w:rsidRPr="00AD4C8D">
        <w:rPr>
          <w:rFonts w:cstheme="minorHAnsi"/>
        </w:rPr>
        <w:t>.</w:t>
      </w:r>
      <w:r>
        <w:rPr>
          <w:rFonts w:cstheme="minorHAnsi"/>
        </w:rPr>
        <w:t xml:space="preserve"> </w:t>
      </w:r>
      <w:r w:rsidRPr="00715092">
        <w:rPr>
          <w:rFonts w:cstheme="minorHAnsi"/>
        </w:rPr>
        <w:t>Benchmarks for the Australian population are also shown.</w:t>
      </w:r>
    </w:p>
    <w:p w:rsidR="00F60946" w:rsidRPr="00AD4C8D" w:rsidRDefault="00F60946" w:rsidP="00B83265">
      <w:pPr>
        <w:spacing w:after="240"/>
        <w:rPr>
          <w:rFonts w:cstheme="minorHAnsi"/>
        </w:rPr>
      </w:pPr>
      <w:r>
        <w:rPr>
          <w:rFonts w:cstheme="minorHAnsi"/>
        </w:rPr>
        <w:t>For PSto14, analysed by time since first in P15to24, otherwise by time in Scheme.</w:t>
      </w:r>
    </w:p>
    <w:p w:rsidR="00B83265" w:rsidRDefault="00B83265" w:rsidP="00B83265">
      <w:pPr>
        <w:spacing w:after="240"/>
        <w:rPr>
          <w:rFonts w:cstheme="minorHAnsi"/>
        </w:rPr>
      </w:pPr>
      <w:r>
        <w:rPr>
          <w:rFonts w:cstheme="minorHAnsi"/>
        </w:rPr>
        <w:t>Life satisfaction</w:t>
      </w:r>
      <w:r w:rsidR="00F60946">
        <w:rPr>
          <w:rFonts w:cstheme="minorHAnsi"/>
        </w:rPr>
        <w:t xml:space="preserve"> (improved)</w:t>
      </w:r>
    </w:p>
    <w:tbl>
      <w:tblPr>
        <w:tblpPr w:leftFromText="180" w:rightFromText="180" w:vertAnchor="text" w:tblpY="1"/>
        <w:tblOverlap w:val="never"/>
        <w:tblW w:w="9384" w:type="dxa"/>
        <w:tblLayout w:type="fixed"/>
        <w:tblLook w:val="04A0" w:firstRow="1" w:lastRow="0" w:firstColumn="1" w:lastColumn="0" w:noHBand="0" w:noVBand="1"/>
      </w:tblPr>
      <w:tblGrid>
        <w:gridCol w:w="2197"/>
        <w:gridCol w:w="1197"/>
        <w:gridCol w:w="1198"/>
        <w:gridCol w:w="1198"/>
        <w:gridCol w:w="1198"/>
        <w:gridCol w:w="1198"/>
        <w:gridCol w:w="1198"/>
      </w:tblGrid>
      <w:tr w:rsidR="00902625" w:rsidRPr="00AD4869" w:rsidTr="00AD4869">
        <w:trPr>
          <w:trHeight w:val="282"/>
        </w:trPr>
        <w:tc>
          <w:tcPr>
            <w:tcW w:w="21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02625" w:rsidRPr="00AD4869" w:rsidRDefault="00902625" w:rsidP="00AD4869">
            <w:pPr>
              <w:spacing w:after="0" w:line="240" w:lineRule="auto"/>
              <w:rPr>
                <w:rFonts w:ascii="Arial" w:eastAsia="Times New Roman" w:hAnsi="Arial" w:cs="Arial"/>
                <w:b/>
                <w:bCs/>
                <w:color w:val="000000"/>
                <w:lang w:eastAsia="zh-CN"/>
              </w:rPr>
            </w:pPr>
            <w:r w:rsidRPr="00AD4869">
              <w:rPr>
                <w:rFonts w:ascii="Arial" w:eastAsia="Times New Roman" w:hAnsi="Arial" w:cs="Arial"/>
                <w:b/>
                <w:bCs/>
                <w:color w:val="000000"/>
                <w:lang w:eastAsia="zh-CN"/>
              </w:rPr>
              <w:t>Cohort/Benchmark</w:t>
            </w:r>
          </w:p>
        </w:tc>
        <w:tc>
          <w:tcPr>
            <w:tcW w:w="1197" w:type="dxa"/>
            <w:tcBorders>
              <w:top w:val="single" w:sz="4" w:space="0" w:color="auto"/>
              <w:left w:val="nil"/>
              <w:bottom w:val="single" w:sz="4" w:space="0" w:color="auto"/>
              <w:right w:val="single" w:sz="4" w:space="0" w:color="auto"/>
            </w:tcBorders>
            <w:shd w:val="clear" w:color="000000" w:fill="FFFFFF"/>
            <w:noWrap/>
            <w:vAlign w:val="center"/>
            <w:hideMark/>
          </w:tcPr>
          <w:p w:rsidR="00902625" w:rsidRPr="00AD4869" w:rsidRDefault="00902625" w:rsidP="00AD4869">
            <w:pPr>
              <w:spacing w:after="0" w:line="240" w:lineRule="auto"/>
              <w:rPr>
                <w:rFonts w:ascii="Arial" w:eastAsia="Times New Roman" w:hAnsi="Arial" w:cs="Arial"/>
                <w:b/>
                <w:bCs/>
                <w:color w:val="000000"/>
                <w:lang w:eastAsia="zh-CN"/>
              </w:rPr>
            </w:pPr>
            <w:r w:rsidRPr="00AD4869">
              <w:rPr>
                <w:rFonts w:ascii="Arial" w:eastAsia="Times New Roman" w:hAnsi="Arial" w:cs="Arial"/>
                <w:b/>
                <w:bCs/>
                <w:color w:val="000000"/>
                <w:lang w:eastAsia="zh-CN"/>
              </w:rPr>
              <w:t>Baseline</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902625" w:rsidRPr="00AD4869" w:rsidRDefault="00902625" w:rsidP="00AD4869">
            <w:pPr>
              <w:spacing w:after="0" w:line="240" w:lineRule="auto"/>
              <w:rPr>
                <w:rFonts w:ascii="Arial" w:eastAsia="Times New Roman" w:hAnsi="Arial" w:cs="Arial"/>
                <w:b/>
                <w:bCs/>
                <w:color w:val="000000"/>
                <w:lang w:eastAsia="zh-CN"/>
              </w:rPr>
            </w:pPr>
            <w:r w:rsidRPr="00AD4869">
              <w:rPr>
                <w:rFonts w:ascii="Arial" w:eastAsia="Times New Roman" w:hAnsi="Arial" w:cs="Arial"/>
                <w:b/>
                <w:bCs/>
                <w:color w:val="000000"/>
                <w:lang w:eastAsia="zh-CN"/>
              </w:rPr>
              <w:t>Review 1</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902625" w:rsidRPr="00AD4869" w:rsidRDefault="00902625" w:rsidP="00AD4869">
            <w:pPr>
              <w:spacing w:after="0" w:line="240" w:lineRule="auto"/>
              <w:rPr>
                <w:rFonts w:ascii="Arial" w:eastAsia="Times New Roman" w:hAnsi="Arial" w:cs="Arial"/>
                <w:b/>
                <w:bCs/>
                <w:color w:val="000000"/>
                <w:lang w:eastAsia="zh-CN"/>
              </w:rPr>
            </w:pPr>
            <w:r w:rsidRPr="00AD4869">
              <w:rPr>
                <w:rFonts w:ascii="Arial" w:eastAsia="Times New Roman" w:hAnsi="Arial" w:cs="Arial"/>
                <w:b/>
                <w:bCs/>
                <w:color w:val="000000"/>
                <w:lang w:eastAsia="zh-CN"/>
              </w:rPr>
              <w:t>Review 2</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902625" w:rsidRPr="00AD4869" w:rsidRDefault="00902625" w:rsidP="00AD4869">
            <w:pPr>
              <w:spacing w:after="0" w:line="240" w:lineRule="auto"/>
              <w:rPr>
                <w:rFonts w:ascii="Arial" w:eastAsia="Times New Roman" w:hAnsi="Arial" w:cs="Arial"/>
                <w:b/>
                <w:bCs/>
                <w:color w:val="000000"/>
                <w:lang w:eastAsia="zh-CN"/>
              </w:rPr>
            </w:pPr>
            <w:r w:rsidRPr="00AD4869">
              <w:rPr>
                <w:rFonts w:ascii="Arial" w:eastAsia="Times New Roman" w:hAnsi="Arial" w:cs="Arial"/>
                <w:b/>
                <w:bCs/>
                <w:color w:val="000000"/>
                <w:lang w:eastAsia="zh-CN"/>
              </w:rPr>
              <w:t>Review 3</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902625" w:rsidRPr="00AD4869" w:rsidRDefault="00902625" w:rsidP="00AD4869">
            <w:pPr>
              <w:spacing w:after="0" w:line="240" w:lineRule="auto"/>
              <w:rPr>
                <w:rFonts w:ascii="Arial" w:eastAsia="Times New Roman" w:hAnsi="Arial" w:cs="Arial"/>
                <w:b/>
                <w:bCs/>
                <w:color w:val="000000"/>
                <w:lang w:eastAsia="zh-CN"/>
              </w:rPr>
            </w:pPr>
            <w:r w:rsidRPr="00AD4869">
              <w:rPr>
                <w:rFonts w:ascii="Arial" w:eastAsia="Times New Roman" w:hAnsi="Arial" w:cs="Arial"/>
                <w:b/>
                <w:bCs/>
                <w:color w:val="000000"/>
                <w:lang w:eastAsia="zh-CN"/>
              </w:rPr>
              <w:t>Review 4</w:t>
            </w:r>
          </w:p>
        </w:tc>
        <w:tc>
          <w:tcPr>
            <w:tcW w:w="1198" w:type="dxa"/>
            <w:tcBorders>
              <w:top w:val="single" w:sz="4" w:space="0" w:color="auto"/>
              <w:left w:val="nil"/>
              <w:bottom w:val="single" w:sz="4" w:space="0" w:color="auto"/>
              <w:right w:val="single" w:sz="4" w:space="0" w:color="auto"/>
            </w:tcBorders>
            <w:shd w:val="clear" w:color="000000" w:fill="FFFFFF"/>
            <w:vAlign w:val="center"/>
          </w:tcPr>
          <w:p w:rsidR="00902625" w:rsidRPr="00AD4869" w:rsidRDefault="00902625" w:rsidP="00AD4869">
            <w:pPr>
              <w:spacing w:after="0" w:line="240" w:lineRule="auto"/>
              <w:rPr>
                <w:rFonts w:ascii="Arial" w:eastAsia="Times New Roman" w:hAnsi="Arial" w:cs="Arial"/>
                <w:b/>
                <w:bCs/>
                <w:color w:val="000000"/>
                <w:lang w:eastAsia="zh-CN"/>
              </w:rPr>
            </w:pPr>
            <w:r w:rsidRPr="00AD4869">
              <w:rPr>
                <w:rFonts w:ascii="Arial" w:eastAsia="Times New Roman" w:hAnsi="Arial" w:cs="Arial"/>
                <w:b/>
                <w:bCs/>
                <w:color w:val="000000"/>
                <w:lang w:eastAsia="zh-CN"/>
              </w:rPr>
              <w:t>Review 5</w:t>
            </w:r>
          </w:p>
        </w:tc>
      </w:tr>
      <w:tr w:rsidR="00B83265" w:rsidRPr="00AD4869" w:rsidTr="00AD4869">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center"/>
            <w:hideMark/>
          </w:tcPr>
          <w:p w:rsidR="00B83265" w:rsidRPr="00AD4869" w:rsidRDefault="00B83265" w:rsidP="00AD4869">
            <w:pPr>
              <w:spacing w:after="0"/>
              <w:rPr>
                <w:rFonts w:ascii="Arial" w:hAnsi="Arial" w:cs="Arial"/>
              </w:rPr>
            </w:pPr>
            <w:r w:rsidRPr="00AD4869">
              <w:rPr>
                <w:rFonts w:ascii="Arial" w:hAnsi="Arial" w:cs="Arial"/>
              </w:rPr>
              <w:t>Benchmark</w:t>
            </w:r>
          </w:p>
        </w:tc>
        <w:tc>
          <w:tcPr>
            <w:tcW w:w="1197" w:type="dxa"/>
            <w:tcBorders>
              <w:top w:val="nil"/>
              <w:left w:val="nil"/>
              <w:bottom w:val="single" w:sz="4" w:space="0" w:color="auto"/>
              <w:right w:val="single" w:sz="4" w:space="0" w:color="auto"/>
            </w:tcBorders>
            <w:shd w:val="clear" w:color="000000" w:fill="FFFFFF"/>
            <w:noWrap/>
            <w:vAlign w:val="center"/>
          </w:tcPr>
          <w:p w:rsidR="00B83265" w:rsidRPr="00AD4869" w:rsidRDefault="00B83265" w:rsidP="00AD4869">
            <w:pPr>
              <w:spacing w:after="0"/>
              <w:rPr>
                <w:rFonts w:ascii="Arial" w:hAnsi="Arial" w:cs="Arial"/>
              </w:rPr>
            </w:pPr>
            <w:r w:rsidRPr="00AD4869">
              <w:rPr>
                <w:rFonts w:ascii="Arial" w:hAnsi="Arial" w:cs="Arial"/>
              </w:rPr>
              <w:t>76.5%</w:t>
            </w:r>
          </w:p>
        </w:tc>
        <w:tc>
          <w:tcPr>
            <w:tcW w:w="1198" w:type="dxa"/>
            <w:tcBorders>
              <w:top w:val="nil"/>
              <w:left w:val="nil"/>
              <w:bottom w:val="single" w:sz="4" w:space="0" w:color="auto"/>
              <w:right w:val="single" w:sz="4" w:space="0" w:color="auto"/>
            </w:tcBorders>
            <w:shd w:val="clear" w:color="000000" w:fill="FFFFFF"/>
            <w:noWrap/>
            <w:vAlign w:val="center"/>
          </w:tcPr>
          <w:p w:rsidR="00B83265" w:rsidRPr="00AD4869" w:rsidRDefault="00B83265" w:rsidP="00AD4869">
            <w:pPr>
              <w:spacing w:after="0"/>
              <w:rPr>
                <w:rFonts w:ascii="Arial" w:hAnsi="Arial" w:cs="Arial"/>
              </w:rPr>
            </w:pPr>
            <w:r w:rsidRPr="00AD4869">
              <w:rPr>
                <w:rFonts w:ascii="Arial" w:hAnsi="Arial" w:cs="Arial"/>
              </w:rPr>
              <w:t>76.5%</w:t>
            </w:r>
          </w:p>
        </w:tc>
        <w:tc>
          <w:tcPr>
            <w:tcW w:w="1198" w:type="dxa"/>
            <w:tcBorders>
              <w:top w:val="nil"/>
              <w:left w:val="nil"/>
              <w:bottom w:val="single" w:sz="4" w:space="0" w:color="auto"/>
              <w:right w:val="single" w:sz="4" w:space="0" w:color="auto"/>
            </w:tcBorders>
            <w:shd w:val="clear" w:color="000000" w:fill="FFFFFF"/>
            <w:noWrap/>
            <w:vAlign w:val="center"/>
          </w:tcPr>
          <w:p w:rsidR="00B83265" w:rsidRPr="00AD4869" w:rsidRDefault="00B83265" w:rsidP="00AD4869">
            <w:pPr>
              <w:spacing w:after="0"/>
              <w:rPr>
                <w:rFonts w:ascii="Arial" w:hAnsi="Arial" w:cs="Arial"/>
              </w:rPr>
            </w:pPr>
            <w:r w:rsidRPr="00AD4869">
              <w:rPr>
                <w:rFonts w:ascii="Arial" w:hAnsi="Arial" w:cs="Arial"/>
              </w:rPr>
              <w:t>76.5%</w:t>
            </w:r>
          </w:p>
        </w:tc>
        <w:tc>
          <w:tcPr>
            <w:tcW w:w="1198" w:type="dxa"/>
            <w:tcBorders>
              <w:top w:val="nil"/>
              <w:left w:val="nil"/>
              <w:bottom w:val="single" w:sz="4" w:space="0" w:color="auto"/>
              <w:right w:val="single" w:sz="4" w:space="0" w:color="auto"/>
            </w:tcBorders>
            <w:shd w:val="clear" w:color="000000" w:fill="FFFFFF"/>
            <w:noWrap/>
            <w:vAlign w:val="center"/>
          </w:tcPr>
          <w:p w:rsidR="00B83265" w:rsidRPr="00AD4869" w:rsidRDefault="00B83265" w:rsidP="00AD4869">
            <w:pPr>
              <w:spacing w:after="0"/>
              <w:rPr>
                <w:rFonts w:ascii="Arial" w:hAnsi="Arial" w:cs="Arial"/>
              </w:rPr>
            </w:pPr>
            <w:r w:rsidRPr="00AD4869">
              <w:rPr>
                <w:rFonts w:ascii="Arial" w:hAnsi="Arial" w:cs="Arial"/>
              </w:rPr>
              <w:t>76.5%</w:t>
            </w:r>
          </w:p>
        </w:tc>
        <w:tc>
          <w:tcPr>
            <w:tcW w:w="1198" w:type="dxa"/>
            <w:tcBorders>
              <w:top w:val="nil"/>
              <w:left w:val="nil"/>
              <w:bottom w:val="single" w:sz="4" w:space="0" w:color="auto"/>
              <w:right w:val="single" w:sz="4" w:space="0" w:color="auto"/>
            </w:tcBorders>
            <w:shd w:val="clear" w:color="000000" w:fill="FFFFFF"/>
            <w:noWrap/>
            <w:vAlign w:val="center"/>
          </w:tcPr>
          <w:p w:rsidR="00B83265" w:rsidRPr="00AD4869" w:rsidRDefault="00B83265" w:rsidP="00AD4869">
            <w:pPr>
              <w:spacing w:after="0"/>
              <w:rPr>
                <w:rFonts w:ascii="Arial" w:hAnsi="Arial" w:cs="Arial"/>
              </w:rPr>
            </w:pPr>
            <w:r w:rsidRPr="00AD4869">
              <w:rPr>
                <w:rFonts w:ascii="Arial" w:hAnsi="Arial" w:cs="Arial"/>
              </w:rPr>
              <w:t>76.5%</w:t>
            </w:r>
          </w:p>
        </w:tc>
        <w:tc>
          <w:tcPr>
            <w:tcW w:w="1198" w:type="dxa"/>
            <w:tcBorders>
              <w:top w:val="nil"/>
              <w:left w:val="nil"/>
              <w:bottom w:val="single" w:sz="4" w:space="0" w:color="auto"/>
              <w:right w:val="single" w:sz="4" w:space="0" w:color="auto"/>
            </w:tcBorders>
            <w:shd w:val="clear" w:color="000000" w:fill="FFFFFF"/>
            <w:vAlign w:val="center"/>
          </w:tcPr>
          <w:p w:rsidR="00B83265" w:rsidRPr="00AD4869" w:rsidRDefault="00B83265" w:rsidP="00AD4869">
            <w:pPr>
              <w:spacing w:after="0"/>
              <w:rPr>
                <w:rFonts w:ascii="Arial" w:hAnsi="Arial" w:cs="Arial"/>
              </w:rPr>
            </w:pPr>
            <w:r w:rsidRPr="00AD4869">
              <w:rPr>
                <w:rFonts w:ascii="Arial" w:hAnsi="Arial" w:cs="Arial"/>
              </w:rPr>
              <w:t>76.5%</w:t>
            </w:r>
          </w:p>
        </w:tc>
      </w:tr>
      <w:tr w:rsidR="00902625" w:rsidRPr="00AD4869" w:rsidTr="00AD4869">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bottom"/>
          </w:tcPr>
          <w:p w:rsidR="00902625" w:rsidRPr="00AD4869" w:rsidRDefault="00902625" w:rsidP="00AD4869">
            <w:pPr>
              <w:spacing w:after="0" w:line="240" w:lineRule="auto"/>
              <w:rPr>
                <w:rFonts w:ascii="Arial" w:eastAsia="Times New Roman" w:hAnsi="Arial" w:cs="Arial"/>
                <w:bCs/>
                <w:color w:val="000000"/>
                <w:lang w:eastAsia="en-AU"/>
              </w:rPr>
            </w:pPr>
            <w:r w:rsidRPr="00AD4869">
              <w:rPr>
                <w:rFonts w:ascii="Arial" w:eastAsia="Times New Roman" w:hAnsi="Arial" w:cs="Arial"/>
                <w:bCs/>
                <w:color w:val="000000"/>
                <w:lang w:eastAsia="en-AU"/>
              </w:rPr>
              <w:t>5 years</w:t>
            </w:r>
          </w:p>
        </w:tc>
        <w:tc>
          <w:tcPr>
            <w:tcW w:w="1197"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43.4%</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45.3%</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58.7%</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52.6%</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50.0%</w:t>
            </w:r>
          </w:p>
        </w:tc>
        <w:tc>
          <w:tcPr>
            <w:tcW w:w="1198" w:type="dxa"/>
            <w:tcBorders>
              <w:top w:val="nil"/>
              <w:left w:val="nil"/>
              <w:bottom w:val="single" w:sz="4" w:space="0" w:color="auto"/>
              <w:right w:val="single" w:sz="4" w:space="0" w:color="auto"/>
            </w:tcBorders>
            <w:shd w:val="clear" w:color="000000" w:fill="FFFFFF"/>
            <w:vAlign w:val="center"/>
          </w:tcPr>
          <w:p w:rsidR="00902625" w:rsidRPr="00AD4869" w:rsidRDefault="00902625" w:rsidP="00AD4869">
            <w:pPr>
              <w:spacing w:after="0"/>
              <w:rPr>
                <w:rFonts w:ascii="Arial" w:hAnsi="Arial" w:cs="Arial"/>
              </w:rPr>
            </w:pPr>
            <w:r w:rsidRPr="00AD4869">
              <w:rPr>
                <w:rFonts w:ascii="Arial" w:hAnsi="Arial" w:cs="Arial"/>
              </w:rPr>
              <w:t>61.8%</w:t>
            </w:r>
          </w:p>
        </w:tc>
      </w:tr>
      <w:tr w:rsidR="00902625" w:rsidRPr="00AD4869" w:rsidTr="00AD4869">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bottom"/>
            <w:hideMark/>
          </w:tcPr>
          <w:p w:rsidR="00902625" w:rsidRPr="00AD4869" w:rsidRDefault="00902625" w:rsidP="00AD4869">
            <w:pPr>
              <w:spacing w:after="0" w:line="240" w:lineRule="auto"/>
              <w:rPr>
                <w:rFonts w:ascii="Arial" w:eastAsia="Times New Roman" w:hAnsi="Arial" w:cs="Arial"/>
                <w:bCs/>
                <w:color w:val="000000"/>
                <w:lang w:eastAsia="en-AU"/>
              </w:rPr>
            </w:pPr>
            <w:r w:rsidRPr="00AD4869">
              <w:rPr>
                <w:rFonts w:ascii="Arial" w:eastAsia="Times New Roman" w:hAnsi="Arial" w:cs="Arial"/>
                <w:bCs/>
                <w:color w:val="000000"/>
                <w:lang w:eastAsia="en-AU"/>
              </w:rPr>
              <w:t>4 years</w:t>
            </w:r>
          </w:p>
        </w:tc>
        <w:tc>
          <w:tcPr>
            <w:tcW w:w="1197"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46.8%</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61.9%</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51.0%</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52.7%</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60.8%</w:t>
            </w:r>
          </w:p>
        </w:tc>
        <w:tc>
          <w:tcPr>
            <w:tcW w:w="1198" w:type="dxa"/>
            <w:tcBorders>
              <w:top w:val="nil"/>
              <w:left w:val="nil"/>
              <w:bottom w:val="single" w:sz="4" w:space="0" w:color="auto"/>
              <w:right w:val="single" w:sz="4" w:space="0" w:color="auto"/>
            </w:tcBorders>
            <w:shd w:val="clear" w:color="000000" w:fill="FFFFFF"/>
            <w:vAlign w:val="center"/>
          </w:tcPr>
          <w:p w:rsidR="00902625" w:rsidRPr="00AD4869" w:rsidRDefault="00902625" w:rsidP="00AD4869">
            <w:pPr>
              <w:spacing w:after="0"/>
              <w:rPr>
                <w:rFonts w:ascii="Arial" w:hAnsi="Arial" w:cs="Arial"/>
              </w:rPr>
            </w:pPr>
          </w:p>
        </w:tc>
      </w:tr>
      <w:tr w:rsidR="00902625" w:rsidRPr="00AD4869" w:rsidTr="00AD4869">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bottom"/>
            <w:hideMark/>
          </w:tcPr>
          <w:p w:rsidR="00902625" w:rsidRPr="00AD4869" w:rsidRDefault="00902625" w:rsidP="00AD4869">
            <w:pPr>
              <w:spacing w:after="0" w:line="240" w:lineRule="auto"/>
              <w:rPr>
                <w:rFonts w:ascii="Arial" w:eastAsia="Times New Roman" w:hAnsi="Arial" w:cs="Arial"/>
                <w:bCs/>
                <w:color w:val="000000"/>
                <w:lang w:eastAsia="en-AU"/>
              </w:rPr>
            </w:pPr>
            <w:r w:rsidRPr="00AD4869">
              <w:rPr>
                <w:rFonts w:ascii="Arial" w:eastAsia="Times New Roman" w:hAnsi="Arial" w:cs="Arial"/>
                <w:bCs/>
                <w:color w:val="000000"/>
                <w:lang w:eastAsia="en-AU"/>
              </w:rPr>
              <w:t>3 years</w:t>
            </w:r>
          </w:p>
        </w:tc>
        <w:tc>
          <w:tcPr>
            <w:tcW w:w="1197"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44.4%</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47.6%</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49.5%</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52.9%</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p>
        </w:tc>
        <w:tc>
          <w:tcPr>
            <w:tcW w:w="1198" w:type="dxa"/>
            <w:tcBorders>
              <w:top w:val="nil"/>
              <w:left w:val="nil"/>
              <w:bottom w:val="single" w:sz="4" w:space="0" w:color="auto"/>
              <w:right w:val="single" w:sz="4" w:space="0" w:color="auto"/>
            </w:tcBorders>
            <w:shd w:val="clear" w:color="000000" w:fill="FFFFFF"/>
            <w:vAlign w:val="center"/>
          </w:tcPr>
          <w:p w:rsidR="00902625" w:rsidRPr="00AD4869" w:rsidRDefault="00902625" w:rsidP="00AD4869">
            <w:pPr>
              <w:spacing w:after="0"/>
              <w:rPr>
                <w:rFonts w:ascii="Arial" w:hAnsi="Arial" w:cs="Arial"/>
              </w:rPr>
            </w:pPr>
          </w:p>
        </w:tc>
      </w:tr>
      <w:tr w:rsidR="00902625" w:rsidRPr="00AD4869" w:rsidTr="00AD4869">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bottom"/>
            <w:hideMark/>
          </w:tcPr>
          <w:p w:rsidR="00902625" w:rsidRPr="00AD4869" w:rsidRDefault="00902625" w:rsidP="00AD4869">
            <w:pPr>
              <w:spacing w:after="0" w:line="240" w:lineRule="auto"/>
              <w:rPr>
                <w:rFonts w:ascii="Arial" w:eastAsia="Times New Roman" w:hAnsi="Arial" w:cs="Arial"/>
                <w:bCs/>
                <w:color w:val="000000"/>
                <w:lang w:eastAsia="en-AU"/>
              </w:rPr>
            </w:pPr>
            <w:r w:rsidRPr="00AD4869">
              <w:rPr>
                <w:rFonts w:ascii="Arial" w:eastAsia="Times New Roman" w:hAnsi="Arial" w:cs="Arial"/>
                <w:bCs/>
                <w:color w:val="000000"/>
                <w:lang w:eastAsia="en-AU"/>
              </w:rPr>
              <w:t>2 years</w:t>
            </w:r>
          </w:p>
        </w:tc>
        <w:tc>
          <w:tcPr>
            <w:tcW w:w="1197"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44.6%</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51.3%</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50.2%</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p>
        </w:tc>
        <w:tc>
          <w:tcPr>
            <w:tcW w:w="1198" w:type="dxa"/>
            <w:tcBorders>
              <w:top w:val="nil"/>
              <w:left w:val="nil"/>
              <w:bottom w:val="single" w:sz="4" w:space="0" w:color="auto"/>
              <w:right w:val="single" w:sz="4" w:space="0" w:color="auto"/>
            </w:tcBorders>
            <w:shd w:val="clear" w:color="000000" w:fill="FFFFFF"/>
            <w:vAlign w:val="center"/>
          </w:tcPr>
          <w:p w:rsidR="00902625" w:rsidRPr="00AD4869" w:rsidRDefault="00902625" w:rsidP="00AD4869">
            <w:pPr>
              <w:spacing w:after="0"/>
              <w:rPr>
                <w:rFonts w:ascii="Arial" w:hAnsi="Arial" w:cs="Arial"/>
              </w:rPr>
            </w:pPr>
          </w:p>
        </w:tc>
      </w:tr>
      <w:tr w:rsidR="00902625" w:rsidRPr="00AD4869" w:rsidTr="00AD4869">
        <w:trPr>
          <w:trHeight w:val="282"/>
        </w:trPr>
        <w:tc>
          <w:tcPr>
            <w:tcW w:w="219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02625" w:rsidRPr="00AD4869" w:rsidRDefault="00902625" w:rsidP="00AD4869">
            <w:pPr>
              <w:spacing w:after="0" w:line="240" w:lineRule="auto"/>
              <w:rPr>
                <w:rFonts w:ascii="Arial" w:eastAsia="Times New Roman" w:hAnsi="Arial" w:cs="Arial"/>
                <w:bCs/>
                <w:color w:val="000000"/>
                <w:lang w:eastAsia="en-AU"/>
              </w:rPr>
            </w:pPr>
            <w:r w:rsidRPr="00AD4869">
              <w:rPr>
                <w:rFonts w:ascii="Arial" w:eastAsia="Times New Roman" w:hAnsi="Arial" w:cs="Arial"/>
                <w:bCs/>
                <w:color w:val="000000"/>
                <w:lang w:eastAsia="en-AU"/>
              </w:rPr>
              <w:t>1 year</w:t>
            </w:r>
          </w:p>
        </w:tc>
        <w:tc>
          <w:tcPr>
            <w:tcW w:w="1197" w:type="dxa"/>
            <w:tcBorders>
              <w:top w:val="single" w:sz="4" w:space="0" w:color="auto"/>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42.9%</w:t>
            </w:r>
          </w:p>
        </w:tc>
        <w:tc>
          <w:tcPr>
            <w:tcW w:w="1198" w:type="dxa"/>
            <w:tcBorders>
              <w:top w:val="single" w:sz="4" w:space="0" w:color="auto"/>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47.7%</w:t>
            </w:r>
          </w:p>
        </w:tc>
        <w:tc>
          <w:tcPr>
            <w:tcW w:w="1198" w:type="dxa"/>
            <w:tcBorders>
              <w:top w:val="single" w:sz="4" w:space="0" w:color="auto"/>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p>
        </w:tc>
        <w:tc>
          <w:tcPr>
            <w:tcW w:w="1198" w:type="dxa"/>
            <w:tcBorders>
              <w:top w:val="single" w:sz="4" w:space="0" w:color="auto"/>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p>
        </w:tc>
        <w:tc>
          <w:tcPr>
            <w:tcW w:w="1198" w:type="dxa"/>
            <w:tcBorders>
              <w:top w:val="single" w:sz="4" w:space="0" w:color="auto"/>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p>
        </w:tc>
        <w:tc>
          <w:tcPr>
            <w:tcW w:w="1198" w:type="dxa"/>
            <w:tcBorders>
              <w:top w:val="single" w:sz="4" w:space="0" w:color="auto"/>
              <w:left w:val="nil"/>
              <w:bottom w:val="single" w:sz="4" w:space="0" w:color="auto"/>
              <w:right w:val="single" w:sz="4" w:space="0" w:color="auto"/>
            </w:tcBorders>
            <w:shd w:val="clear" w:color="000000" w:fill="FFFFFF"/>
            <w:vAlign w:val="center"/>
          </w:tcPr>
          <w:p w:rsidR="00902625" w:rsidRPr="00AD4869" w:rsidRDefault="00902625" w:rsidP="00AD4869">
            <w:pPr>
              <w:spacing w:after="0"/>
              <w:rPr>
                <w:rFonts w:ascii="Arial" w:hAnsi="Arial" w:cs="Arial"/>
              </w:rPr>
            </w:pPr>
          </w:p>
        </w:tc>
      </w:tr>
    </w:tbl>
    <w:p w:rsidR="00B83265" w:rsidRDefault="00B83265" w:rsidP="00B83265">
      <w:pPr>
        <w:spacing w:after="240"/>
        <w:rPr>
          <w:rFonts w:cstheme="minorHAnsi"/>
        </w:rPr>
      </w:pPr>
    </w:p>
    <w:p w:rsidR="00B83265" w:rsidRDefault="00B83265" w:rsidP="00B83265">
      <w:pPr>
        <w:spacing w:after="240"/>
        <w:rPr>
          <w:rFonts w:cstheme="minorHAnsi"/>
        </w:rPr>
      </w:pPr>
      <w:r>
        <w:rPr>
          <w:rFonts w:cstheme="minorHAnsi"/>
        </w:rPr>
        <w:t>Flu vaccination</w:t>
      </w:r>
      <w:r w:rsidR="00F60946">
        <w:rPr>
          <w:rFonts w:cstheme="minorHAnsi"/>
        </w:rPr>
        <w:t xml:space="preserve"> (improved)</w:t>
      </w:r>
    </w:p>
    <w:tbl>
      <w:tblPr>
        <w:tblpPr w:leftFromText="180" w:rightFromText="180" w:vertAnchor="text" w:tblpY="1"/>
        <w:tblOverlap w:val="never"/>
        <w:tblW w:w="9384" w:type="dxa"/>
        <w:tblLayout w:type="fixed"/>
        <w:tblLook w:val="04A0" w:firstRow="1" w:lastRow="0" w:firstColumn="1" w:lastColumn="0" w:noHBand="0" w:noVBand="1"/>
      </w:tblPr>
      <w:tblGrid>
        <w:gridCol w:w="2197"/>
        <w:gridCol w:w="1197"/>
        <w:gridCol w:w="1198"/>
        <w:gridCol w:w="1198"/>
        <w:gridCol w:w="1198"/>
        <w:gridCol w:w="1198"/>
        <w:gridCol w:w="1198"/>
      </w:tblGrid>
      <w:tr w:rsidR="00902625" w:rsidRPr="00AD4869" w:rsidTr="00AD4869">
        <w:trPr>
          <w:trHeight w:val="282"/>
        </w:trPr>
        <w:tc>
          <w:tcPr>
            <w:tcW w:w="21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02625" w:rsidRPr="00AD4869" w:rsidRDefault="00902625" w:rsidP="00AD4869">
            <w:pPr>
              <w:spacing w:after="0" w:line="240" w:lineRule="auto"/>
              <w:rPr>
                <w:rFonts w:ascii="Arial" w:eastAsia="Times New Roman" w:hAnsi="Arial" w:cs="Arial"/>
                <w:b/>
                <w:bCs/>
                <w:color w:val="000000"/>
                <w:lang w:eastAsia="zh-CN"/>
              </w:rPr>
            </w:pPr>
            <w:r w:rsidRPr="00AD4869">
              <w:rPr>
                <w:rFonts w:ascii="Arial" w:eastAsia="Times New Roman" w:hAnsi="Arial" w:cs="Arial"/>
                <w:b/>
                <w:bCs/>
                <w:color w:val="000000"/>
                <w:lang w:eastAsia="zh-CN"/>
              </w:rPr>
              <w:t>Cohort/Benchmark</w:t>
            </w:r>
          </w:p>
        </w:tc>
        <w:tc>
          <w:tcPr>
            <w:tcW w:w="1197" w:type="dxa"/>
            <w:tcBorders>
              <w:top w:val="single" w:sz="4" w:space="0" w:color="auto"/>
              <w:left w:val="nil"/>
              <w:bottom w:val="single" w:sz="4" w:space="0" w:color="auto"/>
              <w:right w:val="single" w:sz="4" w:space="0" w:color="auto"/>
            </w:tcBorders>
            <w:shd w:val="clear" w:color="000000" w:fill="FFFFFF"/>
            <w:noWrap/>
            <w:vAlign w:val="center"/>
            <w:hideMark/>
          </w:tcPr>
          <w:p w:rsidR="00902625" w:rsidRPr="00AD4869" w:rsidRDefault="00902625" w:rsidP="00AD4869">
            <w:pPr>
              <w:spacing w:after="0" w:line="240" w:lineRule="auto"/>
              <w:rPr>
                <w:rFonts w:ascii="Arial" w:eastAsia="Times New Roman" w:hAnsi="Arial" w:cs="Arial"/>
                <w:b/>
                <w:bCs/>
                <w:color w:val="000000"/>
                <w:lang w:eastAsia="zh-CN"/>
              </w:rPr>
            </w:pPr>
            <w:r w:rsidRPr="00AD4869">
              <w:rPr>
                <w:rFonts w:ascii="Arial" w:eastAsia="Times New Roman" w:hAnsi="Arial" w:cs="Arial"/>
                <w:b/>
                <w:bCs/>
                <w:color w:val="000000"/>
                <w:lang w:eastAsia="zh-CN"/>
              </w:rPr>
              <w:t>Baseline</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902625" w:rsidRPr="00AD4869" w:rsidRDefault="00902625" w:rsidP="00AD4869">
            <w:pPr>
              <w:spacing w:after="0" w:line="240" w:lineRule="auto"/>
              <w:rPr>
                <w:rFonts w:ascii="Arial" w:eastAsia="Times New Roman" w:hAnsi="Arial" w:cs="Arial"/>
                <w:b/>
                <w:bCs/>
                <w:color w:val="000000"/>
                <w:lang w:eastAsia="zh-CN"/>
              </w:rPr>
            </w:pPr>
            <w:r w:rsidRPr="00AD4869">
              <w:rPr>
                <w:rFonts w:ascii="Arial" w:eastAsia="Times New Roman" w:hAnsi="Arial" w:cs="Arial"/>
                <w:b/>
                <w:bCs/>
                <w:color w:val="000000"/>
                <w:lang w:eastAsia="zh-CN"/>
              </w:rPr>
              <w:t>Review 1</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902625" w:rsidRPr="00AD4869" w:rsidRDefault="00902625" w:rsidP="00AD4869">
            <w:pPr>
              <w:spacing w:after="0" w:line="240" w:lineRule="auto"/>
              <w:rPr>
                <w:rFonts w:ascii="Arial" w:eastAsia="Times New Roman" w:hAnsi="Arial" w:cs="Arial"/>
                <w:b/>
                <w:bCs/>
                <w:color w:val="000000"/>
                <w:lang w:eastAsia="zh-CN"/>
              </w:rPr>
            </w:pPr>
            <w:r w:rsidRPr="00AD4869">
              <w:rPr>
                <w:rFonts w:ascii="Arial" w:eastAsia="Times New Roman" w:hAnsi="Arial" w:cs="Arial"/>
                <w:b/>
                <w:bCs/>
                <w:color w:val="000000"/>
                <w:lang w:eastAsia="zh-CN"/>
              </w:rPr>
              <w:t>Review 2</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902625" w:rsidRPr="00AD4869" w:rsidRDefault="00902625" w:rsidP="00AD4869">
            <w:pPr>
              <w:spacing w:after="0" w:line="240" w:lineRule="auto"/>
              <w:rPr>
                <w:rFonts w:ascii="Arial" w:eastAsia="Times New Roman" w:hAnsi="Arial" w:cs="Arial"/>
                <w:b/>
                <w:bCs/>
                <w:color w:val="000000"/>
                <w:lang w:eastAsia="zh-CN"/>
              </w:rPr>
            </w:pPr>
            <w:r w:rsidRPr="00AD4869">
              <w:rPr>
                <w:rFonts w:ascii="Arial" w:eastAsia="Times New Roman" w:hAnsi="Arial" w:cs="Arial"/>
                <w:b/>
                <w:bCs/>
                <w:color w:val="000000"/>
                <w:lang w:eastAsia="zh-CN"/>
              </w:rPr>
              <w:t>Review 3</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902625" w:rsidRPr="00AD4869" w:rsidRDefault="00902625" w:rsidP="00AD4869">
            <w:pPr>
              <w:spacing w:after="0" w:line="240" w:lineRule="auto"/>
              <w:rPr>
                <w:rFonts w:ascii="Arial" w:eastAsia="Times New Roman" w:hAnsi="Arial" w:cs="Arial"/>
                <w:b/>
                <w:bCs/>
                <w:color w:val="000000"/>
                <w:lang w:eastAsia="zh-CN"/>
              </w:rPr>
            </w:pPr>
            <w:r w:rsidRPr="00AD4869">
              <w:rPr>
                <w:rFonts w:ascii="Arial" w:eastAsia="Times New Roman" w:hAnsi="Arial" w:cs="Arial"/>
                <w:b/>
                <w:bCs/>
                <w:color w:val="000000"/>
                <w:lang w:eastAsia="zh-CN"/>
              </w:rPr>
              <w:t>Review 4</w:t>
            </w:r>
          </w:p>
        </w:tc>
        <w:tc>
          <w:tcPr>
            <w:tcW w:w="1198" w:type="dxa"/>
            <w:tcBorders>
              <w:top w:val="single" w:sz="4" w:space="0" w:color="auto"/>
              <w:left w:val="nil"/>
              <w:bottom w:val="single" w:sz="4" w:space="0" w:color="auto"/>
              <w:right w:val="single" w:sz="4" w:space="0" w:color="auto"/>
            </w:tcBorders>
            <w:shd w:val="clear" w:color="000000" w:fill="FFFFFF"/>
            <w:vAlign w:val="center"/>
          </w:tcPr>
          <w:p w:rsidR="00902625" w:rsidRPr="00AD4869" w:rsidRDefault="00902625" w:rsidP="00AD4869">
            <w:pPr>
              <w:spacing w:after="0" w:line="240" w:lineRule="auto"/>
              <w:rPr>
                <w:rFonts w:ascii="Arial" w:eastAsia="Times New Roman" w:hAnsi="Arial" w:cs="Arial"/>
                <w:b/>
                <w:bCs/>
                <w:color w:val="000000"/>
                <w:lang w:eastAsia="zh-CN"/>
              </w:rPr>
            </w:pPr>
            <w:r w:rsidRPr="00AD4869">
              <w:rPr>
                <w:rFonts w:ascii="Arial" w:eastAsia="Times New Roman" w:hAnsi="Arial" w:cs="Arial"/>
                <w:b/>
                <w:bCs/>
                <w:color w:val="000000"/>
                <w:lang w:eastAsia="zh-CN"/>
              </w:rPr>
              <w:t>Review 5</w:t>
            </w:r>
          </w:p>
        </w:tc>
      </w:tr>
      <w:tr w:rsidR="00B83265" w:rsidRPr="00AD4869" w:rsidTr="00AD4869">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center"/>
            <w:hideMark/>
          </w:tcPr>
          <w:p w:rsidR="00B83265" w:rsidRPr="00AD4869" w:rsidRDefault="00B83265" w:rsidP="00AD4869">
            <w:pPr>
              <w:spacing w:after="0"/>
              <w:rPr>
                <w:rFonts w:ascii="Arial" w:hAnsi="Arial" w:cs="Arial"/>
              </w:rPr>
            </w:pPr>
            <w:r w:rsidRPr="00AD4869">
              <w:rPr>
                <w:rFonts w:ascii="Arial" w:hAnsi="Arial" w:cs="Arial"/>
              </w:rPr>
              <w:t>Benchmark</w:t>
            </w:r>
          </w:p>
        </w:tc>
        <w:tc>
          <w:tcPr>
            <w:tcW w:w="1197" w:type="dxa"/>
            <w:tcBorders>
              <w:top w:val="nil"/>
              <w:left w:val="nil"/>
              <w:bottom w:val="single" w:sz="4" w:space="0" w:color="auto"/>
              <w:right w:val="single" w:sz="4" w:space="0" w:color="auto"/>
            </w:tcBorders>
            <w:shd w:val="clear" w:color="000000" w:fill="FFFFFF"/>
            <w:noWrap/>
            <w:vAlign w:val="center"/>
          </w:tcPr>
          <w:p w:rsidR="00B83265" w:rsidRPr="00AD4869" w:rsidRDefault="00B83265" w:rsidP="00AD4869">
            <w:pPr>
              <w:spacing w:after="0"/>
              <w:rPr>
                <w:rFonts w:ascii="Arial" w:hAnsi="Arial" w:cs="Arial"/>
              </w:rPr>
            </w:pPr>
            <w:r w:rsidRPr="00AD4869">
              <w:rPr>
                <w:rFonts w:ascii="Arial" w:hAnsi="Arial" w:cs="Arial"/>
              </w:rPr>
              <w:t>34.6%</w:t>
            </w:r>
          </w:p>
        </w:tc>
        <w:tc>
          <w:tcPr>
            <w:tcW w:w="1198" w:type="dxa"/>
            <w:tcBorders>
              <w:top w:val="nil"/>
              <w:left w:val="nil"/>
              <w:bottom w:val="single" w:sz="4" w:space="0" w:color="auto"/>
              <w:right w:val="single" w:sz="4" w:space="0" w:color="auto"/>
            </w:tcBorders>
            <w:shd w:val="clear" w:color="000000" w:fill="FFFFFF"/>
            <w:noWrap/>
            <w:vAlign w:val="center"/>
          </w:tcPr>
          <w:p w:rsidR="00B83265" w:rsidRPr="00AD4869" w:rsidRDefault="00B83265" w:rsidP="00AD4869">
            <w:pPr>
              <w:spacing w:after="0"/>
              <w:rPr>
                <w:rFonts w:ascii="Arial" w:hAnsi="Arial" w:cs="Arial"/>
              </w:rPr>
            </w:pPr>
            <w:r w:rsidRPr="00AD4869">
              <w:rPr>
                <w:rFonts w:ascii="Arial" w:hAnsi="Arial" w:cs="Arial"/>
              </w:rPr>
              <w:t>34.6%</w:t>
            </w:r>
          </w:p>
        </w:tc>
        <w:tc>
          <w:tcPr>
            <w:tcW w:w="1198" w:type="dxa"/>
            <w:tcBorders>
              <w:top w:val="nil"/>
              <w:left w:val="nil"/>
              <w:bottom w:val="single" w:sz="4" w:space="0" w:color="auto"/>
              <w:right w:val="single" w:sz="4" w:space="0" w:color="auto"/>
            </w:tcBorders>
            <w:shd w:val="clear" w:color="000000" w:fill="FFFFFF"/>
            <w:noWrap/>
            <w:vAlign w:val="center"/>
          </w:tcPr>
          <w:p w:rsidR="00B83265" w:rsidRPr="00AD4869" w:rsidRDefault="00B83265" w:rsidP="00AD4869">
            <w:pPr>
              <w:spacing w:after="0"/>
              <w:rPr>
                <w:rFonts w:ascii="Arial" w:hAnsi="Arial" w:cs="Arial"/>
              </w:rPr>
            </w:pPr>
            <w:r w:rsidRPr="00AD4869">
              <w:rPr>
                <w:rFonts w:ascii="Arial" w:hAnsi="Arial" w:cs="Arial"/>
              </w:rPr>
              <w:t>34.6%</w:t>
            </w:r>
          </w:p>
        </w:tc>
        <w:tc>
          <w:tcPr>
            <w:tcW w:w="1198" w:type="dxa"/>
            <w:tcBorders>
              <w:top w:val="nil"/>
              <w:left w:val="nil"/>
              <w:bottom w:val="single" w:sz="4" w:space="0" w:color="auto"/>
              <w:right w:val="single" w:sz="4" w:space="0" w:color="auto"/>
            </w:tcBorders>
            <w:shd w:val="clear" w:color="000000" w:fill="FFFFFF"/>
            <w:noWrap/>
            <w:vAlign w:val="center"/>
          </w:tcPr>
          <w:p w:rsidR="00B83265" w:rsidRPr="00AD4869" w:rsidRDefault="00B83265" w:rsidP="00AD4869">
            <w:pPr>
              <w:spacing w:after="0"/>
              <w:rPr>
                <w:rFonts w:ascii="Arial" w:hAnsi="Arial" w:cs="Arial"/>
              </w:rPr>
            </w:pPr>
            <w:r w:rsidRPr="00AD4869">
              <w:rPr>
                <w:rFonts w:ascii="Arial" w:hAnsi="Arial" w:cs="Arial"/>
              </w:rPr>
              <w:t>34.6%</w:t>
            </w:r>
          </w:p>
        </w:tc>
        <w:tc>
          <w:tcPr>
            <w:tcW w:w="1198" w:type="dxa"/>
            <w:tcBorders>
              <w:top w:val="nil"/>
              <w:left w:val="nil"/>
              <w:bottom w:val="single" w:sz="4" w:space="0" w:color="auto"/>
              <w:right w:val="single" w:sz="4" w:space="0" w:color="auto"/>
            </w:tcBorders>
            <w:shd w:val="clear" w:color="000000" w:fill="FFFFFF"/>
            <w:noWrap/>
            <w:vAlign w:val="center"/>
          </w:tcPr>
          <w:p w:rsidR="00B83265" w:rsidRPr="00AD4869" w:rsidRDefault="00B83265" w:rsidP="00AD4869">
            <w:pPr>
              <w:spacing w:after="0"/>
              <w:rPr>
                <w:rFonts w:ascii="Arial" w:hAnsi="Arial" w:cs="Arial"/>
              </w:rPr>
            </w:pPr>
            <w:r w:rsidRPr="00AD4869">
              <w:rPr>
                <w:rFonts w:ascii="Arial" w:hAnsi="Arial" w:cs="Arial"/>
              </w:rPr>
              <w:t>34.6%</w:t>
            </w:r>
          </w:p>
        </w:tc>
        <w:tc>
          <w:tcPr>
            <w:tcW w:w="1198" w:type="dxa"/>
            <w:tcBorders>
              <w:top w:val="nil"/>
              <w:left w:val="nil"/>
              <w:bottom w:val="single" w:sz="4" w:space="0" w:color="auto"/>
              <w:right w:val="single" w:sz="4" w:space="0" w:color="auto"/>
            </w:tcBorders>
            <w:shd w:val="clear" w:color="000000" w:fill="FFFFFF"/>
            <w:vAlign w:val="center"/>
          </w:tcPr>
          <w:p w:rsidR="00B83265" w:rsidRPr="00AD4869" w:rsidRDefault="00B83265" w:rsidP="00AD4869">
            <w:pPr>
              <w:spacing w:after="0"/>
              <w:rPr>
                <w:rFonts w:ascii="Arial" w:hAnsi="Arial" w:cs="Arial"/>
              </w:rPr>
            </w:pPr>
            <w:r w:rsidRPr="00AD4869">
              <w:rPr>
                <w:rFonts w:ascii="Arial" w:hAnsi="Arial" w:cs="Arial"/>
              </w:rPr>
              <w:t>34.6%</w:t>
            </w:r>
          </w:p>
        </w:tc>
      </w:tr>
      <w:tr w:rsidR="00902625" w:rsidRPr="00AD4869" w:rsidTr="00AD4869">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bottom"/>
          </w:tcPr>
          <w:p w:rsidR="00902625" w:rsidRPr="00AD4869" w:rsidRDefault="00902625" w:rsidP="00AD4869">
            <w:pPr>
              <w:spacing w:after="0" w:line="240" w:lineRule="auto"/>
              <w:rPr>
                <w:rFonts w:ascii="Arial" w:eastAsia="Times New Roman" w:hAnsi="Arial" w:cs="Arial"/>
                <w:bCs/>
                <w:color w:val="000000"/>
                <w:lang w:eastAsia="en-AU"/>
              </w:rPr>
            </w:pPr>
            <w:r w:rsidRPr="00AD4869">
              <w:rPr>
                <w:rFonts w:ascii="Arial" w:eastAsia="Times New Roman" w:hAnsi="Arial" w:cs="Arial"/>
                <w:bCs/>
                <w:color w:val="000000"/>
                <w:lang w:eastAsia="en-AU"/>
              </w:rPr>
              <w:t>5 years</w:t>
            </w:r>
          </w:p>
        </w:tc>
        <w:tc>
          <w:tcPr>
            <w:tcW w:w="1197"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55.3%</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53.3%</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56.0%</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67.1%</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61.8%</w:t>
            </w:r>
          </w:p>
        </w:tc>
        <w:tc>
          <w:tcPr>
            <w:tcW w:w="1198" w:type="dxa"/>
            <w:tcBorders>
              <w:top w:val="nil"/>
              <w:left w:val="nil"/>
              <w:bottom w:val="single" w:sz="4" w:space="0" w:color="auto"/>
              <w:right w:val="single" w:sz="4" w:space="0" w:color="auto"/>
            </w:tcBorders>
            <w:shd w:val="clear" w:color="000000" w:fill="FFFFFF"/>
            <w:vAlign w:val="center"/>
          </w:tcPr>
          <w:p w:rsidR="00902625" w:rsidRPr="00AD4869" w:rsidRDefault="00902625" w:rsidP="00AD4869">
            <w:pPr>
              <w:spacing w:after="0"/>
              <w:rPr>
                <w:rFonts w:ascii="Arial" w:hAnsi="Arial" w:cs="Arial"/>
              </w:rPr>
            </w:pPr>
            <w:r w:rsidRPr="00AD4869">
              <w:rPr>
                <w:rFonts w:ascii="Arial" w:hAnsi="Arial" w:cs="Arial"/>
              </w:rPr>
              <w:t>71.1%</w:t>
            </w:r>
          </w:p>
        </w:tc>
      </w:tr>
      <w:tr w:rsidR="00902625" w:rsidRPr="00AD4869" w:rsidTr="00AD4869">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bottom"/>
            <w:hideMark/>
          </w:tcPr>
          <w:p w:rsidR="00902625" w:rsidRPr="00AD4869" w:rsidRDefault="00902625" w:rsidP="00AD4869">
            <w:pPr>
              <w:spacing w:after="0" w:line="240" w:lineRule="auto"/>
              <w:rPr>
                <w:rFonts w:ascii="Arial" w:eastAsia="Times New Roman" w:hAnsi="Arial" w:cs="Arial"/>
                <w:bCs/>
                <w:color w:val="000000"/>
                <w:lang w:eastAsia="en-AU"/>
              </w:rPr>
            </w:pPr>
            <w:r w:rsidRPr="00AD4869">
              <w:rPr>
                <w:rFonts w:ascii="Arial" w:eastAsia="Times New Roman" w:hAnsi="Arial" w:cs="Arial"/>
                <w:bCs/>
                <w:color w:val="000000"/>
                <w:lang w:eastAsia="en-AU"/>
              </w:rPr>
              <w:lastRenderedPageBreak/>
              <w:t>4 years</w:t>
            </w:r>
          </w:p>
        </w:tc>
        <w:tc>
          <w:tcPr>
            <w:tcW w:w="1197"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49.4%</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55.6%</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65.4%</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69.1%</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68.1%</w:t>
            </w:r>
          </w:p>
        </w:tc>
        <w:tc>
          <w:tcPr>
            <w:tcW w:w="1198" w:type="dxa"/>
            <w:tcBorders>
              <w:top w:val="nil"/>
              <w:left w:val="nil"/>
              <w:bottom w:val="single" w:sz="4" w:space="0" w:color="auto"/>
              <w:right w:val="single" w:sz="4" w:space="0" w:color="auto"/>
            </w:tcBorders>
            <w:shd w:val="clear" w:color="000000" w:fill="FFFFFF"/>
            <w:vAlign w:val="center"/>
          </w:tcPr>
          <w:p w:rsidR="00902625" w:rsidRPr="00AD4869" w:rsidRDefault="00902625" w:rsidP="00AD4869">
            <w:pPr>
              <w:spacing w:after="0"/>
              <w:rPr>
                <w:rFonts w:ascii="Arial" w:hAnsi="Arial" w:cs="Arial"/>
              </w:rPr>
            </w:pPr>
          </w:p>
        </w:tc>
      </w:tr>
      <w:tr w:rsidR="00902625" w:rsidRPr="00AD4869" w:rsidTr="00AD4869">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bottom"/>
            <w:hideMark/>
          </w:tcPr>
          <w:p w:rsidR="00902625" w:rsidRPr="00AD4869" w:rsidRDefault="00902625" w:rsidP="00AD4869">
            <w:pPr>
              <w:spacing w:after="0" w:line="240" w:lineRule="auto"/>
              <w:rPr>
                <w:rFonts w:ascii="Arial" w:eastAsia="Times New Roman" w:hAnsi="Arial" w:cs="Arial"/>
                <w:bCs/>
                <w:color w:val="000000"/>
                <w:lang w:eastAsia="en-AU"/>
              </w:rPr>
            </w:pPr>
            <w:r w:rsidRPr="00AD4869">
              <w:rPr>
                <w:rFonts w:ascii="Arial" w:eastAsia="Times New Roman" w:hAnsi="Arial" w:cs="Arial"/>
                <w:bCs/>
                <w:color w:val="000000"/>
                <w:lang w:eastAsia="en-AU"/>
              </w:rPr>
              <w:t>3 years</w:t>
            </w:r>
          </w:p>
        </w:tc>
        <w:tc>
          <w:tcPr>
            <w:tcW w:w="1197"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52.4%</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56.1%</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63.3%</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66.5%</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p>
        </w:tc>
        <w:tc>
          <w:tcPr>
            <w:tcW w:w="1198" w:type="dxa"/>
            <w:tcBorders>
              <w:top w:val="nil"/>
              <w:left w:val="nil"/>
              <w:bottom w:val="single" w:sz="4" w:space="0" w:color="auto"/>
              <w:right w:val="single" w:sz="4" w:space="0" w:color="auto"/>
            </w:tcBorders>
            <w:shd w:val="clear" w:color="000000" w:fill="FFFFFF"/>
            <w:vAlign w:val="center"/>
          </w:tcPr>
          <w:p w:rsidR="00902625" w:rsidRPr="00AD4869" w:rsidRDefault="00902625" w:rsidP="00AD4869">
            <w:pPr>
              <w:spacing w:after="0"/>
              <w:rPr>
                <w:rFonts w:ascii="Arial" w:hAnsi="Arial" w:cs="Arial"/>
              </w:rPr>
            </w:pPr>
          </w:p>
        </w:tc>
      </w:tr>
      <w:tr w:rsidR="00902625" w:rsidRPr="00AD4869" w:rsidTr="00AD4869">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bottom"/>
            <w:hideMark/>
          </w:tcPr>
          <w:p w:rsidR="00902625" w:rsidRPr="00AD4869" w:rsidRDefault="00902625" w:rsidP="00AD4869">
            <w:pPr>
              <w:spacing w:after="0" w:line="240" w:lineRule="auto"/>
              <w:rPr>
                <w:rFonts w:ascii="Arial" w:eastAsia="Times New Roman" w:hAnsi="Arial" w:cs="Arial"/>
                <w:bCs/>
                <w:color w:val="000000"/>
                <w:lang w:eastAsia="en-AU"/>
              </w:rPr>
            </w:pPr>
            <w:r w:rsidRPr="00AD4869">
              <w:rPr>
                <w:rFonts w:ascii="Arial" w:eastAsia="Times New Roman" w:hAnsi="Arial" w:cs="Arial"/>
                <w:bCs/>
                <w:color w:val="000000"/>
                <w:lang w:eastAsia="en-AU"/>
              </w:rPr>
              <w:t>2 years</w:t>
            </w:r>
          </w:p>
        </w:tc>
        <w:tc>
          <w:tcPr>
            <w:tcW w:w="1197"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54.0%</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58.2%</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59.9%</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p>
        </w:tc>
        <w:tc>
          <w:tcPr>
            <w:tcW w:w="1198" w:type="dxa"/>
            <w:tcBorders>
              <w:top w:val="nil"/>
              <w:left w:val="nil"/>
              <w:bottom w:val="single" w:sz="4" w:space="0" w:color="auto"/>
              <w:right w:val="single" w:sz="4" w:space="0" w:color="auto"/>
            </w:tcBorders>
            <w:shd w:val="clear" w:color="000000" w:fill="FFFFFF"/>
            <w:vAlign w:val="center"/>
          </w:tcPr>
          <w:p w:rsidR="00902625" w:rsidRPr="00AD4869" w:rsidRDefault="00902625" w:rsidP="00AD4869">
            <w:pPr>
              <w:spacing w:after="0"/>
              <w:rPr>
                <w:rFonts w:ascii="Arial" w:hAnsi="Arial" w:cs="Arial"/>
              </w:rPr>
            </w:pPr>
          </w:p>
        </w:tc>
      </w:tr>
      <w:tr w:rsidR="00902625" w:rsidRPr="00AD4869" w:rsidTr="00AD4869">
        <w:trPr>
          <w:trHeight w:val="282"/>
        </w:trPr>
        <w:tc>
          <w:tcPr>
            <w:tcW w:w="219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02625" w:rsidRPr="00AD4869" w:rsidRDefault="00902625" w:rsidP="00AD4869">
            <w:pPr>
              <w:spacing w:after="0" w:line="240" w:lineRule="auto"/>
              <w:rPr>
                <w:rFonts w:ascii="Arial" w:eastAsia="Times New Roman" w:hAnsi="Arial" w:cs="Arial"/>
                <w:bCs/>
                <w:color w:val="000000"/>
                <w:lang w:eastAsia="en-AU"/>
              </w:rPr>
            </w:pPr>
            <w:r w:rsidRPr="00AD4869">
              <w:rPr>
                <w:rFonts w:ascii="Arial" w:eastAsia="Times New Roman" w:hAnsi="Arial" w:cs="Arial"/>
                <w:bCs/>
                <w:color w:val="000000"/>
                <w:lang w:eastAsia="en-AU"/>
              </w:rPr>
              <w:t>1 year</w:t>
            </w:r>
          </w:p>
        </w:tc>
        <w:tc>
          <w:tcPr>
            <w:tcW w:w="1197" w:type="dxa"/>
            <w:tcBorders>
              <w:top w:val="single" w:sz="4" w:space="0" w:color="auto"/>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55.3%</w:t>
            </w:r>
          </w:p>
        </w:tc>
        <w:tc>
          <w:tcPr>
            <w:tcW w:w="1198" w:type="dxa"/>
            <w:tcBorders>
              <w:top w:val="single" w:sz="4" w:space="0" w:color="auto"/>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55.9%</w:t>
            </w:r>
          </w:p>
        </w:tc>
        <w:tc>
          <w:tcPr>
            <w:tcW w:w="1198" w:type="dxa"/>
            <w:tcBorders>
              <w:top w:val="single" w:sz="4" w:space="0" w:color="auto"/>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p>
        </w:tc>
        <w:tc>
          <w:tcPr>
            <w:tcW w:w="1198" w:type="dxa"/>
            <w:tcBorders>
              <w:top w:val="single" w:sz="4" w:space="0" w:color="auto"/>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p>
        </w:tc>
        <w:tc>
          <w:tcPr>
            <w:tcW w:w="1198" w:type="dxa"/>
            <w:tcBorders>
              <w:top w:val="single" w:sz="4" w:space="0" w:color="auto"/>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p>
        </w:tc>
        <w:tc>
          <w:tcPr>
            <w:tcW w:w="1198" w:type="dxa"/>
            <w:tcBorders>
              <w:top w:val="single" w:sz="4" w:space="0" w:color="auto"/>
              <w:left w:val="nil"/>
              <w:bottom w:val="single" w:sz="4" w:space="0" w:color="auto"/>
              <w:right w:val="single" w:sz="4" w:space="0" w:color="auto"/>
            </w:tcBorders>
            <w:shd w:val="clear" w:color="000000" w:fill="FFFFFF"/>
            <w:vAlign w:val="center"/>
          </w:tcPr>
          <w:p w:rsidR="00902625" w:rsidRPr="00AD4869" w:rsidRDefault="00902625" w:rsidP="00AD4869">
            <w:pPr>
              <w:spacing w:after="0"/>
              <w:rPr>
                <w:rFonts w:ascii="Arial" w:hAnsi="Arial" w:cs="Arial"/>
              </w:rPr>
            </w:pPr>
          </w:p>
        </w:tc>
      </w:tr>
    </w:tbl>
    <w:p w:rsidR="00B83265" w:rsidRDefault="00B83265" w:rsidP="00B83265">
      <w:pPr>
        <w:spacing w:after="240"/>
        <w:rPr>
          <w:rFonts w:cstheme="minorHAnsi"/>
        </w:rPr>
      </w:pPr>
    </w:p>
    <w:p w:rsidR="00B83265" w:rsidRDefault="00B83265" w:rsidP="00B83265">
      <w:pPr>
        <w:spacing w:after="240"/>
        <w:rPr>
          <w:rFonts w:cstheme="minorHAnsi"/>
        </w:rPr>
      </w:pPr>
      <w:r>
        <w:rPr>
          <w:rFonts w:cstheme="minorHAnsi"/>
        </w:rPr>
        <w:t>Dentist visits</w:t>
      </w:r>
      <w:r w:rsidR="00F60946">
        <w:rPr>
          <w:rFonts w:cstheme="minorHAnsi"/>
        </w:rPr>
        <w:t xml:space="preserve"> (deteriorated)</w:t>
      </w:r>
    </w:p>
    <w:tbl>
      <w:tblPr>
        <w:tblpPr w:leftFromText="180" w:rightFromText="180" w:vertAnchor="text" w:tblpY="1"/>
        <w:tblOverlap w:val="never"/>
        <w:tblW w:w="9384" w:type="dxa"/>
        <w:tblLayout w:type="fixed"/>
        <w:tblLook w:val="04A0" w:firstRow="1" w:lastRow="0" w:firstColumn="1" w:lastColumn="0" w:noHBand="0" w:noVBand="1"/>
      </w:tblPr>
      <w:tblGrid>
        <w:gridCol w:w="2197"/>
        <w:gridCol w:w="1197"/>
        <w:gridCol w:w="1198"/>
        <w:gridCol w:w="1198"/>
        <w:gridCol w:w="1198"/>
        <w:gridCol w:w="1198"/>
        <w:gridCol w:w="1198"/>
      </w:tblGrid>
      <w:tr w:rsidR="00902625" w:rsidRPr="00AD4869" w:rsidTr="00AD4869">
        <w:trPr>
          <w:trHeight w:val="282"/>
        </w:trPr>
        <w:tc>
          <w:tcPr>
            <w:tcW w:w="21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02625" w:rsidRPr="00AD4869" w:rsidRDefault="00902625" w:rsidP="00AD4869">
            <w:pPr>
              <w:spacing w:after="0" w:line="240" w:lineRule="auto"/>
              <w:rPr>
                <w:rFonts w:ascii="Arial" w:eastAsia="Times New Roman" w:hAnsi="Arial" w:cs="Arial"/>
                <w:b/>
                <w:bCs/>
                <w:color w:val="000000"/>
                <w:lang w:eastAsia="zh-CN"/>
              </w:rPr>
            </w:pPr>
            <w:r w:rsidRPr="00AD4869">
              <w:rPr>
                <w:rFonts w:ascii="Arial" w:eastAsia="Times New Roman" w:hAnsi="Arial" w:cs="Arial"/>
                <w:b/>
                <w:bCs/>
                <w:color w:val="000000"/>
                <w:lang w:eastAsia="zh-CN"/>
              </w:rPr>
              <w:t>Cohort/Benchmark</w:t>
            </w:r>
          </w:p>
        </w:tc>
        <w:tc>
          <w:tcPr>
            <w:tcW w:w="1197" w:type="dxa"/>
            <w:tcBorders>
              <w:top w:val="single" w:sz="4" w:space="0" w:color="auto"/>
              <w:left w:val="nil"/>
              <w:bottom w:val="single" w:sz="4" w:space="0" w:color="auto"/>
              <w:right w:val="single" w:sz="4" w:space="0" w:color="auto"/>
            </w:tcBorders>
            <w:shd w:val="clear" w:color="000000" w:fill="FFFFFF"/>
            <w:noWrap/>
            <w:vAlign w:val="center"/>
            <w:hideMark/>
          </w:tcPr>
          <w:p w:rsidR="00902625" w:rsidRPr="00AD4869" w:rsidRDefault="00902625" w:rsidP="00AD4869">
            <w:pPr>
              <w:spacing w:after="0" w:line="240" w:lineRule="auto"/>
              <w:rPr>
                <w:rFonts w:ascii="Arial" w:eastAsia="Times New Roman" w:hAnsi="Arial" w:cs="Arial"/>
                <w:b/>
                <w:bCs/>
                <w:color w:val="000000"/>
                <w:lang w:eastAsia="zh-CN"/>
              </w:rPr>
            </w:pPr>
            <w:r w:rsidRPr="00AD4869">
              <w:rPr>
                <w:rFonts w:ascii="Arial" w:eastAsia="Times New Roman" w:hAnsi="Arial" w:cs="Arial"/>
                <w:b/>
                <w:bCs/>
                <w:color w:val="000000"/>
                <w:lang w:eastAsia="zh-CN"/>
              </w:rPr>
              <w:t>Baseline</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902625" w:rsidRPr="00AD4869" w:rsidRDefault="00902625" w:rsidP="00AD4869">
            <w:pPr>
              <w:spacing w:after="0" w:line="240" w:lineRule="auto"/>
              <w:rPr>
                <w:rFonts w:ascii="Arial" w:eastAsia="Times New Roman" w:hAnsi="Arial" w:cs="Arial"/>
                <w:b/>
                <w:bCs/>
                <w:color w:val="000000"/>
                <w:lang w:eastAsia="zh-CN"/>
              </w:rPr>
            </w:pPr>
            <w:r w:rsidRPr="00AD4869">
              <w:rPr>
                <w:rFonts w:ascii="Arial" w:eastAsia="Times New Roman" w:hAnsi="Arial" w:cs="Arial"/>
                <w:b/>
                <w:bCs/>
                <w:color w:val="000000"/>
                <w:lang w:eastAsia="zh-CN"/>
              </w:rPr>
              <w:t>Review 1</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902625" w:rsidRPr="00AD4869" w:rsidRDefault="00902625" w:rsidP="00AD4869">
            <w:pPr>
              <w:spacing w:after="0" w:line="240" w:lineRule="auto"/>
              <w:rPr>
                <w:rFonts w:ascii="Arial" w:eastAsia="Times New Roman" w:hAnsi="Arial" w:cs="Arial"/>
                <w:b/>
                <w:bCs/>
                <w:color w:val="000000"/>
                <w:lang w:eastAsia="zh-CN"/>
              </w:rPr>
            </w:pPr>
            <w:r w:rsidRPr="00AD4869">
              <w:rPr>
                <w:rFonts w:ascii="Arial" w:eastAsia="Times New Roman" w:hAnsi="Arial" w:cs="Arial"/>
                <w:b/>
                <w:bCs/>
                <w:color w:val="000000"/>
                <w:lang w:eastAsia="zh-CN"/>
              </w:rPr>
              <w:t>Review 2</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902625" w:rsidRPr="00AD4869" w:rsidRDefault="00902625" w:rsidP="00AD4869">
            <w:pPr>
              <w:spacing w:after="0" w:line="240" w:lineRule="auto"/>
              <w:rPr>
                <w:rFonts w:ascii="Arial" w:eastAsia="Times New Roman" w:hAnsi="Arial" w:cs="Arial"/>
                <w:b/>
                <w:bCs/>
                <w:color w:val="000000"/>
                <w:lang w:eastAsia="zh-CN"/>
              </w:rPr>
            </w:pPr>
            <w:r w:rsidRPr="00AD4869">
              <w:rPr>
                <w:rFonts w:ascii="Arial" w:eastAsia="Times New Roman" w:hAnsi="Arial" w:cs="Arial"/>
                <w:b/>
                <w:bCs/>
                <w:color w:val="000000"/>
                <w:lang w:eastAsia="zh-CN"/>
              </w:rPr>
              <w:t>Review 3</w:t>
            </w:r>
          </w:p>
        </w:tc>
        <w:tc>
          <w:tcPr>
            <w:tcW w:w="1198" w:type="dxa"/>
            <w:tcBorders>
              <w:top w:val="single" w:sz="4" w:space="0" w:color="auto"/>
              <w:left w:val="nil"/>
              <w:bottom w:val="single" w:sz="4" w:space="0" w:color="auto"/>
              <w:right w:val="single" w:sz="4" w:space="0" w:color="auto"/>
            </w:tcBorders>
            <w:shd w:val="clear" w:color="000000" w:fill="FFFFFF"/>
            <w:noWrap/>
            <w:vAlign w:val="center"/>
            <w:hideMark/>
          </w:tcPr>
          <w:p w:rsidR="00902625" w:rsidRPr="00AD4869" w:rsidRDefault="00902625" w:rsidP="00AD4869">
            <w:pPr>
              <w:spacing w:after="0" w:line="240" w:lineRule="auto"/>
              <w:rPr>
                <w:rFonts w:ascii="Arial" w:eastAsia="Times New Roman" w:hAnsi="Arial" w:cs="Arial"/>
                <w:b/>
                <w:bCs/>
                <w:color w:val="000000"/>
                <w:lang w:eastAsia="zh-CN"/>
              </w:rPr>
            </w:pPr>
            <w:r w:rsidRPr="00AD4869">
              <w:rPr>
                <w:rFonts w:ascii="Arial" w:eastAsia="Times New Roman" w:hAnsi="Arial" w:cs="Arial"/>
                <w:b/>
                <w:bCs/>
                <w:color w:val="000000"/>
                <w:lang w:eastAsia="zh-CN"/>
              </w:rPr>
              <w:t>Review 4</w:t>
            </w:r>
          </w:p>
        </w:tc>
        <w:tc>
          <w:tcPr>
            <w:tcW w:w="1198" w:type="dxa"/>
            <w:tcBorders>
              <w:top w:val="single" w:sz="4" w:space="0" w:color="auto"/>
              <w:left w:val="nil"/>
              <w:bottom w:val="single" w:sz="4" w:space="0" w:color="auto"/>
              <w:right w:val="single" w:sz="4" w:space="0" w:color="auto"/>
            </w:tcBorders>
            <w:shd w:val="clear" w:color="000000" w:fill="FFFFFF"/>
            <w:vAlign w:val="center"/>
          </w:tcPr>
          <w:p w:rsidR="00902625" w:rsidRPr="00AD4869" w:rsidRDefault="00902625" w:rsidP="00AD4869">
            <w:pPr>
              <w:spacing w:after="0" w:line="240" w:lineRule="auto"/>
              <w:rPr>
                <w:rFonts w:ascii="Arial" w:eastAsia="Times New Roman" w:hAnsi="Arial" w:cs="Arial"/>
                <w:b/>
                <w:bCs/>
                <w:color w:val="000000"/>
                <w:lang w:eastAsia="zh-CN"/>
              </w:rPr>
            </w:pPr>
            <w:r w:rsidRPr="00AD4869">
              <w:rPr>
                <w:rFonts w:ascii="Arial" w:eastAsia="Times New Roman" w:hAnsi="Arial" w:cs="Arial"/>
                <w:b/>
                <w:bCs/>
                <w:color w:val="000000"/>
                <w:lang w:eastAsia="zh-CN"/>
              </w:rPr>
              <w:t>Review 5</w:t>
            </w:r>
          </w:p>
        </w:tc>
      </w:tr>
      <w:tr w:rsidR="00B83265" w:rsidRPr="00AD4869" w:rsidTr="00AD4869">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center"/>
            <w:hideMark/>
          </w:tcPr>
          <w:p w:rsidR="00B83265" w:rsidRPr="00AD4869" w:rsidRDefault="00B83265" w:rsidP="00AD4869">
            <w:pPr>
              <w:spacing w:after="0"/>
              <w:rPr>
                <w:rFonts w:ascii="Arial" w:hAnsi="Arial" w:cs="Arial"/>
              </w:rPr>
            </w:pPr>
            <w:r w:rsidRPr="00AD4869">
              <w:rPr>
                <w:rFonts w:ascii="Arial" w:hAnsi="Arial" w:cs="Arial"/>
              </w:rPr>
              <w:t>Benchmark</w:t>
            </w:r>
          </w:p>
        </w:tc>
        <w:tc>
          <w:tcPr>
            <w:tcW w:w="1197" w:type="dxa"/>
            <w:tcBorders>
              <w:top w:val="nil"/>
              <w:left w:val="nil"/>
              <w:bottom w:val="single" w:sz="4" w:space="0" w:color="auto"/>
              <w:right w:val="single" w:sz="4" w:space="0" w:color="auto"/>
            </w:tcBorders>
            <w:shd w:val="clear" w:color="000000" w:fill="FFFFFF"/>
            <w:noWrap/>
            <w:vAlign w:val="center"/>
          </w:tcPr>
          <w:p w:rsidR="00B83265" w:rsidRPr="00AD4869" w:rsidRDefault="00B83265" w:rsidP="00AD4869">
            <w:pPr>
              <w:spacing w:after="0"/>
              <w:rPr>
                <w:rFonts w:ascii="Arial" w:hAnsi="Arial" w:cs="Arial"/>
              </w:rPr>
            </w:pPr>
            <w:r w:rsidRPr="00AD4869">
              <w:rPr>
                <w:rFonts w:ascii="Arial" w:hAnsi="Arial" w:cs="Arial"/>
              </w:rPr>
              <w:t>48.1%</w:t>
            </w:r>
          </w:p>
        </w:tc>
        <w:tc>
          <w:tcPr>
            <w:tcW w:w="1198" w:type="dxa"/>
            <w:tcBorders>
              <w:top w:val="nil"/>
              <w:left w:val="nil"/>
              <w:bottom w:val="single" w:sz="4" w:space="0" w:color="auto"/>
              <w:right w:val="single" w:sz="4" w:space="0" w:color="auto"/>
            </w:tcBorders>
            <w:shd w:val="clear" w:color="000000" w:fill="FFFFFF"/>
            <w:noWrap/>
            <w:vAlign w:val="center"/>
          </w:tcPr>
          <w:p w:rsidR="00B83265" w:rsidRPr="00AD4869" w:rsidRDefault="00B83265" w:rsidP="00AD4869">
            <w:pPr>
              <w:spacing w:after="0"/>
              <w:rPr>
                <w:rFonts w:ascii="Arial" w:hAnsi="Arial" w:cs="Arial"/>
              </w:rPr>
            </w:pPr>
            <w:r w:rsidRPr="00AD4869">
              <w:rPr>
                <w:rFonts w:ascii="Arial" w:hAnsi="Arial" w:cs="Arial"/>
              </w:rPr>
              <w:t>48.1%</w:t>
            </w:r>
          </w:p>
        </w:tc>
        <w:tc>
          <w:tcPr>
            <w:tcW w:w="1198" w:type="dxa"/>
            <w:tcBorders>
              <w:top w:val="nil"/>
              <w:left w:val="nil"/>
              <w:bottom w:val="single" w:sz="4" w:space="0" w:color="auto"/>
              <w:right w:val="single" w:sz="4" w:space="0" w:color="auto"/>
            </w:tcBorders>
            <w:shd w:val="clear" w:color="000000" w:fill="FFFFFF"/>
            <w:noWrap/>
            <w:vAlign w:val="center"/>
          </w:tcPr>
          <w:p w:rsidR="00B83265" w:rsidRPr="00AD4869" w:rsidRDefault="00B83265" w:rsidP="00AD4869">
            <w:pPr>
              <w:spacing w:after="0"/>
              <w:rPr>
                <w:rFonts w:ascii="Arial" w:hAnsi="Arial" w:cs="Arial"/>
              </w:rPr>
            </w:pPr>
            <w:r w:rsidRPr="00AD4869">
              <w:rPr>
                <w:rFonts w:ascii="Arial" w:hAnsi="Arial" w:cs="Arial"/>
              </w:rPr>
              <w:t>48.1%</w:t>
            </w:r>
          </w:p>
        </w:tc>
        <w:tc>
          <w:tcPr>
            <w:tcW w:w="1198" w:type="dxa"/>
            <w:tcBorders>
              <w:top w:val="nil"/>
              <w:left w:val="nil"/>
              <w:bottom w:val="single" w:sz="4" w:space="0" w:color="auto"/>
              <w:right w:val="single" w:sz="4" w:space="0" w:color="auto"/>
            </w:tcBorders>
            <w:shd w:val="clear" w:color="000000" w:fill="FFFFFF"/>
            <w:noWrap/>
            <w:vAlign w:val="center"/>
          </w:tcPr>
          <w:p w:rsidR="00B83265" w:rsidRPr="00AD4869" w:rsidRDefault="00B83265" w:rsidP="00AD4869">
            <w:pPr>
              <w:spacing w:after="0"/>
              <w:rPr>
                <w:rFonts w:ascii="Arial" w:hAnsi="Arial" w:cs="Arial"/>
              </w:rPr>
            </w:pPr>
            <w:r w:rsidRPr="00AD4869">
              <w:rPr>
                <w:rFonts w:ascii="Arial" w:hAnsi="Arial" w:cs="Arial"/>
              </w:rPr>
              <w:t>48.1%</w:t>
            </w:r>
          </w:p>
        </w:tc>
        <w:tc>
          <w:tcPr>
            <w:tcW w:w="1198" w:type="dxa"/>
            <w:tcBorders>
              <w:top w:val="nil"/>
              <w:left w:val="nil"/>
              <w:bottom w:val="single" w:sz="4" w:space="0" w:color="auto"/>
              <w:right w:val="single" w:sz="4" w:space="0" w:color="auto"/>
            </w:tcBorders>
            <w:shd w:val="clear" w:color="000000" w:fill="FFFFFF"/>
            <w:noWrap/>
            <w:vAlign w:val="center"/>
          </w:tcPr>
          <w:p w:rsidR="00B83265" w:rsidRPr="00AD4869" w:rsidRDefault="00B83265" w:rsidP="00AD4869">
            <w:pPr>
              <w:spacing w:after="0"/>
              <w:rPr>
                <w:rFonts w:ascii="Arial" w:hAnsi="Arial" w:cs="Arial"/>
              </w:rPr>
            </w:pPr>
            <w:r w:rsidRPr="00AD4869">
              <w:rPr>
                <w:rFonts w:ascii="Arial" w:hAnsi="Arial" w:cs="Arial"/>
              </w:rPr>
              <w:t>48.1%</w:t>
            </w:r>
          </w:p>
        </w:tc>
        <w:tc>
          <w:tcPr>
            <w:tcW w:w="1198" w:type="dxa"/>
            <w:tcBorders>
              <w:top w:val="nil"/>
              <w:left w:val="nil"/>
              <w:bottom w:val="single" w:sz="4" w:space="0" w:color="auto"/>
              <w:right w:val="single" w:sz="4" w:space="0" w:color="auto"/>
            </w:tcBorders>
            <w:shd w:val="clear" w:color="000000" w:fill="FFFFFF"/>
            <w:vAlign w:val="center"/>
          </w:tcPr>
          <w:p w:rsidR="00B83265" w:rsidRPr="00AD4869" w:rsidRDefault="00B83265" w:rsidP="00AD4869">
            <w:pPr>
              <w:spacing w:after="0"/>
              <w:rPr>
                <w:rFonts w:ascii="Arial" w:hAnsi="Arial" w:cs="Arial"/>
              </w:rPr>
            </w:pPr>
            <w:r w:rsidRPr="00AD4869">
              <w:rPr>
                <w:rFonts w:ascii="Arial" w:hAnsi="Arial" w:cs="Arial"/>
              </w:rPr>
              <w:t>48.1%</w:t>
            </w:r>
          </w:p>
        </w:tc>
      </w:tr>
      <w:tr w:rsidR="00902625" w:rsidRPr="00AD4869" w:rsidTr="00AD4869">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bottom"/>
          </w:tcPr>
          <w:p w:rsidR="00902625" w:rsidRPr="00AD4869" w:rsidRDefault="00902625" w:rsidP="00AD4869">
            <w:pPr>
              <w:spacing w:after="0" w:line="240" w:lineRule="auto"/>
              <w:rPr>
                <w:rFonts w:ascii="Arial" w:eastAsia="Times New Roman" w:hAnsi="Arial" w:cs="Arial"/>
                <w:bCs/>
                <w:color w:val="000000"/>
                <w:lang w:eastAsia="en-AU"/>
              </w:rPr>
            </w:pPr>
            <w:r w:rsidRPr="00AD4869">
              <w:rPr>
                <w:rFonts w:ascii="Arial" w:eastAsia="Times New Roman" w:hAnsi="Arial" w:cs="Arial"/>
                <w:bCs/>
                <w:color w:val="000000"/>
                <w:lang w:eastAsia="en-AU"/>
              </w:rPr>
              <w:t>5 years</w:t>
            </w:r>
          </w:p>
        </w:tc>
        <w:tc>
          <w:tcPr>
            <w:tcW w:w="1197"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53.9%</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53.3%</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56.0%</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55.3%</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51.3%</w:t>
            </w:r>
          </w:p>
        </w:tc>
        <w:tc>
          <w:tcPr>
            <w:tcW w:w="1198" w:type="dxa"/>
            <w:tcBorders>
              <w:top w:val="nil"/>
              <w:left w:val="nil"/>
              <w:bottom w:val="single" w:sz="4" w:space="0" w:color="auto"/>
              <w:right w:val="single" w:sz="4" w:space="0" w:color="auto"/>
            </w:tcBorders>
            <w:shd w:val="clear" w:color="000000" w:fill="FFFFFF"/>
            <w:vAlign w:val="center"/>
          </w:tcPr>
          <w:p w:rsidR="00902625" w:rsidRPr="00AD4869" w:rsidRDefault="00902625" w:rsidP="00AD4869">
            <w:pPr>
              <w:spacing w:after="0"/>
              <w:rPr>
                <w:rFonts w:ascii="Arial" w:hAnsi="Arial" w:cs="Arial"/>
              </w:rPr>
            </w:pPr>
            <w:r w:rsidRPr="00AD4869">
              <w:rPr>
                <w:rFonts w:ascii="Arial" w:hAnsi="Arial" w:cs="Arial"/>
              </w:rPr>
              <w:t>50.0%</w:t>
            </w:r>
          </w:p>
        </w:tc>
      </w:tr>
      <w:tr w:rsidR="00902625" w:rsidRPr="00AD4869" w:rsidTr="00AD4869">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bottom"/>
            <w:hideMark/>
          </w:tcPr>
          <w:p w:rsidR="00902625" w:rsidRPr="00AD4869" w:rsidRDefault="00902625" w:rsidP="00AD4869">
            <w:pPr>
              <w:spacing w:after="0" w:line="240" w:lineRule="auto"/>
              <w:rPr>
                <w:rFonts w:ascii="Arial" w:eastAsia="Times New Roman" w:hAnsi="Arial" w:cs="Arial"/>
                <w:bCs/>
                <w:color w:val="000000"/>
                <w:lang w:eastAsia="en-AU"/>
              </w:rPr>
            </w:pPr>
            <w:r w:rsidRPr="00AD4869">
              <w:rPr>
                <w:rFonts w:ascii="Arial" w:eastAsia="Times New Roman" w:hAnsi="Arial" w:cs="Arial"/>
                <w:bCs/>
                <w:color w:val="000000"/>
                <w:lang w:eastAsia="en-AU"/>
              </w:rPr>
              <w:t>4 years</w:t>
            </w:r>
          </w:p>
        </w:tc>
        <w:tc>
          <w:tcPr>
            <w:tcW w:w="1197"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55.5%</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58.8%</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55.5%</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50.0%</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49.0%</w:t>
            </w:r>
          </w:p>
        </w:tc>
        <w:tc>
          <w:tcPr>
            <w:tcW w:w="1198" w:type="dxa"/>
            <w:tcBorders>
              <w:top w:val="nil"/>
              <w:left w:val="nil"/>
              <w:bottom w:val="single" w:sz="4" w:space="0" w:color="auto"/>
              <w:right w:val="single" w:sz="4" w:space="0" w:color="auto"/>
            </w:tcBorders>
            <w:shd w:val="clear" w:color="000000" w:fill="FFFFFF"/>
            <w:vAlign w:val="center"/>
          </w:tcPr>
          <w:p w:rsidR="00902625" w:rsidRPr="00AD4869" w:rsidRDefault="00902625" w:rsidP="00AD4869">
            <w:pPr>
              <w:spacing w:after="0"/>
              <w:rPr>
                <w:rFonts w:ascii="Arial" w:hAnsi="Arial" w:cs="Arial"/>
              </w:rPr>
            </w:pPr>
          </w:p>
        </w:tc>
      </w:tr>
      <w:tr w:rsidR="00902625" w:rsidRPr="00AD4869" w:rsidTr="00AD4869">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bottom"/>
            <w:hideMark/>
          </w:tcPr>
          <w:p w:rsidR="00902625" w:rsidRPr="00AD4869" w:rsidRDefault="00902625" w:rsidP="00AD4869">
            <w:pPr>
              <w:spacing w:after="0" w:line="240" w:lineRule="auto"/>
              <w:rPr>
                <w:rFonts w:ascii="Arial" w:eastAsia="Times New Roman" w:hAnsi="Arial" w:cs="Arial"/>
                <w:bCs/>
                <w:color w:val="000000"/>
                <w:lang w:eastAsia="en-AU"/>
              </w:rPr>
            </w:pPr>
            <w:r w:rsidRPr="00AD4869">
              <w:rPr>
                <w:rFonts w:ascii="Arial" w:eastAsia="Times New Roman" w:hAnsi="Arial" w:cs="Arial"/>
                <w:bCs/>
                <w:color w:val="000000"/>
                <w:lang w:eastAsia="en-AU"/>
              </w:rPr>
              <w:t>3 years</w:t>
            </w:r>
          </w:p>
        </w:tc>
        <w:tc>
          <w:tcPr>
            <w:tcW w:w="1197"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59.5%</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59.7%</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55.7%</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53.8%</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p>
        </w:tc>
        <w:tc>
          <w:tcPr>
            <w:tcW w:w="1198" w:type="dxa"/>
            <w:tcBorders>
              <w:top w:val="nil"/>
              <w:left w:val="nil"/>
              <w:bottom w:val="single" w:sz="4" w:space="0" w:color="auto"/>
              <w:right w:val="single" w:sz="4" w:space="0" w:color="auto"/>
            </w:tcBorders>
            <w:shd w:val="clear" w:color="000000" w:fill="FFFFFF"/>
            <w:vAlign w:val="center"/>
          </w:tcPr>
          <w:p w:rsidR="00902625" w:rsidRPr="00AD4869" w:rsidRDefault="00902625" w:rsidP="00AD4869">
            <w:pPr>
              <w:spacing w:after="0"/>
              <w:rPr>
                <w:rFonts w:ascii="Arial" w:hAnsi="Arial" w:cs="Arial"/>
              </w:rPr>
            </w:pPr>
          </w:p>
        </w:tc>
      </w:tr>
      <w:tr w:rsidR="00902625" w:rsidRPr="00AD4869" w:rsidTr="00AD4869">
        <w:trPr>
          <w:trHeight w:val="282"/>
        </w:trPr>
        <w:tc>
          <w:tcPr>
            <w:tcW w:w="2197" w:type="dxa"/>
            <w:tcBorders>
              <w:top w:val="nil"/>
              <w:left w:val="single" w:sz="4" w:space="0" w:color="auto"/>
              <w:bottom w:val="single" w:sz="4" w:space="0" w:color="auto"/>
              <w:right w:val="single" w:sz="4" w:space="0" w:color="auto"/>
            </w:tcBorders>
            <w:shd w:val="clear" w:color="000000" w:fill="FFFFFF"/>
            <w:noWrap/>
            <w:vAlign w:val="bottom"/>
            <w:hideMark/>
          </w:tcPr>
          <w:p w:rsidR="00902625" w:rsidRPr="00AD4869" w:rsidRDefault="00902625" w:rsidP="00AD4869">
            <w:pPr>
              <w:spacing w:after="0" w:line="240" w:lineRule="auto"/>
              <w:rPr>
                <w:rFonts w:ascii="Arial" w:eastAsia="Times New Roman" w:hAnsi="Arial" w:cs="Arial"/>
                <w:bCs/>
                <w:color w:val="000000"/>
                <w:lang w:eastAsia="en-AU"/>
              </w:rPr>
            </w:pPr>
            <w:r w:rsidRPr="00AD4869">
              <w:rPr>
                <w:rFonts w:ascii="Arial" w:eastAsia="Times New Roman" w:hAnsi="Arial" w:cs="Arial"/>
                <w:bCs/>
                <w:color w:val="000000"/>
                <w:lang w:eastAsia="en-AU"/>
              </w:rPr>
              <w:t>2 years</w:t>
            </w:r>
          </w:p>
        </w:tc>
        <w:tc>
          <w:tcPr>
            <w:tcW w:w="1197"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58.7%</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56.1%</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52.5%</w:t>
            </w: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p>
        </w:tc>
        <w:tc>
          <w:tcPr>
            <w:tcW w:w="1198" w:type="dxa"/>
            <w:tcBorders>
              <w:top w:val="nil"/>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p>
        </w:tc>
        <w:tc>
          <w:tcPr>
            <w:tcW w:w="1198" w:type="dxa"/>
            <w:tcBorders>
              <w:top w:val="nil"/>
              <w:left w:val="nil"/>
              <w:bottom w:val="single" w:sz="4" w:space="0" w:color="auto"/>
              <w:right w:val="single" w:sz="4" w:space="0" w:color="auto"/>
            </w:tcBorders>
            <w:shd w:val="clear" w:color="000000" w:fill="FFFFFF"/>
            <w:vAlign w:val="center"/>
          </w:tcPr>
          <w:p w:rsidR="00902625" w:rsidRPr="00AD4869" w:rsidRDefault="00902625" w:rsidP="00AD4869">
            <w:pPr>
              <w:spacing w:after="0"/>
              <w:rPr>
                <w:rFonts w:ascii="Arial" w:hAnsi="Arial" w:cs="Arial"/>
              </w:rPr>
            </w:pPr>
          </w:p>
        </w:tc>
      </w:tr>
      <w:tr w:rsidR="00902625" w:rsidRPr="00AD4869" w:rsidTr="00AD4869">
        <w:trPr>
          <w:trHeight w:val="282"/>
        </w:trPr>
        <w:tc>
          <w:tcPr>
            <w:tcW w:w="219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02625" w:rsidRPr="00AD4869" w:rsidRDefault="00902625" w:rsidP="00AD4869">
            <w:pPr>
              <w:spacing w:after="0" w:line="240" w:lineRule="auto"/>
              <w:rPr>
                <w:rFonts w:ascii="Arial" w:eastAsia="Times New Roman" w:hAnsi="Arial" w:cs="Arial"/>
                <w:bCs/>
                <w:color w:val="000000"/>
                <w:lang w:eastAsia="en-AU"/>
              </w:rPr>
            </w:pPr>
            <w:r w:rsidRPr="00AD4869">
              <w:rPr>
                <w:rFonts w:ascii="Arial" w:eastAsia="Times New Roman" w:hAnsi="Arial" w:cs="Arial"/>
                <w:bCs/>
                <w:color w:val="000000"/>
                <w:lang w:eastAsia="en-AU"/>
              </w:rPr>
              <w:t>1 year</w:t>
            </w:r>
          </w:p>
        </w:tc>
        <w:tc>
          <w:tcPr>
            <w:tcW w:w="1197" w:type="dxa"/>
            <w:tcBorders>
              <w:top w:val="single" w:sz="4" w:space="0" w:color="auto"/>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54.5%</w:t>
            </w:r>
          </w:p>
        </w:tc>
        <w:tc>
          <w:tcPr>
            <w:tcW w:w="1198" w:type="dxa"/>
            <w:tcBorders>
              <w:top w:val="single" w:sz="4" w:space="0" w:color="auto"/>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r w:rsidRPr="00AD4869">
              <w:rPr>
                <w:rFonts w:ascii="Arial" w:hAnsi="Arial" w:cs="Arial"/>
              </w:rPr>
              <w:t>54.0%</w:t>
            </w:r>
          </w:p>
        </w:tc>
        <w:tc>
          <w:tcPr>
            <w:tcW w:w="1198" w:type="dxa"/>
            <w:tcBorders>
              <w:top w:val="single" w:sz="4" w:space="0" w:color="auto"/>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p>
        </w:tc>
        <w:tc>
          <w:tcPr>
            <w:tcW w:w="1198" w:type="dxa"/>
            <w:tcBorders>
              <w:top w:val="single" w:sz="4" w:space="0" w:color="auto"/>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p>
        </w:tc>
        <w:tc>
          <w:tcPr>
            <w:tcW w:w="1198" w:type="dxa"/>
            <w:tcBorders>
              <w:top w:val="single" w:sz="4" w:space="0" w:color="auto"/>
              <w:left w:val="nil"/>
              <w:bottom w:val="single" w:sz="4" w:space="0" w:color="auto"/>
              <w:right w:val="single" w:sz="4" w:space="0" w:color="auto"/>
            </w:tcBorders>
            <w:shd w:val="clear" w:color="000000" w:fill="FFFFFF"/>
            <w:noWrap/>
            <w:vAlign w:val="center"/>
          </w:tcPr>
          <w:p w:rsidR="00902625" w:rsidRPr="00AD4869" w:rsidRDefault="00902625" w:rsidP="00AD4869">
            <w:pPr>
              <w:spacing w:after="0"/>
              <w:rPr>
                <w:rFonts w:ascii="Arial" w:hAnsi="Arial" w:cs="Arial"/>
              </w:rPr>
            </w:pPr>
          </w:p>
        </w:tc>
        <w:tc>
          <w:tcPr>
            <w:tcW w:w="1198" w:type="dxa"/>
            <w:tcBorders>
              <w:top w:val="single" w:sz="4" w:space="0" w:color="auto"/>
              <w:left w:val="nil"/>
              <w:bottom w:val="single" w:sz="4" w:space="0" w:color="auto"/>
              <w:right w:val="single" w:sz="4" w:space="0" w:color="auto"/>
            </w:tcBorders>
            <w:shd w:val="clear" w:color="000000" w:fill="FFFFFF"/>
            <w:vAlign w:val="center"/>
          </w:tcPr>
          <w:p w:rsidR="00902625" w:rsidRPr="00AD4869" w:rsidRDefault="00902625" w:rsidP="00AD4869">
            <w:pPr>
              <w:spacing w:after="0"/>
              <w:rPr>
                <w:rFonts w:ascii="Arial" w:hAnsi="Arial" w:cs="Arial"/>
              </w:rPr>
            </w:pPr>
          </w:p>
        </w:tc>
      </w:tr>
    </w:tbl>
    <w:p w:rsidR="00B83265" w:rsidRDefault="00B83265" w:rsidP="00B83265">
      <w:pPr>
        <w:spacing w:after="240"/>
        <w:rPr>
          <w:rFonts w:cstheme="minorHAnsi"/>
        </w:rPr>
      </w:pPr>
    </w:p>
    <w:p w:rsidR="002D6785" w:rsidRDefault="002D6785" w:rsidP="00B83265">
      <w:pPr>
        <w:spacing w:after="240"/>
        <w:rPr>
          <w:rFonts w:cstheme="minorHAnsi"/>
        </w:rPr>
      </w:pPr>
      <w:r>
        <w:rPr>
          <w:rFonts w:cstheme="minorHAnsi"/>
        </w:rPr>
        <w:t>Footnote 1:</w:t>
      </w:r>
    </w:p>
    <w:p w:rsidR="00B83265" w:rsidRPr="00872B62" w:rsidRDefault="00B83265" w:rsidP="00B83265">
      <w:pPr>
        <w:spacing w:after="240"/>
        <w:rPr>
          <w:rFonts w:cstheme="minorHAnsi"/>
        </w:rPr>
      </w:pPr>
      <w:r w:rsidRPr="00872B62">
        <w:rPr>
          <w:rFonts w:cstheme="minorHAnsi"/>
        </w:rPr>
        <w:t>Population benchmark figures are from:</w:t>
      </w:r>
    </w:p>
    <w:p w:rsidR="00B83265" w:rsidRPr="00872B62" w:rsidRDefault="00B83265" w:rsidP="00B83265">
      <w:pPr>
        <w:pStyle w:val="ListParagraph"/>
        <w:numPr>
          <w:ilvl w:val="0"/>
          <w:numId w:val="36"/>
        </w:numPr>
        <w:spacing w:after="240"/>
        <w:rPr>
          <w:rFonts w:cstheme="minorHAnsi"/>
        </w:rPr>
      </w:pPr>
      <w:r w:rsidRPr="00872B62">
        <w:rPr>
          <w:rFonts w:cstheme="minorHAnsi"/>
        </w:rPr>
        <w:t>Life satisfaction: Australian Bureau of Statistics (ABS), General Social Survey (GSS) 2010, standardised for NDIS participant age and gender distribution.</w:t>
      </w:r>
    </w:p>
    <w:p w:rsidR="00B83265" w:rsidRPr="00872B62" w:rsidRDefault="00B83265" w:rsidP="00B83265">
      <w:pPr>
        <w:pStyle w:val="ListParagraph"/>
        <w:numPr>
          <w:ilvl w:val="0"/>
          <w:numId w:val="36"/>
        </w:numPr>
        <w:spacing w:after="240"/>
        <w:rPr>
          <w:rFonts w:cstheme="minorHAnsi"/>
        </w:rPr>
      </w:pPr>
      <w:r w:rsidRPr="00872B62">
        <w:rPr>
          <w:rFonts w:cstheme="minorHAnsi"/>
        </w:rPr>
        <w:t>Flu vaccination: Department of Health, News-Poll Omnibus June 2014, standardised for NDIS participant age distribution.</w:t>
      </w:r>
    </w:p>
    <w:p w:rsidR="00B83265" w:rsidRPr="00460595" w:rsidRDefault="00B83265" w:rsidP="009D751A">
      <w:pPr>
        <w:pStyle w:val="ListParagraph"/>
        <w:numPr>
          <w:ilvl w:val="0"/>
          <w:numId w:val="36"/>
        </w:numPr>
        <w:spacing w:after="240"/>
        <w:rPr>
          <w:rFonts w:cstheme="minorHAnsi"/>
        </w:rPr>
      </w:pPr>
      <w:r w:rsidRPr="00872B62">
        <w:rPr>
          <w:rFonts w:cstheme="minorHAnsi"/>
        </w:rPr>
        <w:t>Dentist visits: ABS, Patient Experiences in Australia: Summary of Findings 2020-21, standardised for NDIS participant age and gender distribution.</w:t>
      </w:r>
    </w:p>
    <w:p w:rsidR="00713013" w:rsidRDefault="00713013" w:rsidP="00713013">
      <w:pPr>
        <w:pStyle w:val="Heading2"/>
      </w:pPr>
      <w:bookmarkStart w:id="84" w:name="_Toc121151456"/>
      <w:r>
        <w:t>Slide 74: Has the NDIS helped?</w:t>
      </w:r>
      <w:bookmarkEnd w:id="84"/>
    </w:p>
    <w:p w:rsidR="00713013" w:rsidRDefault="00713013" w:rsidP="00713013">
      <w:r>
        <w:t>This slide is the cover slide for the “Has the NDIS helped” section.</w:t>
      </w:r>
    </w:p>
    <w:p w:rsidR="00713013" w:rsidRDefault="000952EC" w:rsidP="000952EC">
      <w:pPr>
        <w:pStyle w:val="Heading2"/>
      </w:pPr>
      <w:bookmarkStart w:id="85" w:name="_Toc121151457"/>
      <w:r>
        <w:t>Slide 75: Participants from birth to before starting school</w:t>
      </w:r>
      <w:bookmarkEnd w:id="85"/>
    </w:p>
    <w:p w:rsidR="000952EC" w:rsidRDefault="000952EC" w:rsidP="004168FC">
      <w:pPr>
        <w:pStyle w:val="Heading5"/>
      </w:pPr>
      <w:r>
        <w:t>Has the NDIS helped?</w:t>
      </w:r>
    </w:p>
    <w:p w:rsidR="00273CF5" w:rsidRDefault="00273CF5" w:rsidP="00273CF5">
      <w:pPr>
        <w:pStyle w:val="ListParagraph"/>
        <w:numPr>
          <w:ilvl w:val="0"/>
          <w:numId w:val="38"/>
        </w:numPr>
      </w:pPr>
      <w:r>
        <w:t xml:space="preserve">Opinions on whether the NDIS has helped tend to be positive, particularly in relation to the child’s development (90.9% after </w:t>
      </w:r>
      <w:r w:rsidR="005A7C7C">
        <w:t>One year in the Scheme</w:t>
      </w:r>
      <w:r>
        <w:t xml:space="preserve">, increasing to 96.5% after four years) and access to specialist services (91.6% after </w:t>
      </w:r>
      <w:r w:rsidR="005A7C7C">
        <w:t>One year in the Scheme</w:t>
      </w:r>
      <w:r>
        <w:t>, increasing to 96.3% after five years).</w:t>
      </w:r>
    </w:p>
    <w:p w:rsidR="00273CF5" w:rsidRDefault="00273CF5" w:rsidP="00273CF5">
      <w:pPr>
        <w:pStyle w:val="ListParagraph"/>
        <w:numPr>
          <w:ilvl w:val="0"/>
          <w:numId w:val="37"/>
        </w:numPr>
      </w:pPr>
      <w:r>
        <w:t>Generally increasing trends with time in Scheme are observed for all domains.</w:t>
      </w:r>
    </w:p>
    <w:p w:rsidR="002F661A" w:rsidRDefault="00273CF5" w:rsidP="002F661A">
      <w:pPr>
        <w:pStyle w:val="ListParagraph"/>
        <w:numPr>
          <w:ilvl w:val="0"/>
          <w:numId w:val="37"/>
        </w:numPr>
      </w:pPr>
      <w:r>
        <w:t xml:space="preserve">Higher plan utilisation is strongly associated with a positive response after </w:t>
      </w:r>
      <w:r w:rsidR="005A7C7C">
        <w:t>One year in the Scheme</w:t>
      </w:r>
      <w:r>
        <w:t>, across all five domains. The largest improvement is between utilisation bands 0-20% and 20-40%, an increase of around 20-35%, depending on the domain.</w:t>
      </w:r>
    </w:p>
    <w:p w:rsidR="002F661A" w:rsidRPr="00713013" w:rsidRDefault="002F661A" w:rsidP="002F661A">
      <w:r>
        <w:t>Percentage of positive responses</w:t>
      </w:r>
    </w:p>
    <w:tbl>
      <w:tblPr>
        <w:tblW w:w="8460" w:type="dxa"/>
        <w:tblLook w:val="04A0" w:firstRow="1" w:lastRow="0" w:firstColumn="1" w:lastColumn="0" w:noHBand="0" w:noVBand="1"/>
      </w:tblPr>
      <w:tblGrid>
        <w:gridCol w:w="3020"/>
        <w:gridCol w:w="1180"/>
        <w:gridCol w:w="1200"/>
        <w:gridCol w:w="1027"/>
        <w:gridCol w:w="1020"/>
        <w:gridCol w:w="1020"/>
      </w:tblGrid>
      <w:tr w:rsidR="002F661A" w:rsidRPr="00460595" w:rsidTr="002F661A">
        <w:trPr>
          <w:trHeight w:val="818"/>
        </w:trPr>
        <w:tc>
          <w:tcPr>
            <w:tcW w:w="3020" w:type="dxa"/>
            <w:tcBorders>
              <w:top w:val="single" w:sz="8" w:space="0" w:color="auto"/>
              <w:left w:val="single" w:sz="8" w:space="0" w:color="auto"/>
              <w:bottom w:val="single" w:sz="8" w:space="0" w:color="auto"/>
              <w:right w:val="nil"/>
            </w:tcBorders>
            <w:shd w:val="clear" w:color="auto" w:fill="auto"/>
            <w:noWrap/>
            <w:vAlign w:val="bottom"/>
            <w:hideMark/>
          </w:tcPr>
          <w:p w:rsidR="002F661A" w:rsidRPr="002F661A" w:rsidRDefault="007B45D5" w:rsidP="002F661A">
            <w:pPr>
              <w:spacing w:after="0" w:line="240" w:lineRule="auto"/>
              <w:rPr>
                <w:rFonts w:eastAsia="Times New Roman" w:cstheme="minorHAnsi"/>
                <w:b/>
                <w:lang w:eastAsia="en-AU"/>
              </w:rPr>
            </w:pPr>
            <w:r>
              <w:rPr>
                <w:rFonts w:eastAsia="Times New Roman" w:cstheme="minorHAnsi"/>
                <w:b/>
                <w:lang w:eastAsia="en-AU"/>
              </w:rPr>
              <w:t>Domain</w:t>
            </w:r>
          </w:p>
        </w:tc>
        <w:tc>
          <w:tcPr>
            <w:tcW w:w="118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2F661A" w:rsidRPr="002F661A" w:rsidRDefault="002F661A" w:rsidP="002F661A">
            <w:pPr>
              <w:spacing w:after="0" w:line="240" w:lineRule="auto"/>
              <w:rPr>
                <w:rFonts w:eastAsia="Times New Roman" w:cstheme="minorHAnsi"/>
                <w:b/>
                <w:lang w:eastAsia="en-AU"/>
              </w:rPr>
            </w:pPr>
            <w:r w:rsidRPr="002F661A">
              <w:rPr>
                <w:rFonts w:eastAsia="Times New Roman" w:cstheme="minorHAnsi"/>
                <w:b/>
                <w:lang w:eastAsia="en-AU"/>
              </w:rPr>
              <w:t>Review 1 (n=39319)</w:t>
            </w:r>
          </w:p>
        </w:tc>
        <w:tc>
          <w:tcPr>
            <w:tcW w:w="1200" w:type="dxa"/>
            <w:tcBorders>
              <w:top w:val="single" w:sz="8" w:space="0" w:color="auto"/>
              <w:left w:val="nil"/>
              <w:bottom w:val="single" w:sz="8" w:space="0" w:color="auto"/>
              <w:right w:val="nil"/>
            </w:tcBorders>
            <w:shd w:val="clear" w:color="auto" w:fill="auto"/>
            <w:vAlign w:val="bottom"/>
            <w:hideMark/>
          </w:tcPr>
          <w:p w:rsidR="002F661A" w:rsidRPr="002F661A" w:rsidRDefault="002F661A" w:rsidP="002F661A">
            <w:pPr>
              <w:spacing w:after="0" w:line="240" w:lineRule="auto"/>
              <w:rPr>
                <w:rFonts w:eastAsia="Times New Roman" w:cstheme="minorHAnsi"/>
                <w:b/>
                <w:lang w:eastAsia="en-AU"/>
              </w:rPr>
            </w:pPr>
            <w:r w:rsidRPr="002F661A">
              <w:rPr>
                <w:rFonts w:eastAsia="Times New Roman" w:cstheme="minorHAnsi"/>
                <w:b/>
                <w:lang w:eastAsia="en-AU"/>
              </w:rPr>
              <w:t>Review 2 (n=11819)</w:t>
            </w:r>
          </w:p>
        </w:tc>
        <w:tc>
          <w:tcPr>
            <w:tcW w:w="102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2F661A" w:rsidRPr="002F661A" w:rsidRDefault="002F661A" w:rsidP="002F661A">
            <w:pPr>
              <w:spacing w:after="0" w:line="240" w:lineRule="auto"/>
              <w:rPr>
                <w:rFonts w:eastAsia="Times New Roman" w:cstheme="minorHAnsi"/>
                <w:b/>
                <w:lang w:eastAsia="en-AU"/>
              </w:rPr>
            </w:pPr>
            <w:r w:rsidRPr="002F661A">
              <w:rPr>
                <w:rFonts w:eastAsia="Times New Roman" w:cstheme="minorHAnsi"/>
                <w:b/>
                <w:lang w:eastAsia="en-AU"/>
              </w:rPr>
              <w:t>Review 3 (n=2546)</w:t>
            </w:r>
          </w:p>
        </w:tc>
        <w:tc>
          <w:tcPr>
            <w:tcW w:w="1020" w:type="dxa"/>
            <w:tcBorders>
              <w:top w:val="single" w:sz="8" w:space="0" w:color="auto"/>
              <w:left w:val="nil"/>
              <w:bottom w:val="single" w:sz="8" w:space="0" w:color="auto"/>
              <w:right w:val="nil"/>
            </w:tcBorders>
            <w:shd w:val="clear" w:color="auto" w:fill="auto"/>
            <w:vAlign w:val="bottom"/>
            <w:hideMark/>
          </w:tcPr>
          <w:p w:rsidR="002F661A" w:rsidRPr="002F661A" w:rsidRDefault="002F661A" w:rsidP="002F661A">
            <w:pPr>
              <w:spacing w:after="0" w:line="240" w:lineRule="auto"/>
              <w:rPr>
                <w:rFonts w:eastAsia="Times New Roman" w:cstheme="minorHAnsi"/>
                <w:b/>
                <w:lang w:eastAsia="en-AU"/>
              </w:rPr>
            </w:pPr>
            <w:r w:rsidRPr="002F661A">
              <w:rPr>
                <w:rFonts w:eastAsia="Times New Roman" w:cstheme="minorHAnsi"/>
                <w:b/>
                <w:lang w:eastAsia="en-AU"/>
              </w:rPr>
              <w:t>Review 4 (n=374)</w:t>
            </w:r>
          </w:p>
        </w:tc>
        <w:tc>
          <w:tcPr>
            <w:tcW w:w="102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2F661A" w:rsidRPr="002F661A" w:rsidRDefault="002F661A" w:rsidP="002F661A">
            <w:pPr>
              <w:spacing w:after="0" w:line="240" w:lineRule="auto"/>
              <w:rPr>
                <w:rFonts w:eastAsia="Times New Roman" w:cstheme="minorHAnsi"/>
                <w:b/>
                <w:lang w:eastAsia="en-AU"/>
              </w:rPr>
            </w:pPr>
            <w:r w:rsidRPr="002F661A">
              <w:rPr>
                <w:rFonts w:eastAsia="Times New Roman" w:cstheme="minorHAnsi"/>
                <w:b/>
                <w:lang w:eastAsia="en-AU"/>
              </w:rPr>
              <w:t>Review 5 (n=27)</w:t>
            </w:r>
          </w:p>
        </w:tc>
      </w:tr>
      <w:tr w:rsidR="002F661A" w:rsidRPr="002F661A" w:rsidTr="002F661A">
        <w:trPr>
          <w:trHeight w:val="270"/>
        </w:trPr>
        <w:tc>
          <w:tcPr>
            <w:tcW w:w="3020" w:type="dxa"/>
            <w:tcBorders>
              <w:top w:val="nil"/>
              <w:left w:val="single" w:sz="8" w:space="0" w:color="auto"/>
              <w:bottom w:val="single" w:sz="4" w:space="0" w:color="auto"/>
              <w:right w:val="nil"/>
            </w:tcBorders>
            <w:shd w:val="clear" w:color="auto" w:fill="auto"/>
            <w:noWrap/>
            <w:vAlign w:val="bottom"/>
            <w:hideMark/>
          </w:tcPr>
          <w:p w:rsidR="002F661A" w:rsidRPr="002F661A" w:rsidRDefault="002F661A" w:rsidP="002F661A">
            <w:pPr>
              <w:spacing w:after="0" w:line="240" w:lineRule="auto"/>
              <w:rPr>
                <w:rFonts w:eastAsia="Times New Roman" w:cstheme="minorHAnsi"/>
                <w:lang w:eastAsia="en-AU"/>
              </w:rPr>
            </w:pPr>
            <w:r w:rsidRPr="002F661A">
              <w:rPr>
                <w:rFonts w:eastAsia="Times New Roman" w:cstheme="minorHAnsi"/>
                <w:lang w:eastAsia="en-AU"/>
              </w:rPr>
              <w:t>Fit into community life</w:t>
            </w:r>
          </w:p>
        </w:tc>
        <w:tc>
          <w:tcPr>
            <w:tcW w:w="1180" w:type="dxa"/>
            <w:tcBorders>
              <w:top w:val="nil"/>
              <w:left w:val="single" w:sz="8" w:space="0" w:color="auto"/>
              <w:bottom w:val="single" w:sz="4" w:space="0" w:color="auto"/>
              <w:right w:val="single" w:sz="8" w:space="0" w:color="auto"/>
            </w:tcBorders>
            <w:shd w:val="clear" w:color="auto" w:fill="auto"/>
            <w:noWrap/>
            <w:vAlign w:val="bottom"/>
            <w:hideMark/>
          </w:tcPr>
          <w:p w:rsidR="002F661A" w:rsidRPr="002F661A" w:rsidRDefault="002F661A" w:rsidP="002F661A">
            <w:pPr>
              <w:spacing w:after="0" w:line="240" w:lineRule="auto"/>
              <w:jc w:val="right"/>
              <w:rPr>
                <w:rFonts w:eastAsia="Times New Roman" w:cstheme="minorHAnsi"/>
                <w:lang w:eastAsia="en-AU"/>
              </w:rPr>
            </w:pPr>
            <w:r w:rsidRPr="002F661A">
              <w:rPr>
                <w:rFonts w:eastAsia="Times New Roman" w:cstheme="minorHAnsi"/>
                <w:lang w:eastAsia="en-AU"/>
              </w:rPr>
              <w:t>65.3%</w:t>
            </w:r>
          </w:p>
        </w:tc>
        <w:tc>
          <w:tcPr>
            <w:tcW w:w="1200" w:type="dxa"/>
            <w:tcBorders>
              <w:top w:val="nil"/>
              <w:left w:val="nil"/>
              <w:bottom w:val="single" w:sz="4" w:space="0" w:color="auto"/>
              <w:right w:val="nil"/>
            </w:tcBorders>
            <w:shd w:val="clear" w:color="auto" w:fill="auto"/>
            <w:noWrap/>
            <w:vAlign w:val="bottom"/>
            <w:hideMark/>
          </w:tcPr>
          <w:p w:rsidR="002F661A" w:rsidRPr="002F661A" w:rsidRDefault="002F661A" w:rsidP="002F661A">
            <w:pPr>
              <w:spacing w:after="0" w:line="240" w:lineRule="auto"/>
              <w:jc w:val="right"/>
              <w:rPr>
                <w:rFonts w:eastAsia="Times New Roman" w:cstheme="minorHAnsi"/>
                <w:lang w:eastAsia="en-AU"/>
              </w:rPr>
            </w:pPr>
            <w:r w:rsidRPr="002F661A">
              <w:rPr>
                <w:rFonts w:eastAsia="Times New Roman" w:cstheme="minorHAnsi"/>
                <w:lang w:eastAsia="en-AU"/>
              </w:rPr>
              <w:t>68.3%</w:t>
            </w:r>
          </w:p>
        </w:tc>
        <w:tc>
          <w:tcPr>
            <w:tcW w:w="1020" w:type="dxa"/>
            <w:tcBorders>
              <w:top w:val="nil"/>
              <w:left w:val="single" w:sz="8" w:space="0" w:color="auto"/>
              <w:bottom w:val="single" w:sz="4" w:space="0" w:color="auto"/>
              <w:right w:val="single" w:sz="8" w:space="0" w:color="auto"/>
            </w:tcBorders>
            <w:shd w:val="clear" w:color="auto" w:fill="auto"/>
            <w:noWrap/>
            <w:vAlign w:val="bottom"/>
            <w:hideMark/>
          </w:tcPr>
          <w:p w:rsidR="002F661A" w:rsidRPr="002F661A" w:rsidRDefault="002F661A" w:rsidP="002F661A">
            <w:pPr>
              <w:spacing w:after="0" w:line="240" w:lineRule="auto"/>
              <w:jc w:val="right"/>
              <w:rPr>
                <w:rFonts w:eastAsia="Times New Roman" w:cstheme="minorHAnsi"/>
                <w:lang w:eastAsia="en-AU"/>
              </w:rPr>
            </w:pPr>
            <w:r w:rsidRPr="002F661A">
              <w:rPr>
                <w:rFonts w:eastAsia="Times New Roman" w:cstheme="minorHAnsi"/>
                <w:lang w:eastAsia="en-AU"/>
              </w:rPr>
              <w:t>68.6%</w:t>
            </w:r>
          </w:p>
        </w:tc>
        <w:tc>
          <w:tcPr>
            <w:tcW w:w="1020" w:type="dxa"/>
            <w:tcBorders>
              <w:top w:val="nil"/>
              <w:left w:val="nil"/>
              <w:bottom w:val="single" w:sz="4" w:space="0" w:color="auto"/>
              <w:right w:val="nil"/>
            </w:tcBorders>
            <w:shd w:val="clear" w:color="auto" w:fill="auto"/>
            <w:noWrap/>
            <w:vAlign w:val="bottom"/>
            <w:hideMark/>
          </w:tcPr>
          <w:p w:rsidR="002F661A" w:rsidRPr="002F661A" w:rsidRDefault="002F661A" w:rsidP="002F661A">
            <w:pPr>
              <w:spacing w:after="0" w:line="240" w:lineRule="auto"/>
              <w:jc w:val="right"/>
              <w:rPr>
                <w:rFonts w:eastAsia="Times New Roman" w:cstheme="minorHAnsi"/>
                <w:lang w:eastAsia="en-AU"/>
              </w:rPr>
            </w:pPr>
            <w:r w:rsidRPr="002F661A">
              <w:rPr>
                <w:rFonts w:eastAsia="Times New Roman" w:cstheme="minorHAnsi"/>
                <w:lang w:eastAsia="en-AU"/>
              </w:rPr>
              <w:t>70.5%</w:t>
            </w:r>
          </w:p>
        </w:tc>
        <w:tc>
          <w:tcPr>
            <w:tcW w:w="1020" w:type="dxa"/>
            <w:tcBorders>
              <w:top w:val="nil"/>
              <w:left w:val="single" w:sz="8" w:space="0" w:color="auto"/>
              <w:bottom w:val="single" w:sz="4" w:space="0" w:color="auto"/>
              <w:right w:val="single" w:sz="8" w:space="0" w:color="auto"/>
            </w:tcBorders>
            <w:shd w:val="clear" w:color="auto" w:fill="auto"/>
            <w:noWrap/>
            <w:vAlign w:val="bottom"/>
            <w:hideMark/>
          </w:tcPr>
          <w:p w:rsidR="002F661A" w:rsidRPr="002F661A" w:rsidRDefault="002F661A" w:rsidP="002F661A">
            <w:pPr>
              <w:spacing w:after="0" w:line="240" w:lineRule="auto"/>
              <w:jc w:val="right"/>
              <w:rPr>
                <w:rFonts w:eastAsia="Times New Roman" w:cstheme="minorHAnsi"/>
                <w:lang w:eastAsia="en-AU"/>
              </w:rPr>
            </w:pPr>
            <w:r w:rsidRPr="002F661A">
              <w:rPr>
                <w:rFonts w:eastAsia="Times New Roman" w:cstheme="minorHAnsi"/>
                <w:lang w:eastAsia="en-AU"/>
              </w:rPr>
              <w:t>74.1%</w:t>
            </w:r>
          </w:p>
        </w:tc>
      </w:tr>
      <w:tr w:rsidR="002F661A" w:rsidRPr="002F661A" w:rsidTr="002F661A">
        <w:trPr>
          <w:trHeight w:val="270"/>
        </w:trPr>
        <w:tc>
          <w:tcPr>
            <w:tcW w:w="3020" w:type="dxa"/>
            <w:tcBorders>
              <w:top w:val="nil"/>
              <w:left w:val="single" w:sz="8" w:space="0" w:color="auto"/>
              <w:bottom w:val="single" w:sz="4" w:space="0" w:color="auto"/>
              <w:right w:val="nil"/>
            </w:tcBorders>
            <w:shd w:val="clear" w:color="auto" w:fill="auto"/>
            <w:noWrap/>
            <w:vAlign w:val="bottom"/>
            <w:hideMark/>
          </w:tcPr>
          <w:p w:rsidR="002F661A" w:rsidRPr="002F661A" w:rsidRDefault="002F661A" w:rsidP="002F661A">
            <w:pPr>
              <w:spacing w:after="0" w:line="240" w:lineRule="auto"/>
              <w:rPr>
                <w:rFonts w:eastAsia="Times New Roman" w:cstheme="minorHAnsi"/>
                <w:lang w:eastAsia="en-AU"/>
              </w:rPr>
            </w:pPr>
            <w:r w:rsidRPr="002F661A">
              <w:rPr>
                <w:rFonts w:eastAsia="Times New Roman" w:cstheme="minorHAnsi"/>
                <w:lang w:eastAsia="en-AU"/>
              </w:rPr>
              <w:t>Fit into family life</w:t>
            </w:r>
          </w:p>
        </w:tc>
        <w:tc>
          <w:tcPr>
            <w:tcW w:w="1180" w:type="dxa"/>
            <w:tcBorders>
              <w:top w:val="nil"/>
              <w:left w:val="single" w:sz="8" w:space="0" w:color="auto"/>
              <w:bottom w:val="single" w:sz="4" w:space="0" w:color="auto"/>
              <w:right w:val="single" w:sz="8" w:space="0" w:color="auto"/>
            </w:tcBorders>
            <w:shd w:val="clear" w:color="auto" w:fill="auto"/>
            <w:noWrap/>
            <w:vAlign w:val="bottom"/>
            <w:hideMark/>
          </w:tcPr>
          <w:p w:rsidR="002F661A" w:rsidRPr="002F661A" w:rsidRDefault="002F661A" w:rsidP="002F661A">
            <w:pPr>
              <w:spacing w:after="0" w:line="240" w:lineRule="auto"/>
              <w:jc w:val="right"/>
              <w:rPr>
                <w:rFonts w:eastAsia="Times New Roman" w:cstheme="minorHAnsi"/>
                <w:lang w:eastAsia="en-AU"/>
              </w:rPr>
            </w:pPr>
            <w:r w:rsidRPr="002F661A">
              <w:rPr>
                <w:rFonts w:eastAsia="Times New Roman" w:cstheme="minorHAnsi"/>
                <w:lang w:eastAsia="en-AU"/>
              </w:rPr>
              <w:t>78.6%</w:t>
            </w:r>
          </w:p>
        </w:tc>
        <w:tc>
          <w:tcPr>
            <w:tcW w:w="1200" w:type="dxa"/>
            <w:tcBorders>
              <w:top w:val="nil"/>
              <w:left w:val="nil"/>
              <w:bottom w:val="single" w:sz="4" w:space="0" w:color="auto"/>
              <w:right w:val="nil"/>
            </w:tcBorders>
            <w:shd w:val="clear" w:color="auto" w:fill="auto"/>
            <w:noWrap/>
            <w:vAlign w:val="bottom"/>
            <w:hideMark/>
          </w:tcPr>
          <w:p w:rsidR="002F661A" w:rsidRPr="002F661A" w:rsidRDefault="002F661A" w:rsidP="002F661A">
            <w:pPr>
              <w:spacing w:after="0" w:line="240" w:lineRule="auto"/>
              <w:jc w:val="right"/>
              <w:rPr>
                <w:rFonts w:eastAsia="Times New Roman" w:cstheme="minorHAnsi"/>
                <w:lang w:eastAsia="en-AU"/>
              </w:rPr>
            </w:pPr>
            <w:r w:rsidRPr="002F661A">
              <w:rPr>
                <w:rFonts w:eastAsia="Times New Roman" w:cstheme="minorHAnsi"/>
                <w:lang w:eastAsia="en-AU"/>
              </w:rPr>
              <w:t>81.9%</w:t>
            </w:r>
          </w:p>
        </w:tc>
        <w:tc>
          <w:tcPr>
            <w:tcW w:w="1020" w:type="dxa"/>
            <w:tcBorders>
              <w:top w:val="nil"/>
              <w:left w:val="single" w:sz="8" w:space="0" w:color="auto"/>
              <w:bottom w:val="single" w:sz="4" w:space="0" w:color="auto"/>
              <w:right w:val="single" w:sz="8" w:space="0" w:color="auto"/>
            </w:tcBorders>
            <w:shd w:val="clear" w:color="auto" w:fill="auto"/>
            <w:noWrap/>
            <w:vAlign w:val="bottom"/>
            <w:hideMark/>
          </w:tcPr>
          <w:p w:rsidR="002F661A" w:rsidRPr="002F661A" w:rsidRDefault="002F661A" w:rsidP="002F661A">
            <w:pPr>
              <w:spacing w:after="0" w:line="240" w:lineRule="auto"/>
              <w:jc w:val="right"/>
              <w:rPr>
                <w:rFonts w:eastAsia="Times New Roman" w:cstheme="minorHAnsi"/>
                <w:lang w:eastAsia="en-AU"/>
              </w:rPr>
            </w:pPr>
            <w:r w:rsidRPr="002F661A">
              <w:rPr>
                <w:rFonts w:eastAsia="Times New Roman" w:cstheme="minorHAnsi"/>
                <w:lang w:eastAsia="en-AU"/>
              </w:rPr>
              <w:t>81.4%</w:t>
            </w:r>
          </w:p>
        </w:tc>
        <w:tc>
          <w:tcPr>
            <w:tcW w:w="1020" w:type="dxa"/>
            <w:tcBorders>
              <w:top w:val="nil"/>
              <w:left w:val="nil"/>
              <w:bottom w:val="single" w:sz="4" w:space="0" w:color="auto"/>
              <w:right w:val="nil"/>
            </w:tcBorders>
            <w:shd w:val="clear" w:color="auto" w:fill="auto"/>
            <w:noWrap/>
            <w:vAlign w:val="bottom"/>
            <w:hideMark/>
          </w:tcPr>
          <w:p w:rsidR="002F661A" w:rsidRPr="002F661A" w:rsidRDefault="002F661A" w:rsidP="002F661A">
            <w:pPr>
              <w:spacing w:after="0" w:line="240" w:lineRule="auto"/>
              <w:jc w:val="right"/>
              <w:rPr>
                <w:rFonts w:eastAsia="Times New Roman" w:cstheme="minorHAnsi"/>
                <w:lang w:eastAsia="en-AU"/>
              </w:rPr>
            </w:pPr>
            <w:r w:rsidRPr="002F661A">
              <w:rPr>
                <w:rFonts w:eastAsia="Times New Roman" w:cstheme="minorHAnsi"/>
                <w:lang w:eastAsia="en-AU"/>
              </w:rPr>
              <w:t>82.6%</w:t>
            </w:r>
          </w:p>
        </w:tc>
        <w:tc>
          <w:tcPr>
            <w:tcW w:w="1020" w:type="dxa"/>
            <w:tcBorders>
              <w:top w:val="nil"/>
              <w:left w:val="single" w:sz="8" w:space="0" w:color="auto"/>
              <w:bottom w:val="single" w:sz="4" w:space="0" w:color="auto"/>
              <w:right w:val="single" w:sz="8" w:space="0" w:color="auto"/>
            </w:tcBorders>
            <w:shd w:val="clear" w:color="auto" w:fill="auto"/>
            <w:noWrap/>
            <w:vAlign w:val="bottom"/>
            <w:hideMark/>
          </w:tcPr>
          <w:p w:rsidR="002F661A" w:rsidRPr="002F661A" w:rsidRDefault="002F661A" w:rsidP="002F661A">
            <w:pPr>
              <w:spacing w:after="0" w:line="240" w:lineRule="auto"/>
              <w:jc w:val="right"/>
              <w:rPr>
                <w:rFonts w:eastAsia="Times New Roman" w:cstheme="minorHAnsi"/>
                <w:lang w:eastAsia="en-AU"/>
              </w:rPr>
            </w:pPr>
            <w:r w:rsidRPr="002F661A">
              <w:rPr>
                <w:rFonts w:eastAsia="Times New Roman" w:cstheme="minorHAnsi"/>
                <w:lang w:eastAsia="en-AU"/>
              </w:rPr>
              <w:t>84.6%</w:t>
            </w:r>
          </w:p>
        </w:tc>
      </w:tr>
      <w:tr w:rsidR="002F661A" w:rsidRPr="002F661A" w:rsidTr="002F661A">
        <w:trPr>
          <w:trHeight w:val="270"/>
        </w:trPr>
        <w:tc>
          <w:tcPr>
            <w:tcW w:w="3020" w:type="dxa"/>
            <w:tcBorders>
              <w:top w:val="nil"/>
              <w:left w:val="single" w:sz="8" w:space="0" w:color="auto"/>
              <w:bottom w:val="single" w:sz="4" w:space="0" w:color="auto"/>
              <w:right w:val="nil"/>
            </w:tcBorders>
            <w:shd w:val="clear" w:color="auto" w:fill="auto"/>
            <w:noWrap/>
            <w:vAlign w:val="bottom"/>
            <w:hideMark/>
          </w:tcPr>
          <w:p w:rsidR="002F661A" w:rsidRPr="002F661A" w:rsidRDefault="002F661A" w:rsidP="002F661A">
            <w:pPr>
              <w:spacing w:after="0" w:line="240" w:lineRule="auto"/>
              <w:rPr>
                <w:rFonts w:eastAsia="Times New Roman" w:cstheme="minorHAnsi"/>
                <w:lang w:eastAsia="en-AU"/>
              </w:rPr>
            </w:pPr>
            <w:r w:rsidRPr="002F661A">
              <w:rPr>
                <w:rFonts w:eastAsia="Times New Roman" w:cstheme="minorHAnsi"/>
                <w:lang w:eastAsia="en-AU"/>
              </w:rPr>
              <w:lastRenderedPageBreak/>
              <w:t>Ability to communicate</w:t>
            </w:r>
          </w:p>
        </w:tc>
        <w:tc>
          <w:tcPr>
            <w:tcW w:w="1180" w:type="dxa"/>
            <w:tcBorders>
              <w:top w:val="nil"/>
              <w:left w:val="single" w:sz="8" w:space="0" w:color="auto"/>
              <w:bottom w:val="single" w:sz="4" w:space="0" w:color="auto"/>
              <w:right w:val="single" w:sz="8" w:space="0" w:color="auto"/>
            </w:tcBorders>
            <w:shd w:val="clear" w:color="auto" w:fill="auto"/>
            <w:noWrap/>
            <w:vAlign w:val="bottom"/>
            <w:hideMark/>
          </w:tcPr>
          <w:p w:rsidR="002F661A" w:rsidRPr="002F661A" w:rsidRDefault="002F661A" w:rsidP="002F661A">
            <w:pPr>
              <w:spacing w:after="0" w:line="240" w:lineRule="auto"/>
              <w:jc w:val="right"/>
              <w:rPr>
                <w:rFonts w:eastAsia="Times New Roman" w:cstheme="minorHAnsi"/>
                <w:lang w:eastAsia="en-AU"/>
              </w:rPr>
            </w:pPr>
            <w:r w:rsidRPr="002F661A">
              <w:rPr>
                <w:rFonts w:eastAsia="Times New Roman" w:cstheme="minorHAnsi"/>
                <w:lang w:eastAsia="en-AU"/>
              </w:rPr>
              <w:t>83.2%</w:t>
            </w:r>
          </w:p>
        </w:tc>
        <w:tc>
          <w:tcPr>
            <w:tcW w:w="1200" w:type="dxa"/>
            <w:tcBorders>
              <w:top w:val="nil"/>
              <w:left w:val="nil"/>
              <w:bottom w:val="single" w:sz="4" w:space="0" w:color="auto"/>
              <w:right w:val="nil"/>
            </w:tcBorders>
            <w:shd w:val="clear" w:color="auto" w:fill="auto"/>
            <w:noWrap/>
            <w:vAlign w:val="bottom"/>
            <w:hideMark/>
          </w:tcPr>
          <w:p w:rsidR="002F661A" w:rsidRPr="002F661A" w:rsidRDefault="002F661A" w:rsidP="002F661A">
            <w:pPr>
              <w:spacing w:after="0" w:line="240" w:lineRule="auto"/>
              <w:jc w:val="right"/>
              <w:rPr>
                <w:rFonts w:eastAsia="Times New Roman" w:cstheme="minorHAnsi"/>
                <w:lang w:eastAsia="en-AU"/>
              </w:rPr>
            </w:pPr>
            <w:r w:rsidRPr="002F661A">
              <w:rPr>
                <w:rFonts w:eastAsia="Times New Roman" w:cstheme="minorHAnsi"/>
                <w:lang w:eastAsia="en-AU"/>
              </w:rPr>
              <w:t>87.3%</w:t>
            </w:r>
          </w:p>
        </w:tc>
        <w:tc>
          <w:tcPr>
            <w:tcW w:w="1020" w:type="dxa"/>
            <w:tcBorders>
              <w:top w:val="nil"/>
              <w:left w:val="single" w:sz="8" w:space="0" w:color="auto"/>
              <w:bottom w:val="single" w:sz="4" w:space="0" w:color="auto"/>
              <w:right w:val="single" w:sz="8" w:space="0" w:color="auto"/>
            </w:tcBorders>
            <w:shd w:val="clear" w:color="auto" w:fill="auto"/>
            <w:noWrap/>
            <w:vAlign w:val="bottom"/>
            <w:hideMark/>
          </w:tcPr>
          <w:p w:rsidR="002F661A" w:rsidRPr="002F661A" w:rsidRDefault="002F661A" w:rsidP="002F661A">
            <w:pPr>
              <w:spacing w:after="0" w:line="240" w:lineRule="auto"/>
              <w:jc w:val="right"/>
              <w:rPr>
                <w:rFonts w:eastAsia="Times New Roman" w:cstheme="minorHAnsi"/>
                <w:lang w:eastAsia="en-AU"/>
              </w:rPr>
            </w:pPr>
            <w:r w:rsidRPr="002F661A">
              <w:rPr>
                <w:rFonts w:eastAsia="Times New Roman" w:cstheme="minorHAnsi"/>
                <w:lang w:eastAsia="en-AU"/>
              </w:rPr>
              <w:t>87.0%</w:t>
            </w:r>
          </w:p>
        </w:tc>
        <w:tc>
          <w:tcPr>
            <w:tcW w:w="1020" w:type="dxa"/>
            <w:tcBorders>
              <w:top w:val="nil"/>
              <w:left w:val="nil"/>
              <w:bottom w:val="single" w:sz="4" w:space="0" w:color="auto"/>
              <w:right w:val="nil"/>
            </w:tcBorders>
            <w:shd w:val="clear" w:color="auto" w:fill="auto"/>
            <w:noWrap/>
            <w:vAlign w:val="bottom"/>
            <w:hideMark/>
          </w:tcPr>
          <w:p w:rsidR="002F661A" w:rsidRPr="002F661A" w:rsidRDefault="002F661A" w:rsidP="002F661A">
            <w:pPr>
              <w:spacing w:after="0" w:line="240" w:lineRule="auto"/>
              <w:jc w:val="right"/>
              <w:rPr>
                <w:rFonts w:eastAsia="Times New Roman" w:cstheme="minorHAnsi"/>
                <w:lang w:eastAsia="en-AU"/>
              </w:rPr>
            </w:pPr>
            <w:r w:rsidRPr="002F661A">
              <w:rPr>
                <w:rFonts w:eastAsia="Times New Roman" w:cstheme="minorHAnsi"/>
                <w:lang w:eastAsia="en-AU"/>
              </w:rPr>
              <w:t>86.9%</w:t>
            </w:r>
          </w:p>
        </w:tc>
        <w:tc>
          <w:tcPr>
            <w:tcW w:w="1020" w:type="dxa"/>
            <w:tcBorders>
              <w:top w:val="nil"/>
              <w:left w:val="single" w:sz="8" w:space="0" w:color="auto"/>
              <w:bottom w:val="single" w:sz="4" w:space="0" w:color="auto"/>
              <w:right w:val="single" w:sz="8" w:space="0" w:color="auto"/>
            </w:tcBorders>
            <w:shd w:val="clear" w:color="auto" w:fill="auto"/>
            <w:noWrap/>
            <w:vAlign w:val="bottom"/>
            <w:hideMark/>
          </w:tcPr>
          <w:p w:rsidR="002F661A" w:rsidRPr="002F661A" w:rsidRDefault="002F661A" w:rsidP="002F661A">
            <w:pPr>
              <w:spacing w:after="0" w:line="240" w:lineRule="auto"/>
              <w:jc w:val="right"/>
              <w:rPr>
                <w:rFonts w:eastAsia="Times New Roman" w:cstheme="minorHAnsi"/>
                <w:lang w:eastAsia="en-AU"/>
              </w:rPr>
            </w:pPr>
            <w:r w:rsidRPr="002F661A">
              <w:rPr>
                <w:rFonts w:eastAsia="Times New Roman" w:cstheme="minorHAnsi"/>
                <w:lang w:eastAsia="en-AU"/>
              </w:rPr>
              <w:t>88.9%</w:t>
            </w:r>
          </w:p>
        </w:tc>
      </w:tr>
      <w:tr w:rsidR="002F661A" w:rsidRPr="002F661A" w:rsidTr="002F661A">
        <w:trPr>
          <w:trHeight w:val="270"/>
        </w:trPr>
        <w:tc>
          <w:tcPr>
            <w:tcW w:w="3020" w:type="dxa"/>
            <w:tcBorders>
              <w:top w:val="nil"/>
              <w:left w:val="single" w:sz="8" w:space="0" w:color="auto"/>
              <w:bottom w:val="single" w:sz="4" w:space="0" w:color="auto"/>
              <w:right w:val="nil"/>
            </w:tcBorders>
            <w:shd w:val="clear" w:color="auto" w:fill="auto"/>
            <w:noWrap/>
            <w:vAlign w:val="bottom"/>
            <w:hideMark/>
          </w:tcPr>
          <w:p w:rsidR="002F661A" w:rsidRPr="002F661A" w:rsidRDefault="002F661A" w:rsidP="002F661A">
            <w:pPr>
              <w:spacing w:after="0" w:line="240" w:lineRule="auto"/>
              <w:rPr>
                <w:rFonts w:eastAsia="Times New Roman" w:cstheme="minorHAnsi"/>
                <w:lang w:eastAsia="en-AU"/>
              </w:rPr>
            </w:pPr>
            <w:r w:rsidRPr="002F661A">
              <w:rPr>
                <w:rFonts w:eastAsia="Times New Roman" w:cstheme="minorHAnsi"/>
                <w:lang w:eastAsia="en-AU"/>
              </w:rPr>
              <w:t>Access to specialist services</w:t>
            </w:r>
          </w:p>
        </w:tc>
        <w:tc>
          <w:tcPr>
            <w:tcW w:w="1180" w:type="dxa"/>
            <w:tcBorders>
              <w:top w:val="nil"/>
              <w:left w:val="single" w:sz="8" w:space="0" w:color="auto"/>
              <w:bottom w:val="single" w:sz="4" w:space="0" w:color="auto"/>
              <w:right w:val="single" w:sz="8" w:space="0" w:color="auto"/>
            </w:tcBorders>
            <w:shd w:val="clear" w:color="auto" w:fill="auto"/>
            <w:noWrap/>
            <w:vAlign w:val="bottom"/>
            <w:hideMark/>
          </w:tcPr>
          <w:p w:rsidR="002F661A" w:rsidRPr="002F661A" w:rsidRDefault="002F661A" w:rsidP="002F661A">
            <w:pPr>
              <w:spacing w:after="0" w:line="240" w:lineRule="auto"/>
              <w:jc w:val="right"/>
              <w:rPr>
                <w:rFonts w:eastAsia="Times New Roman" w:cstheme="minorHAnsi"/>
                <w:lang w:eastAsia="en-AU"/>
              </w:rPr>
            </w:pPr>
            <w:r w:rsidRPr="002F661A">
              <w:rPr>
                <w:rFonts w:eastAsia="Times New Roman" w:cstheme="minorHAnsi"/>
                <w:lang w:eastAsia="en-AU"/>
              </w:rPr>
              <w:t>91.6%</w:t>
            </w:r>
          </w:p>
        </w:tc>
        <w:tc>
          <w:tcPr>
            <w:tcW w:w="1200" w:type="dxa"/>
            <w:tcBorders>
              <w:top w:val="nil"/>
              <w:left w:val="nil"/>
              <w:bottom w:val="single" w:sz="4" w:space="0" w:color="auto"/>
              <w:right w:val="nil"/>
            </w:tcBorders>
            <w:shd w:val="clear" w:color="auto" w:fill="auto"/>
            <w:noWrap/>
            <w:vAlign w:val="bottom"/>
            <w:hideMark/>
          </w:tcPr>
          <w:p w:rsidR="002F661A" w:rsidRPr="002F661A" w:rsidRDefault="002F661A" w:rsidP="002F661A">
            <w:pPr>
              <w:spacing w:after="0" w:line="240" w:lineRule="auto"/>
              <w:jc w:val="right"/>
              <w:rPr>
                <w:rFonts w:eastAsia="Times New Roman" w:cstheme="minorHAnsi"/>
                <w:lang w:eastAsia="en-AU"/>
              </w:rPr>
            </w:pPr>
            <w:r w:rsidRPr="002F661A">
              <w:rPr>
                <w:rFonts w:eastAsia="Times New Roman" w:cstheme="minorHAnsi"/>
                <w:lang w:eastAsia="en-AU"/>
              </w:rPr>
              <w:t>94.9%</w:t>
            </w:r>
          </w:p>
        </w:tc>
        <w:tc>
          <w:tcPr>
            <w:tcW w:w="1020" w:type="dxa"/>
            <w:tcBorders>
              <w:top w:val="nil"/>
              <w:left w:val="single" w:sz="8" w:space="0" w:color="auto"/>
              <w:bottom w:val="single" w:sz="4" w:space="0" w:color="auto"/>
              <w:right w:val="single" w:sz="8" w:space="0" w:color="auto"/>
            </w:tcBorders>
            <w:shd w:val="clear" w:color="auto" w:fill="auto"/>
            <w:noWrap/>
            <w:vAlign w:val="bottom"/>
            <w:hideMark/>
          </w:tcPr>
          <w:p w:rsidR="002F661A" w:rsidRPr="002F661A" w:rsidRDefault="002F661A" w:rsidP="002F661A">
            <w:pPr>
              <w:spacing w:after="0" w:line="240" w:lineRule="auto"/>
              <w:jc w:val="right"/>
              <w:rPr>
                <w:rFonts w:eastAsia="Times New Roman" w:cstheme="minorHAnsi"/>
                <w:lang w:eastAsia="en-AU"/>
              </w:rPr>
            </w:pPr>
            <w:r w:rsidRPr="002F661A">
              <w:rPr>
                <w:rFonts w:eastAsia="Times New Roman" w:cstheme="minorHAnsi"/>
                <w:lang w:eastAsia="en-AU"/>
              </w:rPr>
              <w:t>94.7%</w:t>
            </w:r>
          </w:p>
        </w:tc>
        <w:tc>
          <w:tcPr>
            <w:tcW w:w="1020" w:type="dxa"/>
            <w:tcBorders>
              <w:top w:val="nil"/>
              <w:left w:val="nil"/>
              <w:bottom w:val="single" w:sz="4" w:space="0" w:color="auto"/>
              <w:right w:val="nil"/>
            </w:tcBorders>
            <w:shd w:val="clear" w:color="auto" w:fill="auto"/>
            <w:noWrap/>
            <w:vAlign w:val="bottom"/>
            <w:hideMark/>
          </w:tcPr>
          <w:p w:rsidR="002F661A" w:rsidRPr="002F661A" w:rsidRDefault="002F661A" w:rsidP="002F661A">
            <w:pPr>
              <w:spacing w:after="0" w:line="240" w:lineRule="auto"/>
              <w:jc w:val="right"/>
              <w:rPr>
                <w:rFonts w:eastAsia="Times New Roman" w:cstheme="minorHAnsi"/>
                <w:lang w:eastAsia="en-AU"/>
              </w:rPr>
            </w:pPr>
            <w:r w:rsidRPr="002F661A">
              <w:rPr>
                <w:rFonts w:eastAsia="Times New Roman" w:cstheme="minorHAnsi"/>
                <w:lang w:eastAsia="en-AU"/>
              </w:rPr>
              <w:t>96.0%</w:t>
            </w:r>
          </w:p>
        </w:tc>
        <w:tc>
          <w:tcPr>
            <w:tcW w:w="1020" w:type="dxa"/>
            <w:tcBorders>
              <w:top w:val="nil"/>
              <w:left w:val="single" w:sz="8" w:space="0" w:color="auto"/>
              <w:bottom w:val="single" w:sz="4" w:space="0" w:color="auto"/>
              <w:right w:val="single" w:sz="8" w:space="0" w:color="auto"/>
            </w:tcBorders>
            <w:shd w:val="clear" w:color="auto" w:fill="auto"/>
            <w:noWrap/>
            <w:vAlign w:val="bottom"/>
            <w:hideMark/>
          </w:tcPr>
          <w:p w:rsidR="002F661A" w:rsidRPr="002F661A" w:rsidRDefault="002F661A" w:rsidP="002F661A">
            <w:pPr>
              <w:spacing w:after="0" w:line="240" w:lineRule="auto"/>
              <w:jc w:val="right"/>
              <w:rPr>
                <w:rFonts w:eastAsia="Times New Roman" w:cstheme="minorHAnsi"/>
                <w:lang w:eastAsia="en-AU"/>
              </w:rPr>
            </w:pPr>
            <w:r w:rsidRPr="002F661A">
              <w:rPr>
                <w:rFonts w:eastAsia="Times New Roman" w:cstheme="minorHAnsi"/>
                <w:lang w:eastAsia="en-AU"/>
              </w:rPr>
              <w:t>96.3%</w:t>
            </w:r>
          </w:p>
        </w:tc>
      </w:tr>
      <w:tr w:rsidR="002F661A" w:rsidRPr="002F661A" w:rsidTr="002F661A">
        <w:trPr>
          <w:trHeight w:val="278"/>
        </w:trPr>
        <w:tc>
          <w:tcPr>
            <w:tcW w:w="3020" w:type="dxa"/>
            <w:tcBorders>
              <w:top w:val="nil"/>
              <w:left w:val="single" w:sz="8" w:space="0" w:color="auto"/>
              <w:bottom w:val="single" w:sz="8" w:space="0" w:color="auto"/>
              <w:right w:val="nil"/>
            </w:tcBorders>
            <w:shd w:val="clear" w:color="auto" w:fill="auto"/>
            <w:noWrap/>
            <w:vAlign w:val="bottom"/>
            <w:hideMark/>
          </w:tcPr>
          <w:p w:rsidR="002F661A" w:rsidRPr="002F661A" w:rsidRDefault="002F661A" w:rsidP="002F661A">
            <w:pPr>
              <w:spacing w:after="0" w:line="240" w:lineRule="auto"/>
              <w:rPr>
                <w:rFonts w:eastAsia="Times New Roman" w:cstheme="minorHAnsi"/>
                <w:lang w:eastAsia="en-AU"/>
              </w:rPr>
            </w:pPr>
            <w:r w:rsidRPr="002F661A">
              <w:rPr>
                <w:rFonts w:eastAsia="Times New Roman" w:cstheme="minorHAnsi"/>
                <w:lang w:eastAsia="en-AU"/>
              </w:rPr>
              <w:t>Child development</w:t>
            </w:r>
          </w:p>
        </w:tc>
        <w:tc>
          <w:tcPr>
            <w:tcW w:w="1180" w:type="dxa"/>
            <w:tcBorders>
              <w:top w:val="nil"/>
              <w:left w:val="single" w:sz="8" w:space="0" w:color="auto"/>
              <w:bottom w:val="single" w:sz="8" w:space="0" w:color="auto"/>
              <w:right w:val="single" w:sz="8" w:space="0" w:color="auto"/>
            </w:tcBorders>
            <w:shd w:val="clear" w:color="auto" w:fill="auto"/>
            <w:noWrap/>
            <w:vAlign w:val="bottom"/>
            <w:hideMark/>
          </w:tcPr>
          <w:p w:rsidR="002F661A" w:rsidRPr="002F661A" w:rsidRDefault="002F661A" w:rsidP="002F661A">
            <w:pPr>
              <w:spacing w:after="0" w:line="240" w:lineRule="auto"/>
              <w:jc w:val="right"/>
              <w:rPr>
                <w:rFonts w:eastAsia="Times New Roman" w:cstheme="minorHAnsi"/>
                <w:lang w:eastAsia="en-AU"/>
              </w:rPr>
            </w:pPr>
            <w:r w:rsidRPr="002F661A">
              <w:rPr>
                <w:rFonts w:eastAsia="Times New Roman" w:cstheme="minorHAnsi"/>
                <w:lang w:eastAsia="en-AU"/>
              </w:rPr>
              <w:t>90.9%</w:t>
            </w:r>
          </w:p>
        </w:tc>
        <w:tc>
          <w:tcPr>
            <w:tcW w:w="1200" w:type="dxa"/>
            <w:tcBorders>
              <w:top w:val="nil"/>
              <w:left w:val="nil"/>
              <w:bottom w:val="single" w:sz="8" w:space="0" w:color="auto"/>
              <w:right w:val="nil"/>
            </w:tcBorders>
            <w:shd w:val="clear" w:color="auto" w:fill="auto"/>
            <w:noWrap/>
            <w:vAlign w:val="bottom"/>
            <w:hideMark/>
          </w:tcPr>
          <w:p w:rsidR="002F661A" w:rsidRPr="002F661A" w:rsidRDefault="002F661A" w:rsidP="002F661A">
            <w:pPr>
              <w:spacing w:after="0" w:line="240" w:lineRule="auto"/>
              <w:jc w:val="right"/>
              <w:rPr>
                <w:rFonts w:eastAsia="Times New Roman" w:cstheme="minorHAnsi"/>
                <w:lang w:eastAsia="en-AU"/>
              </w:rPr>
            </w:pPr>
            <w:r w:rsidRPr="002F661A">
              <w:rPr>
                <w:rFonts w:eastAsia="Times New Roman" w:cstheme="minorHAnsi"/>
                <w:lang w:eastAsia="en-AU"/>
              </w:rPr>
              <w:t>94.9%</w:t>
            </w:r>
          </w:p>
        </w:tc>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2F661A" w:rsidRPr="002F661A" w:rsidRDefault="002F661A" w:rsidP="002F661A">
            <w:pPr>
              <w:spacing w:after="0" w:line="240" w:lineRule="auto"/>
              <w:jc w:val="right"/>
              <w:rPr>
                <w:rFonts w:eastAsia="Times New Roman" w:cstheme="minorHAnsi"/>
                <w:lang w:eastAsia="en-AU"/>
              </w:rPr>
            </w:pPr>
            <w:r w:rsidRPr="002F661A">
              <w:rPr>
                <w:rFonts w:eastAsia="Times New Roman" w:cstheme="minorHAnsi"/>
                <w:lang w:eastAsia="en-AU"/>
              </w:rPr>
              <w:t>95.4%</w:t>
            </w:r>
          </w:p>
        </w:tc>
        <w:tc>
          <w:tcPr>
            <w:tcW w:w="1020" w:type="dxa"/>
            <w:tcBorders>
              <w:top w:val="nil"/>
              <w:left w:val="nil"/>
              <w:bottom w:val="single" w:sz="8" w:space="0" w:color="auto"/>
              <w:right w:val="nil"/>
            </w:tcBorders>
            <w:shd w:val="clear" w:color="auto" w:fill="auto"/>
            <w:noWrap/>
            <w:vAlign w:val="bottom"/>
            <w:hideMark/>
          </w:tcPr>
          <w:p w:rsidR="002F661A" w:rsidRPr="002F661A" w:rsidRDefault="002F661A" w:rsidP="002F661A">
            <w:pPr>
              <w:spacing w:after="0" w:line="240" w:lineRule="auto"/>
              <w:jc w:val="right"/>
              <w:rPr>
                <w:rFonts w:eastAsia="Times New Roman" w:cstheme="minorHAnsi"/>
                <w:lang w:eastAsia="en-AU"/>
              </w:rPr>
            </w:pPr>
            <w:r w:rsidRPr="002F661A">
              <w:rPr>
                <w:rFonts w:eastAsia="Times New Roman" w:cstheme="minorHAnsi"/>
                <w:lang w:eastAsia="en-AU"/>
              </w:rPr>
              <w:t>96.5%</w:t>
            </w:r>
          </w:p>
        </w:tc>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2F661A" w:rsidRPr="002F661A" w:rsidRDefault="002F661A" w:rsidP="002F661A">
            <w:pPr>
              <w:spacing w:after="0" w:line="240" w:lineRule="auto"/>
              <w:jc w:val="right"/>
              <w:rPr>
                <w:rFonts w:eastAsia="Times New Roman" w:cstheme="minorHAnsi"/>
                <w:lang w:eastAsia="en-AU"/>
              </w:rPr>
            </w:pPr>
            <w:r w:rsidRPr="002F661A">
              <w:rPr>
                <w:rFonts w:eastAsia="Times New Roman" w:cstheme="minorHAnsi"/>
                <w:lang w:eastAsia="en-AU"/>
              </w:rPr>
              <w:t>96.3%</w:t>
            </w:r>
          </w:p>
        </w:tc>
      </w:tr>
    </w:tbl>
    <w:p w:rsidR="00B62FC3" w:rsidRDefault="00B62FC3" w:rsidP="00540981">
      <w:pPr>
        <w:pStyle w:val="Heading3"/>
      </w:pPr>
    </w:p>
    <w:p w:rsidR="002F661A" w:rsidRPr="002F661A" w:rsidRDefault="002F661A" w:rsidP="002F661A">
      <w:r>
        <w:t>By baseline plan utilisation rate, outcomes after one year</w:t>
      </w:r>
    </w:p>
    <w:tbl>
      <w:tblPr>
        <w:tblW w:w="9500" w:type="dxa"/>
        <w:tblLook w:val="04A0" w:firstRow="1" w:lastRow="0" w:firstColumn="1" w:lastColumn="0" w:noHBand="0" w:noVBand="1"/>
      </w:tblPr>
      <w:tblGrid>
        <w:gridCol w:w="3140"/>
        <w:gridCol w:w="1300"/>
        <w:gridCol w:w="1260"/>
        <w:gridCol w:w="1280"/>
        <w:gridCol w:w="1360"/>
        <w:gridCol w:w="1160"/>
      </w:tblGrid>
      <w:tr w:rsidR="007B45D5" w:rsidRPr="002F661A" w:rsidTr="002F661A">
        <w:trPr>
          <w:trHeight w:val="818"/>
        </w:trPr>
        <w:tc>
          <w:tcPr>
            <w:tcW w:w="3140" w:type="dxa"/>
            <w:tcBorders>
              <w:top w:val="single" w:sz="8" w:space="0" w:color="auto"/>
              <w:left w:val="single" w:sz="8" w:space="0" w:color="auto"/>
              <w:bottom w:val="single" w:sz="8" w:space="0" w:color="auto"/>
              <w:right w:val="nil"/>
            </w:tcBorders>
            <w:shd w:val="clear" w:color="auto" w:fill="auto"/>
            <w:noWrap/>
            <w:vAlign w:val="bottom"/>
            <w:hideMark/>
          </w:tcPr>
          <w:p w:rsidR="007B45D5" w:rsidRPr="002F661A" w:rsidRDefault="007B45D5" w:rsidP="007B45D5">
            <w:pPr>
              <w:spacing w:after="0" w:line="240" w:lineRule="auto"/>
              <w:rPr>
                <w:rFonts w:eastAsia="Times New Roman" w:cstheme="minorHAnsi"/>
                <w:b/>
                <w:lang w:eastAsia="en-AU"/>
              </w:rPr>
            </w:pPr>
            <w:r>
              <w:rPr>
                <w:rFonts w:eastAsia="Times New Roman" w:cstheme="minorHAnsi"/>
                <w:b/>
                <w:lang w:eastAsia="en-AU"/>
              </w:rPr>
              <w:t>Domain</w:t>
            </w:r>
          </w:p>
        </w:tc>
        <w:tc>
          <w:tcPr>
            <w:tcW w:w="13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B45D5" w:rsidRPr="002F661A" w:rsidRDefault="007B45D5" w:rsidP="007B45D5">
            <w:pPr>
              <w:spacing w:after="0" w:line="240" w:lineRule="auto"/>
              <w:rPr>
                <w:rFonts w:eastAsia="Times New Roman" w:cstheme="minorHAnsi"/>
                <w:b/>
                <w:color w:val="000000"/>
                <w:lang w:eastAsia="en-AU"/>
              </w:rPr>
            </w:pPr>
            <w:r w:rsidRPr="002F661A">
              <w:rPr>
                <w:rFonts w:eastAsia="Times New Roman" w:cstheme="minorHAnsi"/>
                <w:b/>
                <w:color w:val="000000"/>
                <w:lang w:eastAsia="en-AU"/>
              </w:rPr>
              <w:t>0% to 20%</w:t>
            </w:r>
          </w:p>
        </w:tc>
        <w:tc>
          <w:tcPr>
            <w:tcW w:w="1260" w:type="dxa"/>
            <w:tcBorders>
              <w:top w:val="single" w:sz="8" w:space="0" w:color="auto"/>
              <w:left w:val="nil"/>
              <w:bottom w:val="single" w:sz="8" w:space="0" w:color="auto"/>
              <w:right w:val="nil"/>
            </w:tcBorders>
            <w:shd w:val="clear" w:color="auto" w:fill="auto"/>
            <w:vAlign w:val="bottom"/>
            <w:hideMark/>
          </w:tcPr>
          <w:p w:rsidR="007B45D5" w:rsidRPr="002F661A" w:rsidRDefault="007B45D5" w:rsidP="007B45D5">
            <w:pPr>
              <w:spacing w:after="0" w:line="240" w:lineRule="auto"/>
              <w:rPr>
                <w:rFonts w:eastAsia="Times New Roman" w:cstheme="minorHAnsi"/>
                <w:b/>
                <w:color w:val="000000"/>
                <w:lang w:eastAsia="en-AU"/>
              </w:rPr>
            </w:pPr>
            <w:r w:rsidRPr="002F661A">
              <w:rPr>
                <w:rFonts w:eastAsia="Times New Roman" w:cstheme="minorHAnsi"/>
                <w:b/>
                <w:color w:val="000000"/>
                <w:lang w:eastAsia="en-AU"/>
              </w:rPr>
              <w:t>20% to 40%</w:t>
            </w:r>
          </w:p>
        </w:tc>
        <w:tc>
          <w:tcPr>
            <w:tcW w:w="128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B45D5" w:rsidRPr="002F661A" w:rsidRDefault="007B45D5" w:rsidP="007B45D5">
            <w:pPr>
              <w:spacing w:after="0" w:line="240" w:lineRule="auto"/>
              <w:rPr>
                <w:rFonts w:eastAsia="Times New Roman" w:cstheme="minorHAnsi"/>
                <w:b/>
                <w:color w:val="000000"/>
                <w:lang w:eastAsia="en-AU"/>
              </w:rPr>
            </w:pPr>
            <w:r w:rsidRPr="002F661A">
              <w:rPr>
                <w:rFonts w:eastAsia="Times New Roman" w:cstheme="minorHAnsi"/>
                <w:b/>
                <w:color w:val="000000"/>
                <w:lang w:eastAsia="en-AU"/>
              </w:rPr>
              <w:t>40% to 60%</w:t>
            </w:r>
          </w:p>
        </w:tc>
        <w:tc>
          <w:tcPr>
            <w:tcW w:w="1360" w:type="dxa"/>
            <w:tcBorders>
              <w:top w:val="single" w:sz="8" w:space="0" w:color="auto"/>
              <w:left w:val="nil"/>
              <w:bottom w:val="single" w:sz="8" w:space="0" w:color="auto"/>
              <w:right w:val="nil"/>
            </w:tcBorders>
            <w:shd w:val="clear" w:color="auto" w:fill="auto"/>
            <w:vAlign w:val="bottom"/>
            <w:hideMark/>
          </w:tcPr>
          <w:p w:rsidR="007B45D5" w:rsidRPr="002F661A" w:rsidRDefault="007B45D5" w:rsidP="007B45D5">
            <w:pPr>
              <w:spacing w:after="0" w:line="240" w:lineRule="auto"/>
              <w:rPr>
                <w:rFonts w:eastAsia="Times New Roman" w:cstheme="minorHAnsi"/>
                <w:b/>
                <w:color w:val="000000"/>
                <w:lang w:eastAsia="en-AU"/>
              </w:rPr>
            </w:pPr>
            <w:r w:rsidRPr="002F661A">
              <w:rPr>
                <w:rFonts w:eastAsia="Times New Roman" w:cstheme="minorHAnsi"/>
                <w:b/>
                <w:color w:val="000000"/>
                <w:lang w:eastAsia="en-AU"/>
              </w:rPr>
              <w:t>60% to 80%</w:t>
            </w:r>
          </w:p>
        </w:tc>
        <w:tc>
          <w:tcPr>
            <w:tcW w:w="11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B45D5" w:rsidRPr="002F661A" w:rsidRDefault="007B45D5" w:rsidP="007B45D5">
            <w:pPr>
              <w:spacing w:after="0" w:line="240" w:lineRule="auto"/>
              <w:rPr>
                <w:rFonts w:eastAsia="Times New Roman" w:cstheme="minorHAnsi"/>
                <w:b/>
                <w:color w:val="000000"/>
                <w:lang w:eastAsia="en-AU"/>
              </w:rPr>
            </w:pPr>
            <w:r w:rsidRPr="002F661A">
              <w:rPr>
                <w:rFonts w:eastAsia="Times New Roman" w:cstheme="minorHAnsi"/>
                <w:b/>
                <w:color w:val="000000"/>
                <w:lang w:eastAsia="en-AU"/>
              </w:rPr>
              <w:t>Over 80%</w:t>
            </w:r>
          </w:p>
        </w:tc>
      </w:tr>
      <w:tr w:rsidR="007B45D5" w:rsidRPr="002F661A" w:rsidTr="002F661A">
        <w:trPr>
          <w:trHeight w:val="270"/>
        </w:trPr>
        <w:tc>
          <w:tcPr>
            <w:tcW w:w="3140" w:type="dxa"/>
            <w:tcBorders>
              <w:top w:val="nil"/>
              <w:left w:val="single" w:sz="8" w:space="0" w:color="auto"/>
              <w:bottom w:val="single" w:sz="4" w:space="0" w:color="auto"/>
              <w:right w:val="nil"/>
            </w:tcBorders>
            <w:shd w:val="clear" w:color="auto" w:fill="auto"/>
            <w:noWrap/>
            <w:vAlign w:val="bottom"/>
            <w:hideMark/>
          </w:tcPr>
          <w:p w:rsidR="007B45D5" w:rsidRPr="002F661A" w:rsidRDefault="007B45D5" w:rsidP="007B45D5">
            <w:pPr>
              <w:spacing w:after="0" w:line="240" w:lineRule="auto"/>
              <w:rPr>
                <w:rFonts w:eastAsia="Times New Roman" w:cstheme="minorHAnsi"/>
                <w:color w:val="000000"/>
                <w:lang w:eastAsia="en-AU"/>
              </w:rPr>
            </w:pPr>
            <w:r w:rsidRPr="002F661A">
              <w:rPr>
                <w:rFonts w:eastAsia="Times New Roman" w:cstheme="minorHAnsi"/>
                <w:color w:val="000000"/>
                <w:lang w:eastAsia="en-AU"/>
              </w:rPr>
              <w:t>Fit into community life</w:t>
            </w:r>
          </w:p>
        </w:tc>
        <w:tc>
          <w:tcPr>
            <w:tcW w:w="1300" w:type="dxa"/>
            <w:tcBorders>
              <w:top w:val="nil"/>
              <w:left w:val="single" w:sz="8" w:space="0" w:color="auto"/>
              <w:bottom w:val="single" w:sz="4" w:space="0" w:color="auto"/>
              <w:right w:val="single" w:sz="8" w:space="0" w:color="auto"/>
            </w:tcBorders>
            <w:shd w:val="clear" w:color="auto" w:fill="auto"/>
            <w:noWrap/>
            <w:vAlign w:val="bottom"/>
            <w:hideMark/>
          </w:tcPr>
          <w:p w:rsidR="007B45D5" w:rsidRPr="002F661A" w:rsidRDefault="007B45D5" w:rsidP="007B45D5">
            <w:pPr>
              <w:spacing w:after="0" w:line="240" w:lineRule="auto"/>
              <w:jc w:val="right"/>
              <w:rPr>
                <w:rFonts w:eastAsia="Times New Roman" w:cstheme="minorHAnsi"/>
                <w:color w:val="000000"/>
                <w:lang w:eastAsia="en-AU"/>
              </w:rPr>
            </w:pPr>
            <w:r w:rsidRPr="002F661A">
              <w:rPr>
                <w:rFonts w:eastAsia="Times New Roman" w:cstheme="minorHAnsi"/>
                <w:color w:val="000000"/>
                <w:lang w:eastAsia="en-AU"/>
              </w:rPr>
              <w:t>44.6%</w:t>
            </w:r>
          </w:p>
        </w:tc>
        <w:tc>
          <w:tcPr>
            <w:tcW w:w="1260" w:type="dxa"/>
            <w:tcBorders>
              <w:top w:val="nil"/>
              <w:left w:val="nil"/>
              <w:bottom w:val="single" w:sz="4" w:space="0" w:color="auto"/>
              <w:right w:val="nil"/>
            </w:tcBorders>
            <w:shd w:val="clear" w:color="auto" w:fill="auto"/>
            <w:noWrap/>
            <w:vAlign w:val="bottom"/>
            <w:hideMark/>
          </w:tcPr>
          <w:p w:rsidR="007B45D5" w:rsidRPr="002F661A" w:rsidRDefault="007B45D5" w:rsidP="007B45D5">
            <w:pPr>
              <w:spacing w:after="0" w:line="240" w:lineRule="auto"/>
              <w:jc w:val="right"/>
              <w:rPr>
                <w:rFonts w:eastAsia="Times New Roman" w:cstheme="minorHAnsi"/>
                <w:color w:val="000000"/>
                <w:lang w:eastAsia="en-AU"/>
              </w:rPr>
            </w:pPr>
            <w:r w:rsidRPr="002F661A">
              <w:rPr>
                <w:rFonts w:eastAsia="Times New Roman" w:cstheme="minorHAnsi"/>
                <w:color w:val="000000"/>
                <w:lang w:eastAsia="en-AU"/>
              </w:rPr>
              <w:t>64.8%</w:t>
            </w:r>
          </w:p>
        </w:tc>
        <w:tc>
          <w:tcPr>
            <w:tcW w:w="1280" w:type="dxa"/>
            <w:tcBorders>
              <w:top w:val="nil"/>
              <w:left w:val="single" w:sz="8" w:space="0" w:color="auto"/>
              <w:bottom w:val="single" w:sz="4" w:space="0" w:color="auto"/>
              <w:right w:val="single" w:sz="8" w:space="0" w:color="auto"/>
            </w:tcBorders>
            <w:shd w:val="clear" w:color="auto" w:fill="auto"/>
            <w:noWrap/>
            <w:vAlign w:val="bottom"/>
            <w:hideMark/>
          </w:tcPr>
          <w:p w:rsidR="007B45D5" w:rsidRPr="002F661A" w:rsidRDefault="007B45D5" w:rsidP="007B45D5">
            <w:pPr>
              <w:spacing w:after="0" w:line="240" w:lineRule="auto"/>
              <w:jc w:val="right"/>
              <w:rPr>
                <w:rFonts w:eastAsia="Times New Roman" w:cstheme="minorHAnsi"/>
                <w:color w:val="000000"/>
                <w:lang w:eastAsia="en-AU"/>
              </w:rPr>
            </w:pPr>
            <w:r w:rsidRPr="002F661A">
              <w:rPr>
                <w:rFonts w:eastAsia="Times New Roman" w:cstheme="minorHAnsi"/>
                <w:color w:val="000000"/>
                <w:lang w:eastAsia="en-AU"/>
              </w:rPr>
              <w:t>68.7%</w:t>
            </w:r>
          </w:p>
        </w:tc>
        <w:tc>
          <w:tcPr>
            <w:tcW w:w="1360" w:type="dxa"/>
            <w:tcBorders>
              <w:top w:val="nil"/>
              <w:left w:val="nil"/>
              <w:bottom w:val="single" w:sz="4" w:space="0" w:color="auto"/>
              <w:right w:val="nil"/>
            </w:tcBorders>
            <w:shd w:val="clear" w:color="auto" w:fill="auto"/>
            <w:noWrap/>
            <w:vAlign w:val="bottom"/>
            <w:hideMark/>
          </w:tcPr>
          <w:p w:rsidR="007B45D5" w:rsidRPr="002F661A" w:rsidRDefault="007B45D5" w:rsidP="007B45D5">
            <w:pPr>
              <w:spacing w:after="0" w:line="240" w:lineRule="auto"/>
              <w:jc w:val="right"/>
              <w:rPr>
                <w:rFonts w:eastAsia="Times New Roman" w:cstheme="minorHAnsi"/>
                <w:color w:val="000000"/>
                <w:lang w:eastAsia="en-AU"/>
              </w:rPr>
            </w:pPr>
            <w:r w:rsidRPr="002F661A">
              <w:rPr>
                <w:rFonts w:eastAsia="Times New Roman" w:cstheme="minorHAnsi"/>
                <w:color w:val="000000"/>
                <w:lang w:eastAsia="en-AU"/>
              </w:rPr>
              <w:t>71.0%</w:t>
            </w:r>
          </w:p>
        </w:tc>
        <w:tc>
          <w:tcPr>
            <w:tcW w:w="1160" w:type="dxa"/>
            <w:tcBorders>
              <w:top w:val="nil"/>
              <w:left w:val="single" w:sz="8" w:space="0" w:color="auto"/>
              <w:bottom w:val="single" w:sz="4" w:space="0" w:color="auto"/>
              <w:right w:val="single" w:sz="8" w:space="0" w:color="auto"/>
            </w:tcBorders>
            <w:shd w:val="clear" w:color="auto" w:fill="auto"/>
            <w:noWrap/>
            <w:vAlign w:val="bottom"/>
            <w:hideMark/>
          </w:tcPr>
          <w:p w:rsidR="007B45D5" w:rsidRPr="002F661A" w:rsidRDefault="007B45D5" w:rsidP="007B45D5">
            <w:pPr>
              <w:spacing w:after="0" w:line="240" w:lineRule="auto"/>
              <w:jc w:val="right"/>
              <w:rPr>
                <w:rFonts w:eastAsia="Times New Roman" w:cstheme="minorHAnsi"/>
                <w:color w:val="000000"/>
                <w:lang w:eastAsia="en-AU"/>
              </w:rPr>
            </w:pPr>
            <w:r w:rsidRPr="002F661A">
              <w:rPr>
                <w:rFonts w:eastAsia="Times New Roman" w:cstheme="minorHAnsi"/>
                <w:color w:val="000000"/>
                <w:lang w:eastAsia="en-AU"/>
              </w:rPr>
              <w:t>70.9%</w:t>
            </w:r>
          </w:p>
        </w:tc>
      </w:tr>
      <w:tr w:rsidR="007B45D5" w:rsidRPr="002F661A" w:rsidTr="002F661A">
        <w:trPr>
          <w:trHeight w:val="270"/>
        </w:trPr>
        <w:tc>
          <w:tcPr>
            <w:tcW w:w="3140" w:type="dxa"/>
            <w:tcBorders>
              <w:top w:val="nil"/>
              <w:left w:val="single" w:sz="8" w:space="0" w:color="auto"/>
              <w:bottom w:val="single" w:sz="4" w:space="0" w:color="auto"/>
              <w:right w:val="nil"/>
            </w:tcBorders>
            <w:shd w:val="clear" w:color="auto" w:fill="auto"/>
            <w:noWrap/>
            <w:vAlign w:val="bottom"/>
            <w:hideMark/>
          </w:tcPr>
          <w:p w:rsidR="007B45D5" w:rsidRPr="002F661A" w:rsidRDefault="007B45D5" w:rsidP="007B45D5">
            <w:pPr>
              <w:spacing w:after="0" w:line="240" w:lineRule="auto"/>
              <w:rPr>
                <w:rFonts w:eastAsia="Times New Roman" w:cstheme="minorHAnsi"/>
                <w:color w:val="000000"/>
                <w:lang w:eastAsia="en-AU"/>
              </w:rPr>
            </w:pPr>
            <w:r w:rsidRPr="002F661A">
              <w:rPr>
                <w:rFonts w:eastAsia="Times New Roman" w:cstheme="minorHAnsi"/>
                <w:color w:val="000000"/>
                <w:lang w:eastAsia="en-AU"/>
              </w:rPr>
              <w:t>Fit into family life</w:t>
            </w:r>
          </w:p>
        </w:tc>
        <w:tc>
          <w:tcPr>
            <w:tcW w:w="1300" w:type="dxa"/>
            <w:tcBorders>
              <w:top w:val="nil"/>
              <w:left w:val="single" w:sz="8" w:space="0" w:color="auto"/>
              <w:bottom w:val="single" w:sz="4" w:space="0" w:color="auto"/>
              <w:right w:val="single" w:sz="8" w:space="0" w:color="auto"/>
            </w:tcBorders>
            <w:shd w:val="clear" w:color="auto" w:fill="auto"/>
            <w:noWrap/>
            <w:vAlign w:val="bottom"/>
            <w:hideMark/>
          </w:tcPr>
          <w:p w:rsidR="007B45D5" w:rsidRPr="002F661A" w:rsidRDefault="007B45D5" w:rsidP="007B45D5">
            <w:pPr>
              <w:spacing w:after="0" w:line="240" w:lineRule="auto"/>
              <w:jc w:val="right"/>
              <w:rPr>
                <w:rFonts w:eastAsia="Times New Roman" w:cstheme="minorHAnsi"/>
                <w:color w:val="000000"/>
                <w:lang w:eastAsia="en-AU"/>
              </w:rPr>
            </w:pPr>
            <w:r w:rsidRPr="002F661A">
              <w:rPr>
                <w:rFonts w:eastAsia="Times New Roman" w:cstheme="minorHAnsi"/>
                <w:color w:val="000000"/>
                <w:lang w:eastAsia="en-AU"/>
              </w:rPr>
              <w:t>54.3%</w:t>
            </w:r>
          </w:p>
        </w:tc>
        <w:tc>
          <w:tcPr>
            <w:tcW w:w="1260" w:type="dxa"/>
            <w:tcBorders>
              <w:top w:val="nil"/>
              <w:left w:val="nil"/>
              <w:bottom w:val="single" w:sz="4" w:space="0" w:color="auto"/>
              <w:right w:val="nil"/>
            </w:tcBorders>
            <w:shd w:val="clear" w:color="auto" w:fill="auto"/>
            <w:noWrap/>
            <w:vAlign w:val="bottom"/>
            <w:hideMark/>
          </w:tcPr>
          <w:p w:rsidR="007B45D5" w:rsidRPr="002F661A" w:rsidRDefault="007B45D5" w:rsidP="007B45D5">
            <w:pPr>
              <w:spacing w:after="0" w:line="240" w:lineRule="auto"/>
              <w:jc w:val="right"/>
              <w:rPr>
                <w:rFonts w:eastAsia="Times New Roman" w:cstheme="minorHAnsi"/>
                <w:color w:val="000000"/>
                <w:lang w:eastAsia="en-AU"/>
              </w:rPr>
            </w:pPr>
            <w:r w:rsidRPr="002F661A">
              <w:rPr>
                <w:rFonts w:eastAsia="Times New Roman" w:cstheme="minorHAnsi"/>
                <w:color w:val="000000"/>
                <w:lang w:eastAsia="en-AU"/>
              </w:rPr>
              <w:t>78.9%</w:t>
            </w:r>
          </w:p>
        </w:tc>
        <w:tc>
          <w:tcPr>
            <w:tcW w:w="1280" w:type="dxa"/>
            <w:tcBorders>
              <w:top w:val="nil"/>
              <w:left w:val="single" w:sz="8" w:space="0" w:color="auto"/>
              <w:bottom w:val="single" w:sz="4" w:space="0" w:color="auto"/>
              <w:right w:val="single" w:sz="8" w:space="0" w:color="auto"/>
            </w:tcBorders>
            <w:shd w:val="clear" w:color="auto" w:fill="auto"/>
            <w:noWrap/>
            <w:vAlign w:val="bottom"/>
            <w:hideMark/>
          </w:tcPr>
          <w:p w:rsidR="007B45D5" w:rsidRPr="002F661A" w:rsidRDefault="007B45D5" w:rsidP="007B45D5">
            <w:pPr>
              <w:spacing w:after="0" w:line="240" w:lineRule="auto"/>
              <w:jc w:val="right"/>
              <w:rPr>
                <w:rFonts w:eastAsia="Times New Roman" w:cstheme="minorHAnsi"/>
                <w:color w:val="000000"/>
                <w:lang w:eastAsia="en-AU"/>
              </w:rPr>
            </w:pPr>
            <w:r w:rsidRPr="002F661A">
              <w:rPr>
                <w:rFonts w:eastAsia="Times New Roman" w:cstheme="minorHAnsi"/>
                <w:color w:val="000000"/>
                <w:lang w:eastAsia="en-AU"/>
              </w:rPr>
              <w:t>82.8%</w:t>
            </w:r>
          </w:p>
        </w:tc>
        <w:tc>
          <w:tcPr>
            <w:tcW w:w="1360" w:type="dxa"/>
            <w:tcBorders>
              <w:top w:val="nil"/>
              <w:left w:val="nil"/>
              <w:bottom w:val="single" w:sz="4" w:space="0" w:color="auto"/>
              <w:right w:val="nil"/>
            </w:tcBorders>
            <w:shd w:val="clear" w:color="auto" w:fill="auto"/>
            <w:noWrap/>
            <w:vAlign w:val="bottom"/>
            <w:hideMark/>
          </w:tcPr>
          <w:p w:rsidR="007B45D5" w:rsidRPr="002F661A" w:rsidRDefault="007B45D5" w:rsidP="007B45D5">
            <w:pPr>
              <w:spacing w:after="0" w:line="240" w:lineRule="auto"/>
              <w:jc w:val="right"/>
              <w:rPr>
                <w:rFonts w:eastAsia="Times New Roman" w:cstheme="minorHAnsi"/>
                <w:color w:val="000000"/>
                <w:lang w:eastAsia="en-AU"/>
              </w:rPr>
            </w:pPr>
            <w:r w:rsidRPr="002F661A">
              <w:rPr>
                <w:rFonts w:eastAsia="Times New Roman" w:cstheme="minorHAnsi"/>
                <w:color w:val="000000"/>
                <w:lang w:eastAsia="en-AU"/>
              </w:rPr>
              <w:t>84.8%</w:t>
            </w:r>
          </w:p>
        </w:tc>
        <w:tc>
          <w:tcPr>
            <w:tcW w:w="1160" w:type="dxa"/>
            <w:tcBorders>
              <w:top w:val="nil"/>
              <w:left w:val="single" w:sz="8" w:space="0" w:color="auto"/>
              <w:bottom w:val="single" w:sz="4" w:space="0" w:color="auto"/>
              <w:right w:val="single" w:sz="8" w:space="0" w:color="auto"/>
            </w:tcBorders>
            <w:shd w:val="clear" w:color="auto" w:fill="auto"/>
            <w:noWrap/>
            <w:vAlign w:val="bottom"/>
            <w:hideMark/>
          </w:tcPr>
          <w:p w:rsidR="007B45D5" w:rsidRPr="002F661A" w:rsidRDefault="007B45D5" w:rsidP="007B45D5">
            <w:pPr>
              <w:spacing w:after="0" w:line="240" w:lineRule="auto"/>
              <w:jc w:val="right"/>
              <w:rPr>
                <w:rFonts w:eastAsia="Times New Roman" w:cstheme="minorHAnsi"/>
                <w:color w:val="000000"/>
                <w:lang w:eastAsia="en-AU"/>
              </w:rPr>
            </w:pPr>
            <w:r w:rsidRPr="002F661A">
              <w:rPr>
                <w:rFonts w:eastAsia="Times New Roman" w:cstheme="minorHAnsi"/>
                <w:color w:val="000000"/>
                <w:lang w:eastAsia="en-AU"/>
              </w:rPr>
              <w:t>84.0%</w:t>
            </w:r>
          </w:p>
        </w:tc>
      </w:tr>
      <w:tr w:rsidR="007B45D5" w:rsidRPr="002F661A" w:rsidTr="002F661A">
        <w:trPr>
          <w:trHeight w:val="270"/>
        </w:trPr>
        <w:tc>
          <w:tcPr>
            <w:tcW w:w="3140" w:type="dxa"/>
            <w:tcBorders>
              <w:top w:val="nil"/>
              <w:left w:val="single" w:sz="8" w:space="0" w:color="auto"/>
              <w:bottom w:val="single" w:sz="4" w:space="0" w:color="auto"/>
              <w:right w:val="nil"/>
            </w:tcBorders>
            <w:shd w:val="clear" w:color="auto" w:fill="auto"/>
            <w:noWrap/>
            <w:vAlign w:val="bottom"/>
            <w:hideMark/>
          </w:tcPr>
          <w:p w:rsidR="007B45D5" w:rsidRPr="002F661A" w:rsidRDefault="007B45D5" w:rsidP="007B45D5">
            <w:pPr>
              <w:spacing w:after="0" w:line="240" w:lineRule="auto"/>
              <w:rPr>
                <w:rFonts w:eastAsia="Times New Roman" w:cstheme="minorHAnsi"/>
                <w:color w:val="000000"/>
                <w:lang w:eastAsia="en-AU"/>
              </w:rPr>
            </w:pPr>
            <w:r w:rsidRPr="002F661A">
              <w:rPr>
                <w:rFonts w:eastAsia="Times New Roman" w:cstheme="minorHAnsi"/>
                <w:color w:val="000000"/>
                <w:lang w:eastAsia="en-AU"/>
              </w:rPr>
              <w:t>Ability to communicate</w:t>
            </w:r>
          </w:p>
        </w:tc>
        <w:tc>
          <w:tcPr>
            <w:tcW w:w="1300" w:type="dxa"/>
            <w:tcBorders>
              <w:top w:val="nil"/>
              <w:left w:val="single" w:sz="8" w:space="0" w:color="auto"/>
              <w:bottom w:val="single" w:sz="4" w:space="0" w:color="auto"/>
              <w:right w:val="single" w:sz="8" w:space="0" w:color="auto"/>
            </w:tcBorders>
            <w:shd w:val="clear" w:color="auto" w:fill="auto"/>
            <w:noWrap/>
            <w:vAlign w:val="bottom"/>
            <w:hideMark/>
          </w:tcPr>
          <w:p w:rsidR="007B45D5" w:rsidRPr="002F661A" w:rsidRDefault="007B45D5" w:rsidP="007B45D5">
            <w:pPr>
              <w:spacing w:after="0" w:line="240" w:lineRule="auto"/>
              <w:jc w:val="right"/>
              <w:rPr>
                <w:rFonts w:eastAsia="Times New Roman" w:cstheme="minorHAnsi"/>
                <w:color w:val="000000"/>
                <w:lang w:eastAsia="en-AU"/>
              </w:rPr>
            </w:pPr>
            <w:r w:rsidRPr="002F661A">
              <w:rPr>
                <w:rFonts w:eastAsia="Times New Roman" w:cstheme="minorHAnsi"/>
                <w:color w:val="000000"/>
                <w:lang w:eastAsia="en-AU"/>
              </w:rPr>
              <w:t>54.7%</w:t>
            </w:r>
          </w:p>
        </w:tc>
        <w:tc>
          <w:tcPr>
            <w:tcW w:w="1260" w:type="dxa"/>
            <w:tcBorders>
              <w:top w:val="nil"/>
              <w:left w:val="nil"/>
              <w:bottom w:val="single" w:sz="4" w:space="0" w:color="auto"/>
              <w:right w:val="nil"/>
            </w:tcBorders>
            <w:shd w:val="clear" w:color="auto" w:fill="auto"/>
            <w:noWrap/>
            <w:vAlign w:val="bottom"/>
            <w:hideMark/>
          </w:tcPr>
          <w:p w:rsidR="007B45D5" w:rsidRPr="002F661A" w:rsidRDefault="007B45D5" w:rsidP="007B45D5">
            <w:pPr>
              <w:spacing w:after="0" w:line="240" w:lineRule="auto"/>
              <w:jc w:val="right"/>
              <w:rPr>
                <w:rFonts w:eastAsia="Times New Roman" w:cstheme="minorHAnsi"/>
                <w:color w:val="000000"/>
                <w:lang w:eastAsia="en-AU"/>
              </w:rPr>
            </w:pPr>
            <w:r w:rsidRPr="002F661A">
              <w:rPr>
                <w:rFonts w:eastAsia="Times New Roman" w:cstheme="minorHAnsi"/>
                <w:color w:val="000000"/>
                <w:lang w:eastAsia="en-AU"/>
              </w:rPr>
              <w:t>82.8%</w:t>
            </w:r>
          </w:p>
        </w:tc>
        <w:tc>
          <w:tcPr>
            <w:tcW w:w="1280" w:type="dxa"/>
            <w:tcBorders>
              <w:top w:val="nil"/>
              <w:left w:val="single" w:sz="8" w:space="0" w:color="auto"/>
              <w:bottom w:val="single" w:sz="4" w:space="0" w:color="auto"/>
              <w:right w:val="single" w:sz="8" w:space="0" w:color="auto"/>
            </w:tcBorders>
            <w:shd w:val="clear" w:color="auto" w:fill="auto"/>
            <w:noWrap/>
            <w:vAlign w:val="bottom"/>
            <w:hideMark/>
          </w:tcPr>
          <w:p w:rsidR="007B45D5" w:rsidRPr="002F661A" w:rsidRDefault="007B45D5" w:rsidP="007B45D5">
            <w:pPr>
              <w:spacing w:after="0" w:line="240" w:lineRule="auto"/>
              <w:jc w:val="right"/>
              <w:rPr>
                <w:rFonts w:eastAsia="Times New Roman" w:cstheme="minorHAnsi"/>
                <w:color w:val="000000"/>
                <w:lang w:eastAsia="en-AU"/>
              </w:rPr>
            </w:pPr>
            <w:r w:rsidRPr="002F661A">
              <w:rPr>
                <w:rFonts w:eastAsia="Times New Roman" w:cstheme="minorHAnsi"/>
                <w:color w:val="000000"/>
                <w:lang w:eastAsia="en-AU"/>
              </w:rPr>
              <w:t>88.1%</w:t>
            </w:r>
          </w:p>
        </w:tc>
        <w:tc>
          <w:tcPr>
            <w:tcW w:w="1360" w:type="dxa"/>
            <w:tcBorders>
              <w:top w:val="nil"/>
              <w:left w:val="nil"/>
              <w:bottom w:val="single" w:sz="4" w:space="0" w:color="auto"/>
              <w:right w:val="nil"/>
            </w:tcBorders>
            <w:shd w:val="clear" w:color="auto" w:fill="auto"/>
            <w:noWrap/>
            <w:vAlign w:val="bottom"/>
            <w:hideMark/>
          </w:tcPr>
          <w:p w:rsidR="007B45D5" w:rsidRPr="002F661A" w:rsidRDefault="007B45D5" w:rsidP="007B45D5">
            <w:pPr>
              <w:spacing w:after="0" w:line="240" w:lineRule="auto"/>
              <w:jc w:val="right"/>
              <w:rPr>
                <w:rFonts w:eastAsia="Times New Roman" w:cstheme="minorHAnsi"/>
                <w:color w:val="000000"/>
                <w:lang w:eastAsia="en-AU"/>
              </w:rPr>
            </w:pPr>
            <w:r w:rsidRPr="002F661A">
              <w:rPr>
                <w:rFonts w:eastAsia="Times New Roman" w:cstheme="minorHAnsi"/>
                <w:color w:val="000000"/>
                <w:lang w:eastAsia="en-AU"/>
              </w:rPr>
              <w:t>90.0%</w:t>
            </w:r>
          </w:p>
        </w:tc>
        <w:tc>
          <w:tcPr>
            <w:tcW w:w="1160" w:type="dxa"/>
            <w:tcBorders>
              <w:top w:val="nil"/>
              <w:left w:val="single" w:sz="8" w:space="0" w:color="auto"/>
              <w:bottom w:val="single" w:sz="4" w:space="0" w:color="auto"/>
              <w:right w:val="single" w:sz="8" w:space="0" w:color="auto"/>
            </w:tcBorders>
            <w:shd w:val="clear" w:color="auto" w:fill="auto"/>
            <w:noWrap/>
            <w:vAlign w:val="bottom"/>
            <w:hideMark/>
          </w:tcPr>
          <w:p w:rsidR="007B45D5" w:rsidRPr="002F661A" w:rsidRDefault="007B45D5" w:rsidP="007B45D5">
            <w:pPr>
              <w:spacing w:after="0" w:line="240" w:lineRule="auto"/>
              <w:jc w:val="right"/>
              <w:rPr>
                <w:rFonts w:eastAsia="Times New Roman" w:cstheme="minorHAnsi"/>
                <w:color w:val="000000"/>
                <w:lang w:eastAsia="en-AU"/>
              </w:rPr>
            </w:pPr>
            <w:r w:rsidRPr="002F661A">
              <w:rPr>
                <w:rFonts w:eastAsia="Times New Roman" w:cstheme="minorHAnsi"/>
                <w:color w:val="000000"/>
                <w:lang w:eastAsia="en-AU"/>
              </w:rPr>
              <w:t>91.0%</w:t>
            </w:r>
          </w:p>
        </w:tc>
      </w:tr>
      <w:tr w:rsidR="007B45D5" w:rsidRPr="002F661A" w:rsidTr="002F661A">
        <w:trPr>
          <w:trHeight w:val="270"/>
        </w:trPr>
        <w:tc>
          <w:tcPr>
            <w:tcW w:w="3140" w:type="dxa"/>
            <w:tcBorders>
              <w:top w:val="nil"/>
              <w:left w:val="single" w:sz="8" w:space="0" w:color="auto"/>
              <w:bottom w:val="single" w:sz="4" w:space="0" w:color="auto"/>
              <w:right w:val="nil"/>
            </w:tcBorders>
            <w:shd w:val="clear" w:color="auto" w:fill="auto"/>
            <w:noWrap/>
            <w:vAlign w:val="bottom"/>
            <w:hideMark/>
          </w:tcPr>
          <w:p w:rsidR="007B45D5" w:rsidRPr="002F661A" w:rsidRDefault="007B45D5" w:rsidP="007B45D5">
            <w:pPr>
              <w:spacing w:after="0" w:line="240" w:lineRule="auto"/>
              <w:rPr>
                <w:rFonts w:eastAsia="Times New Roman" w:cstheme="minorHAnsi"/>
                <w:color w:val="000000"/>
                <w:lang w:eastAsia="en-AU"/>
              </w:rPr>
            </w:pPr>
            <w:r w:rsidRPr="002F661A">
              <w:rPr>
                <w:rFonts w:eastAsia="Times New Roman" w:cstheme="minorHAnsi"/>
                <w:color w:val="000000"/>
                <w:lang w:eastAsia="en-AU"/>
              </w:rPr>
              <w:t>Access to specialist services</w:t>
            </w:r>
          </w:p>
        </w:tc>
        <w:tc>
          <w:tcPr>
            <w:tcW w:w="1300" w:type="dxa"/>
            <w:tcBorders>
              <w:top w:val="nil"/>
              <w:left w:val="single" w:sz="8" w:space="0" w:color="auto"/>
              <w:bottom w:val="single" w:sz="4" w:space="0" w:color="auto"/>
              <w:right w:val="single" w:sz="8" w:space="0" w:color="auto"/>
            </w:tcBorders>
            <w:shd w:val="clear" w:color="auto" w:fill="auto"/>
            <w:noWrap/>
            <w:vAlign w:val="bottom"/>
            <w:hideMark/>
          </w:tcPr>
          <w:p w:rsidR="007B45D5" w:rsidRPr="002F661A" w:rsidRDefault="007B45D5" w:rsidP="007B45D5">
            <w:pPr>
              <w:spacing w:after="0" w:line="240" w:lineRule="auto"/>
              <w:jc w:val="right"/>
              <w:rPr>
                <w:rFonts w:eastAsia="Times New Roman" w:cstheme="minorHAnsi"/>
                <w:color w:val="000000"/>
                <w:lang w:eastAsia="en-AU"/>
              </w:rPr>
            </w:pPr>
            <w:r w:rsidRPr="002F661A">
              <w:rPr>
                <w:rFonts w:eastAsia="Times New Roman" w:cstheme="minorHAnsi"/>
                <w:color w:val="000000"/>
                <w:lang w:eastAsia="en-AU"/>
              </w:rPr>
              <w:t>64.8%</w:t>
            </w:r>
          </w:p>
        </w:tc>
        <w:tc>
          <w:tcPr>
            <w:tcW w:w="1260" w:type="dxa"/>
            <w:tcBorders>
              <w:top w:val="nil"/>
              <w:left w:val="nil"/>
              <w:bottom w:val="single" w:sz="4" w:space="0" w:color="auto"/>
              <w:right w:val="nil"/>
            </w:tcBorders>
            <w:shd w:val="clear" w:color="auto" w:fill="auto"/>
            <w:noWrap/>
            <w:vAlign w:val="bottom"/>
            <w:hideMark/>
          </w:tcPr>
          <w:p w:rsidR="007B45D5" w:rsidRPr="002F661A" w:rsidRDefault="007B45D5" w:rsidP="007B45D5">
            <w:pPr>
              <w:spacing w:after="0" w:line="240" w:lineRule="auto"/>
              <w:jc w:val="right"/>
              <w:rPr>
                <w:rFonts w:eastAsia="Times New Roman" w:cstheme="minorHAnsi"/>
                <w:color w:val="000000"/>
                <w:lang w:eastAsia="en-AU"/>
              </w:rPr>
            </w:pPr>
            <w:r w:rsidRPr="002F661A">
              <w:rPr>
                <w:rFonts w:eastAsia="Times New Roman" w:cstheme="minorHAnsi"/>
                <w:color w:val="000000"/>
                <w:lang w:eastAsia="en-AU"/>
              </w:rPr>
              <w:t>93.3%</w:t>
            </w:r>
          </w:p>
        </w:tc>
        <w:tc>
          <w:tcPr>
            <w:tcW w:w="1280" w:type="dxa"/>
            <w:tcBorders>
              <w:top w:val="nil"/>
              <w:left w:val="single" w:sz="8" w:space="0" w:color="auto"/>
              <w:bottom w:val="single" w:sz="4" w:space="0" w:color="auto"/>
              <w:right w:val="single" w:sz="8" w:space="0" w:color="auto"/>
            </w:tcBorders>
            <w:shd w:val="clear" w:color="auto" w:fill="auto"/>
            <w:noWrap/>
            <w:vAlign w:val="bottom"/>
            <w:hideMark/>
          </w:tcPr>
          <w:p w:rsidR="007B45D5" w:rsidRPr="002F661A" w:rsidRDefault="007B45D5" w:rsidP="007B45D5">
            <w:pPr>
              <w:spacing w:after="0" w:line="240" w:lineRule="auto"/>
              <w:jc w:val="right"/>
              <w:rPr>
                <w:rFonts w:eastAsia="Times New Roman" w:cstheme="minorHAnsi"/>
                <w:color w:val="000000"/>
                <w:lang w:eastAsia="en-AU"/>
              </w:rPr>
            </w:pPr>
            <w:r w:rsidRPr="002F661A">
              <w:rPr>
                <w:rFonts w:eastAsia="Times New Roman" w:cstheme="minorHAnsi"/>
                <w:color w:val="000000"/>
                <w:lang w:eastAsia="en-AU"/>
              </w:rPr>
              <w:t>96.3%</w:t>
            </w:r>
          </w:p>
        </w:tc>
        <w:tc>
          <w:tcPr>
            <w:tcW w:w="1360" w:type="dxa"/>
            <w:tcBorders>
              <w:top w:val="nil"/>
              <w:left w:val="nil"/>
              <w:bottom w:val="single" w:sz="4" w:space="0" w:color="auto"/>
              <w:right w:val="nil"/>
            </w:tcBorders>
            <w:shd w:val="clear" w:color="auto" w:fill="auto"/>
            <w:noWrap/>
            <w:vAlign w:val="bottom"/>
            <w:hideMark/>
          </w:tcPr>
          <w:p w:rsidR="007B45D5" w:rsidRPr="002F661A" w:rsidRDefault="007B45D5" w:rsidP="007B45D5">
            <w:pPr>
              <w:spacing w:after="0" w:line="240" w:lineRule="auto"/>
              <w:jc w:val="right"/>
              <w:rPr>
                <w:rFonts w:eastAsia="Times New Roman" w:cstheme="minorHAnsi"/>
                <w:color w:val="000000"/>
                <w:lang w:eastAsia="en-AU"/>
              </w:rPr>
            </w:pPr>
            <w:r w:rsidRPr="002F661A">
              <w:rPr>
                <w:rFonts w:eastAsia="Times New Roman" w:cstheme="minorHAnsi"/>
                <w:color w:val="000000"/>
                <w:lang w:eastAsia="en-AU"/>
              </w:rPr>
              <w:t>97.1%</w:t>
            </w:r>
          </w:p>
        </w:tc>
        <w:tc>
          <w:tcPr>
            <w:tcW w:w="1160" w:type="dxa"/>
            <w:tcBorders>
              <w:top w:val="nil"/>
              <w:left w:val="single" w:sz="8" w:space="0" w:color="auto"/>
              <w:bottom w:val="single" w:sz="4" w:space="0" w:color="auto"/>
              <w:right w:val="single" w:sz="8" w:space="0" w:color="auto"/>
            </w:tcBorders>
            <w:shd w:val="clear" w:color="auto" w:fill="auto"/>
            <w:noWrap/>
            <w:vAlign w:val="bottom"/>
            <w:hideMark/>
          </w:tcPr>
          <w:p w:rsidR="007B45D5" w:rsidRPr="002F661A" w:rsidRDefault="007B45D5" w:rsidP="007B45D5">
            <w:pPr>
              <w:spacing w:after="0" w:line="240" w:lineRule="auto"/>
              <w:jc w:val="right"/>
              <w:rPr>
                <w:rFonts w:eastAsia="Times New Roman" w:cstheme="minorHAnsi"/>
                <w:color w:val="000000"/>
                <w:lang w:eastAsia="en-AU"/>
              </w:rPr>
            </w:pPr>
            <w:r w:rsidRPr="002F661A">
              <w:rPr>
                <w:rFonts w:eastAsia="Times New Roman" w:cstheme="minorHAnsi"/>
                <w:color w:val="000000"/>
                <w:lang w:eastAsia="en-AU"/>
              </w:rPr>
              <w:t>97.3%</w:t>
            </w:r>
          </w:p>
        </w:tc>
      </w:tr>
      <w:tr w:rsidR="007B45D5" w:rsidRPr="002F661A" w:rsidTr="002F661A">
        <w:trPr>
          <w:trHeight w:val="278"/>
        </w:trPr>
        <w:tc>
          <w:tcPr>
            <w:tcW w:w="3140" w:type="dxa"/>
            <w:tcBorders>
              <w:top w:val="nil"/>
              <w:left w:val="single" w:sz="8" w:space="0" w:color="auto"/>
              <w:bottom w:val="single" w:sz="8" w:space="0" w:color="auto"/>
              <w:right w:val="nil"/>
            </w:tcBorders>
            <w:shd w:val="clear" w:color="auto" w:fill="auto"/>
            <w:noWrap/>
            <w:vAlign w:val="bottom"/>
            <w:hideMark/>
          </w:tcPr>
          <w:p w:rsidR="007B45D5" w:rsidRPr="002F661A" w:rsidRDefault="007B45D5" w:rsidP="007B45D5">
            <w:pPr>
              <w:spacing w:after="0" w:line="240" w:lineRule="auto"/>
              <w:rPr>
                <w:rFonts w:eastAsia="Times New Roman" w:cstheme="minorHAnsi"/>
                <w:color w:val="000000"/>
                <w:lang w:eastAsia="en-AU"/>
              </w:rPr>
            </w:pPr>
            <w:r w:rsidRPr="002F661A">
              <w:rPr>
                <w:rFonts w:eastAsia="Times New Roman" w:cstheme="minorHAnsi"/>
                <w:color w:val="000000"/>
                <w:lang w:eastAsia="en-AU"/>
              </w:rPr>
              <w:t>Child development</w:t>
            </w:r>
          </w:p>
        </w:tc>
        <w:tc>
          <w:tcPr>
            <w:tcW w:w="1300" w:type="dxa"/>
            <w:tcBorders>
              <w:top w:val="nil"/>
              <w:left w:val="single" w:sz="8" w:space="0" w:color="auto"/>
              <w:bottom w:val="single" w:sz="8" w:space="0" w:color="auto"/>
              <w:right w:val="single" w:sz="8" w:space="0" w:color="auto"/>
            </w:tcBorders>
            <w:shd w:val="clear" w:color="auto" w:fill="auto"/>
            <w:noWrap/>
            <w:vAlign w:val="bottom"/>
            <w:hideMark/>
          </w:tcPr>
          <w:p w:rsidR="007B45D5" w:rsidRPr="002F661A" w:rsidRDefault="007B45D5" w:rsidP="007B45D5">
            <w:pPr>
              <w:spacing w:after="0" w:line="240" w:lineRule="auto"/>
              <w:jc w:val="right"/>
              <w:rPr>
                <w:rFonts w:eastAsia="Times New Roman" w:cstheme="minorHAnsi"/>
                <w:color w:val="000000"/>
                <w:lang w:eastAsia="en-AU"/>
              </w:rPr>
            </w:pPr>
            <w:r w:rsidRPr="002F661A">
              <w:rPr>
                <w:rFonts w:eastAsia="Times New Roman" w:cstheme="minorHAnsi"/>
                <w:color w:val="000000"/>
                <w:lang w:eastAsia="en-AU"/>
              </w:rPr>
              <w:t>61.8%</w:t>
            </w:r>
          </w:p>
        </w:tc>
        <w:tc>
          <w:tcPr>
            <w:tcW w:w="1260" w:type="dxa"/>
            <w:tcBorders>
              <w:top w:val="nil"/>
              <w:left w:val="nil"/>
              <w:bottom w:val="single" w:sz="8" w:space="0" w:color="auto"/>
              <w:right w:val="nil"/>
            </w:tcBorders>
            <w:shd w:val="clear" w:color="auto" w:fill="auto"/>
            <w:noWrap/>
            <w:vAlign w:val="bottom"/>
            <w:hideMark/>
          </w:tcPr>
          <w:p w:rsidR="007B45D5" w:rsidRPr="002F661A" w:rsidRDefault="007B45D5" w:rsidP="007B45D5">
            <w:pPr>
              <w:spacing w:after="0" w:line="240" w:lineRule="auto"/>
              <w:jc w:val="right"/>
              <w:rPr>
                <w:rFonts w:eastAsia="Times New Roman" w:cstheme="minorHAnsi"/>
                <w:color w:val="000000"/>
                <w:lang w:eastAsia="en-AU"/>
              </w:rPr>
            </w:pPr>
            <w:r w:rsidRPr="002F661A">
              <w:rPr>
                <w:rFonts w:eastAsia="Times New Roman" w:cstheme="minorHAnsi"/>
                <w:color w:val="000000"/>
                <w:lang w:eastAsia="en-AU"/>
              </w:rPr>
              <w:t>92.7%</w:t>
            </w:r>
          </w:p>
        </w:tc>
        <w:tc>
          <w:tcPr>
            <w:tcW w:w="1280" w:type="dxa"/>
            <w:tcBorders>
              <w:top w:val="nil"/>
              <w:left w:val="single" w:sz="8" w:space="0" w:color="auto"/>
              <w:bottom w:val="single" w:sz="8" w:space="0" w:color="auto"/>
              <w:right w:val="single" w:sz="8" w:space="0" w:color="auto"/>
            </w:tcBorders>
            <w:shd w:val="clear" w:color="auto" w:fill="auto"/>
            <w:noWrap/>
            <w:vAlign w:val="bottom"/>
            <w:hideMark/>
          </w:tcPr>
          <w:p w:rsidR="007B45D5" w:rsidRPr="002F661A" w:rsidRDefault="007B45D5" w:rsidP="007B45D5">
            <w:pPr>
              <w:spacing w:after="0" w:line="240" w:lineRule="auto"/>
              <w:jc w:val="right"/>
              <w:rPr>
                <w:rFonts w:eastAsia="Times New Roman" w:cstheme="minorHAnsi"/>
                <w:color w:val="000000"/>
                <w:lang w:eastAsia="en-AU"/>
              </w:rPr>
            </w:pPr>
            <w:r w:rsidRPr="002F661A">
              <w:rPr>
                <w:rFonts w:eastAsia="Times New Roman" w:cstheme="minorHAnsi"/>
                <w:color w:val="000000"/>
                <w:lang w:eastAsia="en-AU"/>
              </w:rPr>
              <w:t>96.0%</w:t>
            </w:r>
          </w:p>
        </w:tc>
        <w:tc>
          <w:tcPr>
            <w:tcW w:w="1360" w:type="dxa"/>
            <w:tcBorders>
              <w:top w:val="nil"/>
              <w:left w:val="nil"/>
              <w:bottom w:val="single" w:sz="8" w:space="0" w:color="auto"/>
              <w:right w:val="nil"/>
            </w:tcBorders>
            <w:shd w:val="clear" w:color="auto" w:fill="auto"/>
            <w:noWrap/>
            <w:vAlign w:val="bottom"/>
            <w:hideMark/>
          </w:tcPr>
          <w:p w:rsidR="007B45D5" w:rsidRPr="002F661A" w:rsidRDefault="007B45D5" w:rsidP="007B45D5">
            <w:pPr>
              <w:spacing w:after="0" w:line="240" w:lineRule="auto"/>
              <w:jc w:val="right"/>
              <w:rPr>
                <w:rFonts w:eastAsia="Times New Roman" w:cstheme="minorHAnsi"/>
                <w:color w:val="000000"/>
                <w:lang w:eastAsia="en-AU"/>
              </w:rPr>
            </w:pPr>
            <w:r w:rsidRPr="002F661A">
              <w:rPr>
                <w:rFonts w:eastAsia="Times New Roman" w:cstheme="minorHAnsi"/>
                <w:color w:val="000000"/>
                <w:lang w:eastAsia="en-AU"/>
              </w:rPr>
              <w:t>97.2%</w:t>
            </w:r>
          </w:p>
        </w:tc>
        <w:tc>
          <w:tcPr>
            <w:tcW w:w="1160" w:type="dxa"/>
            <w:tcBorders>
              <w:top w:val="nil"/>
              <w:left w:val="single" w:sz="8" w:space="0" w:color="auto"/>
              <w:bottom w:val="single" w:sz="8" w:space="0" w:color="auto"/>
              <w:right w:val="single" w:sz="8" w:space="0" w:color="auto"/>
            </w:tcBorders>
            <w:shd w:val="clear" w:color="auto" w:fill="auto"/>
            <w:noWrap/>
            <w:vAlign w:val="bottom"/>
            <w:hideMark/>
          </w:tcPr>
          <w:p w:rsidR="007B45D5" w:rsidRPr="002F661A" w:rsidRDefault="007B45D5" w:rsidP="007B45D5">
            <w:pPr>
              <w:spacing w:after="0" w:line="240" w:lineRule="auto"/>
              <w:jc w:val="right"/>
              <w:rPr>
                <w:rFonts w:eastAsia="Times New Roman" w:cstheme="minorHAnsi"/>
                <w:color w:val="000000"/>
                <w:lang w:eastAsia="en-AU"/>
              </w:rPr>
            </w:pPr>
            <w:r w:rsidRPr="002F661A">
              <w:rPr>
                <w:rFonts w:eastAsia="Times New Roman" w:cstheme="minorHAnsi"/>
                <w:color w:val="000000"/>
                <w:lang w:eastAsia="en-AU"/>
              </w:rPr>
              <w:t>97.4%</w:t>
            </w:r>
          </w:p>
        </w:tc>
      </w:tr>
    </w:tbl>
    <w:p w:rsidR="002F661A" w:rsidRDefault="002F661A" w:rsidP="002F661A"/>
    <w:p w:rsidR="00FE41F3" w:rsidRDefault="00FE41F3" w:rsidP="00FE41F3">
      <w:pPr>
        <w:pStyle w:val="Heading2"/>
      </w:pPr>
      <w:bookmarkStart w:id="86" w:name="_Toc121151458"/>
      <w:r>
        <w:t>Slide 76: Participants from starting school to age 14</w:t>
      </w:r>
      <w:bookmarkEnd w:id="86"/>
    </w:p>
    <w:p w:rsidR="00FE41F3" w:rsidRDefault="00FE41F3" w:rsidP="004168FC">
      <w:pPr>
        <w:pStyle w:val="Heading5"/>
      </w:pPr>
      <w:r>
        <w:t>Has the NDIS helped?</w:t>
      </w:r>
    </w:p>
    <w:p w:rsidR="00741355" w:rsidRPr="009B241D" w:rsidRDefault="00741355" w:rsidP="00741355">
      <w:pPr>
        <w:pStyle w:val="ListParagraph"/>
        <w:numPr>
          <w:ilvl w:val="0"/>
          <w:numId w:val="39"/>
        </w:numPr>
        <w:autoSpaceDE w:val="0"/>
        <w:autoSpaceDN w:val="0"/>
        <w:adjustRightInd w:val="0"/>
        <w:spacing w:after="0" w:line="240" w:lineRule="auto"/>
        <w:rPr>
          <w:rFonts w:cstheme="minorHAnsi"/>
          <w:sz w:val="21"/>
          <w:szCs w:val="21"/>
        </w:rPr>
      </w:pPr>
      <w:r w:rsidRPr="009B241D">
        <w:rPr>
          <w:rFonts w:cstheme="minorHAnsi"/>
          <w:sz w:val="21"/>
          <w:szCs w:val="21"/>
        </w:rPr>
        <w:t xml:space="preserve">Opinions on whether the NDIS has helped vary by domain for the starting school to 14 cohort. The percentage responding positively was highest for independence (63.0% after </w:t>
      </w:r>
      <w:r w:rsidR="005A7C7C" w:rsidRPr="009B241D">
        <w:rPr>
          <w:rFonts w:cstheme="minorHAnsi"/>
          <w:sz w:val="21"/>
          <w:szCs w:val="21"/>
        </w:rPr>
        <w:t>One year in the Scheme</w:t>
      </w:r>
      <w:r w:rsidRPr="009B241D">
        <w:rPr>
          <w:rFonts w:cstheme="minorHAnsi"/>
          <w:sz w:val="21"/>
          <w:szCs w:val="21"/>
        </w:rPr>
        <w:t xml:space="preserve">, increasing to 71.7% after five years). The percentage responding positively was lowest for access to education (43.1% after </w:t>
      </w:r>
      <w:r w:rsidR="005A7C7C" w:rsidRPr="009B241D">
        <w:rPr>
          <w:rFonts w:cstheme="minorHAnsi"/>
          <w:sz w:val="21"/>
          <w:szCs w:val="21"/>
        </w:rPr>
        <w:t>One year in the Scheme</w:t>
      </w:r>
      <w:r w:rsidRPr="009B241D">
        <w:rPr>
          <w:rFonts w:cstheme="minorHAnsi"/>
          <w:sz w:val="21"/>
          <w:szCs w:val="21"/>
        </w:rPr>
        <w:t>, increasing to about 47.0% and 47.4% at reviews 2 and 3 before decreasing to 46.1% at review 4 and 44.5% at review 5). For education, however, the mainstream education system has a much bigger role in ensuring successful outcomes than the NDIS.</w:t>
      </w:r>
    </w:p>
    <w:p w:rsidR="00741355" w:rsidRPr="009B241D" w:rsidRDefault="00741355" w:rsidP="00741355">
      <w:pPr>
        <w:pStyle w:val="ListParagraph"/>
        <w:numPr>
          <w:ilvl w:val="0"/>
          <w:numId w:val="39"/>
        </w:numPr>
        <w:autoSpaceDE w:val="0"/>
        <w:autoSpaceDN w:val="0"/>
        <w:adjustRightInd w:val="0"/>
        <w:spacing w:after="0" w:line="240" w:lineRule="auto"/>
        <w:rPr>
          <w:rFonts w:cstheme="minorHAnsi"/>
          <w:sz w:val="21"/>
          <w:szCs w:val="21"/>
        </w:rPr>
      </w:pPr>
      <w:r w:rsidRPr="009B241D">
        <w:rPr>
          <w:rFonts w:cstheme="minorHAnsi"/>
          <w:sz w:val="21"/>
          <w:szCs w:val="21"/>
        </w:rPr>
        <w:t>Across all four domains, the percentages of positive opinion increased from review 1 to review 4, however decreased at review 5.</w:t>
      </w:r>
    </w:p>
    <w:p w:rsidR="00741355" w:rsidRPr="009B241D" w:rsidRDefault="00741355" w:rsidP="00741355">
      <w:pPr>
        <w:pStyle w:val="ListParagraph"/>
        <w:numPr>
          <w:ilvl w:val="0"/>
          <w:numId w:val="39"/>
        </w:numPr>
        <w:rPr>
          <w:rFonts w:cstheme="minorHAnsi"/>
        </w:rPr>
      </w:pPr>
      <w:r w:rsidRPr="009B241D">
        <w:rPr>
          <w:rFonts w:cstheme="minorHAnsi"/>
          <w:sz w:val="21"/>
          <w:szCs w:val="21"/>
        </w:rPr>
        <w:t xml:space="preserve">Higher plan utilisation is strongly associated with a positive response after </w:t>
      </w:r>
      <w:r w:rsidR="005A7C7C" w:rsidRPr="009B241D">
        <w:rPr>
          <w:rFonts w:cstheme="minorHAnsi"/>
          <w:sz w:val="21"/>
          <w:szCs w:val="21"/>
        </w:rPr>
        <w:t>One year in the Scheme</w:t>
      </w:r>
      <w:r w:rsidRPr="009B241D">
        <w:rPr>
          <w:rFonts w:cstheme="minorHAnsi"/>
          <w:sz w:val="21"/>
          <w:szCs w:val="21"/>
        </w:rPr>
        <w:t>. The improvement is especially large between utilisation bands 0-20% and 20-40%.</w:t>
      </w:r>
    </w:p>
    <w:p w:rsidR="003C452C" w:rsidRPr="00741355" w:rsidRDefault="003C452C" w:rsidP="003C452C">
      <w:r>
        <w:t>Percentage of positive responses</w:t>
      </w:r>
    </w:p>
    <w:tbl>
      <w:tblPr>
        <w:tblW w:w="8927" w:type="dxa"/>
        <w:tblLook w:val="04A0" w:firstRow="1" w:lastRow="0" w:firstColumn="1" w:lastColumn="0" w:noHBand="0" w:noVBand="1"/>
      </w:tblPr>
      <w:tblGrid>
        <w:gridCol w:w="2820"/>
        <w:gridCol w:w="1260"/>
        <w:gridCol w:w="1320"/>
        <w:gridCol w:w="1320"/>
        <w:gridCol w:w="1180"/>
        <w:gridCol w:w="1027"/>
      </w:tblGrid>
      <w:tr w:rsidR="007B45D5" w:rsidRPr="003C452C" w:rsidTr="007B45D5">
        <w:trPr>
          <w:trHeight w:val="818"/>
        </w:trPr>
        <w:tc>
          <w:tcPr>
            <w:tcW w:w="2820" w:type="dxa"/>
            <w:tcBorders>
              <w:top w:val="single" w:sz="8" w:space="0" w:color="auto"/>
              <w:left w:val="single" w:sz="8" w:space="0" w:color="auto"/>
              <w:bottom w:val="single" w:sz="8" w:space="0" w:color="auto"/>
              <w:right w:val="nil"/>
            </w:tcBorders>
            <w:shd w:val="clear" w:color="auto" w:fill="auto"/>
            <w:noWrap/>
            <w:vAlign w:val="bottom"/>
            <w:hideMark/>
          </w:tcPr>
          <w:p w:rsidR="007B45D5" w:rsidRPr="002F661A" w:rsidRDefault="007B45D5" w:rsidP="007B45D5">
            <w:pPr>
              <w:spacing w:after="0" w:line="240" w:lineRule="auto"/>
              <w:rPr>
                <w:rFonts w:eastAsia="Times New Roman" w:cstheme="minorHAnsi"/>
                <w:b/>
                <w:lang w:eastAsia="en-AU"/>
              </w:rPr>
            </w:pPr>
            <w:r>
              <w:rPr>
                <w:rFonts w:eastAsia="Times New Roman" w:cstheme="minorHAnsi"/>
                <w:b/>
                <w:lang w:eastAsia="en-AU"/>
              </w:rPr>
              <w:t>Domain</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B45D5" w:rsidRPr="003C452C" w:rsidRDefault="007B45D5" w:rsidP="007B45D5">
            <w:pPr>
              <w:spacing w:after="0" w:line="240" w:lineRule="auto"/>
              <w:rPr>
                <w:rFonts w:eastAsia="Times New Roman" w:cstheme="minorHAnsi"/>
                <w:b/>
                <w:lang w:eastAsia="en-AU"/>
              </w:rPr>
            </w:pPr>
            <w:r w:rsidRPr="003C452C">
              <w:rPr>
                <w:rFonts w:eastAsia="Times New Roman" w:cstheme="minorHAnsi"/>
                <w:b/>
                <w:lang w:eastAsia="en-AU"/>
              </w:rPr>
              <w:t>Review 1 (n=93980)</w:t>
            </w:r>
          </w:p>
        </w:tc>
        <w:tc>
          <w:tcPr>
            <w:tcW w:w="1320" w:type="dxa"/>
            <w:tcBorders>
              <w:top w:val="single" w:sz="8" w:space="0" w:color="auto"/>
              <w:left w:val="nil"/>
              <w:bottom w:val="single" w:sz="8" w:space="0" w:color="auto"/>
              <w:right w:val="nil"/>
            </w:tcBorders>
            <w:shd w:val="clear" w:color="auto" w:fill="auto"/>
            <w:vAlign w:val="bottom"/>
            <w:hideMark/>
          </w:tcPr>
          <w:p w:rsidR="007B45D5" w:rsidRPr="003C452C" w:rsidRDefault="007B45D5" w:rsidP="007B45D5">
            <w:pPr>
              <w:spacing w:after="0" w:line="240" w:lineRule="auto"/>
              <w:rPr>
                <w:rFonts w:eastAsia="Times New Roman" w:cstheme="minorHAnsi"/>
                <w:b/>
                <w:lang w:eastAsia="en-AU"/>
              </w:rPr>
            </w:pPr>
            <w:r w:rsidRPr="003C452C">
              <w:rPr>
                <w:rFonts w:eastAsia="Times New Roman" w:cstheme="minorHAnsi"/>
                <w:b/>
                <w:lang w:eastAsia="en-AU"/>
              </w:rPr>
              <w:t>Review 2 (n=65376)</w:t>
            </w:r>
          </w:p>
        </w:tc>
        <w:tc>
          <w:tcPr>
            <w:tcW w:w="132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B45D5" w:rsidRPr="003C452C" w:rsidRDefault="007B45D5" w:rsidP="007B45D5">
            <w:pPr>
              <w:spacing w:after="0" w:line="240" w:lineRule="auto"/>
              <w:rPr>
                <w:rFonts w:eastAsia="Times New Roman" w:cstheme="minorHAnsi"/>
                <w:b/>
                <w:lang w:eastAsia="en-AU"/>
              </w:rPr>
            </w:pPr>
            <w:r w:rsidRPr="003C452C">
              <w:rPr>
                <w:rFonts w:eastAsia="Times New Roman" w:cstheme="minorHAnsi"/>
                <w:b/>
                <w:lang w:eastAsia="en-AU"/>
              </w:rPr>
              <w:t>Review 3 (n=37095)</w:t>
            </w:r>
          </w:p>
        </w:tc>
        <w:tc>
          <w:tcPr>
            <w:tcW w:w="1180" w:type="dxa"/>
            <w:tcBorders>
              <w:top w:val="single" w:sz="8" w:space="0" w:color="auto"/>
              <w:left w:val="nil"/>
              <w:bottom w:val="single" w:sz="8" w:space="0" w:color="auto"/>
              <w:right w:val="nil"/>
            </w:tcBorders>
            <w:shd w:val="clear" w:color="auto" w:fill="auto"/>
            <w:vAlign w:val="bottom"/>
            <w:hideMark/>
          </w:tcPr>
          <w:p w:rsidR="007B45D5" w:rsidRPr="003C452C" w:rsidRDefault="007B45D5" w:rsidP="007B45D5">
            <w:pPr>
              <w:spacing w:after="0" w:line="240" w:lineRule="auto"/>
              <w:rPr>
                <w:rFonts w:eastAsia="Times New Roman" w:cstheme="minorHAnsi"/>
                <w:b/>
                <w:lang w:eastAsia="en-AU"/>
              </w:rPr>
            </w:pPr>
            <w:r w:rsidRPr="003C452C">
              <w:rPr>
                <w:rFonts w:eastAsia="Times New Roman" w:cstheme="minorHAnsi"/>
                <w:b/>
                <w:lang w:eastAsia="en-AU"/>
              </w:rPr>
              <w:t>Review 4 (n=16843)</w:t>
            </w:r>
          </w:p>
        </w:tc>
        <w:tc>
          <w:tcPr>
            <w:tcW w:w="102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B45D5" w:rsidRPr="003C452C" w:rsidRDefault="007B45D5" w:rsidP="007B45D5">
            <w:pPr>
              <w:spacing w:after="0" w:line="240" w:lineRule="auto"/>
              <w:rPr>
                <w:rFonts w:eastAsia="Times New Roman" w:cstheme="minorHAnsi"/>
                <w:b/>
                <w:lang w:eastAsia="en-AU"/>
              </w:rPr>
            </w:pPr>
            <w:r w:rsidRPr="003C452C">
              <w:rPr>
                <w:rFonts w:eastAsia="Times New Roman" w:cstheme="minorHAnsi"/>
                <w:b/>
                <w:lang w:eastAsia="en-AU"/>
              </w:rPr>
              <w:t>Review 5 (n=4548)</w:t>
            </w:r>
          </w:p>
        </w:tc>
      </w:tr>
      <w:tr w:rsidR="007B45D5" w:rsidRPr="003C452C" w:rsidTr="007B45D5">
        <w:trPr>
          <w:trHeight w:val="270"/>
        </w:trPr>
        <w:tc>
          <w:tcPr>
            <w:tcW w:w="2820" w:type="dxa"/>
            <w:tcBorders>
              <w:top w:val="nil"/>
              <w:left w:val="single" w:sz="8" w:space="0" w:color="auto"/>
              <w:bottom w:val="single" w:sz="4" w:space="0" w:color="auto"/>
              <w:right w:val="nil"/>
            </w:tcBorders>
            <w:shd w:val="clear" w:color="auto" w:fill="auto"/>
            <w:noWrap/>
            <w:vAlign w:val="bottom"/>
            <w:hideMark/>
          </w:tcPr>
          <w:p w:rsidR="007B45D5" w:rsidRPr="003C452C" w:rsidRDefault="007B45D5" w:rsidP="007B45D5">
            <w:pPr>
              <w:spacing w:after="0" w:line="240" w:lineRule="auto"/>
              <w:rPr>
                <w:rFonts w:eastAsia="Times New Roman" w:cstheme="minorHAnsi"/>
                <w:lang w:eastAsia="en-AU"/>
              </w:rPr>
            </w:pPr>
            <w:r w:rsidRPr="003C452C">
              <w:rPr>
                <w:rFonts w:eastAsia="Times New Roman" w:cstheme="minorHAnsi"/>
                <w:lang w:eastAsia="en-AU"/>
              </w:rPr>
              <w:t>Social and Recreational Life</w:t>
            </w:r>
          </w:p>
        </w:tc>
        <w:tc>
          <w:tcPr>
            <w:tcW w:w="1260" w:type="dxa"/>
            <w:tcBorders>
              <w:top w:val="nil"/>
              <w:left w:val="single" w:sz="8" w:space="0" w:color="auto"/>
              <w:bottom w:val="single" w:sz="4" w:space="0" w:color="auto"/>
              <w:right w:val="single" w:sz="8" w:space="0" w:color="auto"/>
            </w:tcBorders>
            <w:shd w:val="clear" w:color="auto" w:fill="auto"/>
            <w:noWrap/>
            <w:vAlign w:val="bottom"/>
            <w:hideMark/>
          </w:tcPr>
          <w:p w:rsidR="007B45D5" w:rsidRPr="003C452C" w:rsidRDefault="007B45D5" w:rsidP="007B45D5">
            <w:pPr>
              <w:spacing w:after="0" w:line="240" w:lineRule="auto"/>
              <w:jc w:val="right"/>
              <w:rPr>
                <w:rFonts w:eastAsia="Times New Roman" w:cstheme="minorHAnsi"/>
                <w:lang w:eastAsia="en-AU"/>
              </w:rPr>
            </w:pPr>
            <w:r w:rsidRPr="003C452C">
              <w:rPr>
                <w:rFonts w:eastAsia="Times New Roman" w:cstheme="minorHAnsi"/>
                <w:lang w:eastAsia="en-AU"/>
              </w:rPr>
              <w:t>47.2%</w:t>
            </w:r>
          </w:p>
        </w:tc>
        <w:tc>
          <w:tcPr>
            <w:tcW w:w="1320" w:type="dxa"/>
            <w:tcBorders>
              <w:top w:val="nil"/>
              <w:left w:val="nil"/>
              <w:bottom w:val="single" w:sz="4" w:space="0" w:color="auto"/>
              <w:right w:val="nil"/>
            </w:tcBorders>
            <w:shd w:val="clear" w:color="auto" w:fill="auto"/>
            <w:noWrap/>
            <w:vAlign w:val="bottom"/>
            <w:hideMark/>
          </w:tcPr>
          <w:p w:rsidR="007B45D5" w:rsidRPr="003C452C" w:rsidRDefault="007B45D5" w:rsidP="007B45D5">
            <w:pPr>
              <w:spacing w:after="0" w:line="240" w:lineRule="auto"/>
              <w:jc w:val="right"/>
              <w:rPr>
                <w:rFonts w:eastAsia="Times New Roman" w:cstheme="minorHAnsi"/>
                <w:lang w:eastAsia="en-AU"/>
              </w:rPr>
            </w:pPr>
            <w:r w:rsidRPr="003C452C">
              <w:rPr>
                <w:rFonts w:eastAsia="Times New Roman" w:cstheme="minorHAnsi"/>
                <w:lang w:eastAsia="en-AU"/>
              </w:rPr>
              <w:t>50.4%</w:t>
            </w:r>
          </w:p>
        </w:tc>
        <w:tc>
          <w:tcPr>
            <w:tcW w:w="1320" w:type="dxa"/>
            <w:tcBorders>
              <w:top w:val="nil"/>
              <w:left w:val="single" w:sz="8" w:space="0" w:color="auto"/>
              <w:bottom w:val="single" w:sz="4" w:space="0" w:color="auto"/>
              <w:right w:val="single" w:sz="8" w:space="0" w:color="auto"/>
            </w:tcBorders>
            <w:shd w:val="clear" w:color="auto" w:fill="auto"/>
            <w:noWrap/>
            <w:vAlign w:val="bottom"/>
            <w:hideMark/>
          </w:tcPr>
          <w:p w:rsidR="007B45D5" w:rsidRPr="003C452C" w:rsidRDefault="007B45D5" w:rsidP="007B45D5">
            <w:pPr>
              <w:spacing w:after="0" w:line="240" w:lineRule="auto"/>
              <w:jc w:val="right"/>
              <w:rPr>
                <w:rFonts w:eastAsia="Times New Roman" w:cstheme="minorHAnsi"/>
                <w:lang w:eastAsia="en-AU"/>
              </w:rPr>
            </w:pPr>
            <w:r w:rsidRPr="003C452C">
              <w:rPr>
                <w:rFonts w:eastAsia="Times New Roman" w:cstheme="minorHAnsi"/>
                <w:lang w:eastAsia="en-AU"/>
              </w:rPr>
              <w:t>51.2%</w:t>
            </w:r>
          </w:p>
        </w:tc>
        <w:tc>
          <w:tcPr>
            <w:tcW w:w="1180" w:type="dxa"/>
            <w:tcBorders>
              <w:top w:val="nil"/>
              <w:left w:val="nil"/>
              <w:bottom w:val="single" w:sz="4" w:space="0" w:color="auto"/>
              <w:right w:val="nil"/>
            </w:tcBorders>
            <w:shd w:val="clear" w:color="auto" w:fill="auto"/>
            <w:noWrap/>
            <w:vAlign w:val="bottom"/>
            <w:hideMark/>
          </w:tcPr>
          <w:p w:rsidR="007B45D5" w:rsidRPr="003C452C" w:rsidRDefault="007B45D5" w:rsidP="007B45D5">
            <w:pPr>
              <w:spacing w:after="0" w:line="240" w:lineRule="auto"/>
              <w:jc w:val="right"/>
              <w:rPr>
                <w:rFonts w:eastAsia="Times New Roman" w:cstheme="minorHAnsi"/>
                <w:lang w:eastAsia="en-AU"/>
              </w:rPr>
            </w:pPr>
            <w:r w:rsidRPr="003C452C">
              <w:rPr>
                <w:rFonts w:eastAsia="Times New Roman" w:cstheme="minorHAnsi"/>
                <w:lang w:eastAsia="en-AU"/>
              </w:rPr>
              <w:t>51.7%</w:t>
            </w:r>
          </w:p>
        </w:tc>
        <w:tc>
          <w:tcPr>
            <w:tcW w:w="1027" w:type="dxa"/>
            <w:tcBorders>
              <w:top w:val="nil"/>
              <w:left w:val="single" w:sz="8" w:space="0" w:color="auto"/>
              <w:bottom w:val="single" w:sz="4" w:space="0" w:color="auto"/>
              <w:right w:val="single" w:sz="8" w:space="0" w:color="auto"/>
            </w:tcBorders>
            <w:shd w:val="clear" w:color="auto" w:fill="auto"/>
            <w:noWrap/>
            <w:vAlign w:val="bottom"/>
            <w:hideMark/>
          </w:tcPr>
          <w:p w:rsidR="007B45D5" w:rsidRPr="003C452C" w:rsidRDefault="007B45D5" w:rsidP="007B45D5">
            <w:pPr>
              <w:spacing w:after="0" w:line="240" w:lineRule="auto"/>
              <w:jc w:val="right"/>
              <w:rPr>
                <w:rFonts w:eastAsia="Times New Roman" w:cstheme="minorHAnsi"/>
                <w:lang w:eastAsia="en-AU"/>
              </w:rPr>
            </w:pPr>
            <w:r w:rsidRPr="003C452C">
              <w:rPr>
                <w:rFonts w:eastAsia="Times New Roman" w:cstheme="minorHAnsi"/>
                <w:lang w:eastAsia="en-AU"/>
              </w:rPr>
              <w:t>49.3%</w:t>
            </w:r>
          </w:p>
        </w:tc>
      </w:tr>
      <w:tr w:rsidR="007B45D5" w:rsidRPr="003C452C" w:rsidTr="007B45D5">
        <w:trPr>
          <w:trHeight w:val="270"/>
        </w:trPr>
        <w:tc>
          <w:tcPr>
            <w:tcW w:w="2820" w:type="dxa"/>
            <w:tcBorders>
              <w:top w:val="nil"/>
              <w:left w:val="single" w:sz="8" w:space="0" w:color="auto"/>
              <w:bottom w:val="single" w:sz="4" w:space="0" w:color="auto"/>
              <w:right w:val="nil"/>
            </w:tcBorders>
            <w:shd w:val="clear" w:color="auto" w:fill="auto"/>
            <w:noWrap/>
            <w:vAlign w:val="bottom"/>
            <w:hideMark/>
          </w:tcPr>
          <w:p w:rsidR="007B45D5" w:rsidRPr="003C452C" w:rsidRDefault="007B45D5" w:rsidP="007B45D5">
            <w:pPr>
              <w:spacing w:after="0" w:line="240" w:lineRule="auto"/>
              <w:rPr>
                <w:rFonts w:eastAsia="Times New Roman" w:cstheme="minorHAnsi"/>
                <w:lang w:eastAsia="en-AU"/>
              </w:rPr>
            </w:pPr>
            <w:r w:rsidRPr="003C452C">
              <w:rPr>
                <w:rFonts w:eastAsia="Times New Roman" w:cstheme="minorHAnsi"/>
                <w:lang w:eastAsia="en-AU"/>
              </w:rPr>
              <w:t>Family and friends</w:t>
            </w:r>
          </w:p>
        </w:tc>
        <w:tc>
          <w:tcPr>
            <w:tcW w:w="1260" w:type="dxa"/>
            <w:tcBorders>
              <w:top w:val="nil"/>
              <w:left w:val="single" w:sz="8" w:space="0" w:color="auto"/>
              <w:bottom w:val="single" w:sz="4" w:space="0" w:color="auto"/>
              <w:right w:val="single" w:sz="8" w:space="0" w:color="auto"/>
            </w:tcBorders>
            <w:shd w:val="clear" w:color="auto" w:fill="auto"/>
            <w:noWrap/>
            <w:vAlign w:val="bottom"/>
            <w:hideMark/>
          </w:tcPr>
          <w:p w:rsidR="007B45D5" w:rsidRPr="003C452C" w:rsidRDefault="007B45D5" w:rsidP="007B45D5">
            <w:pPr>
              <w:spacing w:after="0" w:line="240" w:lineRule="auto"/>
              <w:jc w:val="right"/>
              <w:rPr>
                <w:rFonts w:eastAsia="Times New Roman" w:cstheme="minorHAnsi"/>
                <w:lang w:eastAsia="en-AU"/>
              </w:rPr>
            </w:pPr>
            <w:r w:rsidRPr="003C452C">
              <w:rPr>
                <w:rFonts w:eastAsia="Times New Roman" w:cstheme="minorHAnsi"/>
                <w:lang w:eastAsia="en-AU"/>
              </w:rPr>
              <w:t>52.3%</w:t>
            </w:r>
          </w:p>
        </w:tc>
        <w:tc>
          <w:tcPr>
            <w:tcW w:w="1320" w:type="dxa"/>
            <w:tcBorders>
              <w:top w:val="nil"/>
              <w:left w:val="nil"/>
              <w:bottom w:val="single" w:sz="4" w:space="0" w:color="auto"/>
              <w:right w:val="nil"/>
            </w:tcBorders>
            <w:shd w:val="clear" w:color="auto" w:fill="auto"/>
            <w:noWrap/>
            <w:vAlign w:val="bottom"/>
            <w:hideMark/>
          </w:tcPr>
          <w:p w:rsidR="007B45D5" w:rsidRPr="003C452C" w:rsidRDefault="007B45D5" w:rsidP="007B45D5">
            <w:pPr>
              <w:spacing w:after="0" w:line="240" w:lineRule="auto"/>
              <w:jc w:val="right"/>
              <w:rPr>
                <w:rFonts w:eastAsia="Times New Roman" w:cstheme="minorHAnsi"/>
                <w:lang w:eastAsia="en-AU"/>
              </w:rPr>
            </w:pPr>
            <w:r w:rsidRPr="003C452C">
              <w:rPr>
                <w:rFonts w:eastAsia="Times New Roman" w:cstheme="minorHAnsi"/>
                <w:lang w:eastAsia="en-AU"/>
              </w:rPr>
              <w:t>56.9%</w:t>
            </w:r>
          </w:p>
        </w:tc>
        <w:tc>
          <w:tcPr>
            <w:tcW w:w="1320" w:type="dxa"/>
            <w:tcBorders>
              <w:top w:val="nil"/>
              <w:left w:val="single" w:sz="8" w:space="0" w:color="auto"/>
              <w:bottom w:val="single" w:sz="4" w:space="0" w:color="auto"/>
              <w:right w:val="single" w:sz="8" w:space="0" w:color="auto"/>
            </w:tcBorders>
            <w:shd w:val="clear" w:color="auto" w:fill="auto"/>
            <w:noWrap/>
            <w:vAlign w:val="bottom"/>
            <w:hideMark/>
          </w:tcPr>
          <w:p w:rsidR="007B45D5" w:rsidRPr="003C452C" w:rsidRDefault="007B45D5" w:rsidP="007B45D5">
            <w:pPr>
              <w:spacing w:after="0" w:line="240" w:lineRule="auto"/>
              <w:jc w:val="right"/>
              <w:rPr>
                <w:rFonts w:eastAsia="Times New Roman" w:cstheme="minorHAnsi"/>
                <w:lang w:eastAsia="en-AU"/>
              </w:rPr>
            </w:pPr>
            <w:r w:rsidRPr="003C452C">
              <w:rPr>
                <w:rFonts w:eastAsia="Times New Roman" w:cstheme="minorHAnsi"/>
                <w:lang w:eastAsia="en-AU"/>
              </w:rPr>
              <w:t>58.1%</w:t>
            </w:r>
          </w:p>
        </w:tc>
        <w:tc>
          <w:tcPr>
            <w:tcW w:w="1180" w:type="dxa"/>
            <w:tcBorders>
              <w:top w:val="nil"/>
              <w:left w:val="nil"/>
              <w:bottom w:val="single" w:sz="4" w:space="0" w:color="auto"/>
              <w:right w:val="nil"/>
            </w:tcBorders>
            <w:shd w:val="clear" w:color="auto" w:fill="auto"/>
            <w:noWrap/>
            <w:vAlign w:val="bottom"/>
            <w:hideMark/>
          </w:tcPr>
          <w:p w:rsidR="007B45D5" w:rsidRPr="003C452C" w:rsidRDefault="007B45D5" w:rsidP="007B45D5">
            <w:pPr>
              <w:spacing w:after="0" w:line="240" w:lineRule="auto"/>
              <w:jc w:val="right"/>
              <w:rPr>
                <w:rFonts w:eastAsia="Times New Roman" w:cstheme="minorHAnsi"/>
                <w:lang w:eastAsia="en-AU"/>
              </w:rPr>
            </w:pPr>
            <w:r w:rsidRPr="003C452C">
              <w:rPr>
                <w:rFonts w:eastAsia="Times New Roman" w:cstheme="minorHAnsi"/>
                <w:lang w:eastAsia="en-AU"/>
              </w:rPr>
              <w:t>58.1%</w:t>
            </w:r>
          </w:p>
        </w:tc>
        <w:tc>
          <w:tcPr>
            <w:tcW w:w="1027" w:type="dxa"/>
            <w:tcBorders>
              <w:top w:val="nil"/>
              <w:left w:val="single" w:sz="8" w:space="0" w:color="auto"/>
              <w:bottom w:val="single" w:sz="4" w:space="0" w:color="auto"/>
              <w:right w:val="single" w:sz="8" w:space="0" w:color="auto"/>
            </w:tcBorders>
            <w:shd w:val="clear" w:color="auto" w:fill="auto"/>
            <w:noWrap/>
            <w:vAlign w:val="bottom"/>
            <w:hideMark/>
          </w:tcPr>
          <w:p w:rsidR="007B45D5" w:rsidRPr="003C452C" w:rsidRDefault="007B45D5" w:rsidP="007B45D5">
            <w:pPr>
              <w:spacing w:after="0" w:line="240" w:lineRule="auto"/>
              <w:jc w:val="right"/>
              <w:rPr>
                <w:rFonts w:eastAsia="Times New Roman" w:cstheme="minorHAnsi"/>
                <w:lang w:eastAsia="en-AU"/>
              </w:rPr>
            </w:pPr>
            <w:r w:rsidRPr="003C452C">
              <w:rPr>
                <w:rFonts w:eastAsia="Times New Roman" w:cstheme="minorHAnsi"/>
                <w:lang w:eastAsia="en-AU"/>
              </w:rPr>
              <w:t>55.0%</w:t>
            </w:r>
          </w:p>
        </w:tc>
      </w:tr>
      <w:tr w:rsidR="007B45D5" w:rsidRPr="003C452C" w:rsidTr="007B45D5">
        <w:trPr>
          <w:trHeight w:val="270"/>
        </w:trPr>
        <w:tc>
          <w:tcPr>
            <w:tcW w:w="2820" w:type="dxa"/>
            <w:tcBorders>
              <w:top w:val="nil"/>
              <w:left w:val="single" w:sz="8" w:space="0" w:color="auto"/>
              <w:bottom w:val="single" w:sz="4" w:space="0" w:color="auto"/>
              <w:right w:val="nil"/>
            </w:tcBorders>
            <w:shd w:val="clear" w:color="auto" w:fill="auto"/>
            <w:noWrap/>
            <w:vAlign w:val="bottom"/>
            <w:hideMark/>
          </w:tcPr>
          <w:p w:rsidR="007B45D5" w:rsidRPr="003C452C" w:rsidRDefault="007B45D5" w:rsidP="007B45D5">
            <w:pPr>
              <w:spacing w:after="0" w:line="240" w:lineRule="auto"/>
              <w:rPr>
                <w:rFonts w:eastAsia="Times New Roman" w:cstheme="minorHAnsi"/>
                <w:lang w:eastAsia="en-AU"/>
              </w:rPr>
            </w:pPr>
            <w:r w:rsidRPr="003C452C">
              <w:rPr>
                <w:rFonts w:eastAsia="Times New Roman" w:cstheme="minorHAnsi"/>
                <w:lang w:eastAsia="en-AU"/>
              </w:rPr>
              <w:t>Access to education</w:t>
            </w:r>
          </w:p>
        </w:tc>
        <w:tc>
          <w:tcPr>
            <w:tcW w:w="1260" w:type="dxa"/>
            <w:tcBorders>
              <w:top w:val="nil"/>
              <w:left w:val="single" w:sz="8" w:space="0" w:color="auto"/>
              <w:bottom w:val="single" w:sz="4" w:space="0" w:color="auto"/>
              <w:right w:val="single" w:sz="8" w:space="0" w:color="auto"/>
            </w:tcBorders>
            <w:shd w:val="clear" w:color="auto" w:fill="auto"/>
            <w:noWrap/>
            <w:vAlign w:val="bottom"/>
            <w:hideMark/>
          </w:tcPr>
          <w:p w:rsidR="007B45D5" w:rsidRPr="003C452C" w:rsidRDefault="007B45D5" w:rsidP="007B45D5">
            <w:pPr>
              <w:spacing w:after="0" w:line="240" w:lineRule="auto"/>
              <w:jc w:val="right"/>
              <w:rPr>
                <w:rFonts w:eastAsia="Times New Roman" w:cstheme="minorHAnsi"/>
                <w:lang w:eastAsia="en-AU"/>
              </w:rPr>
            </w:pPr>
            <w:r w:rsidRPr="003C452C">
              <w:rPr>
                <w:rFonts w:eastAsia="Times New Roman" w:cstheme="minorHAnsi"/>
                <w:lang w:eastAsia="en-AU"/>
              </w:rPr>
              <w:t>43.1%</w:t>
            </w:r>
          </w:p>
        </w:tc>
        <w:tc>
          <w:tcPr>
            <w:tcW w:w="1320" w:type="dxa"/>
            <w:tcBorders>
              <w:top w:val="nil"/>
              <w:left w:val="nil"/>
              <w:bottom w:val="single" w:sz="4" w:space="0" w:color="auto"/>
              <w:right w:val="nil"/>
            </w:tcBorders>
            <w:shd w:val="clear" w:color="auto" w:fill="auto"/>
            <w:noWrap/>
            <w:vAlign w:val="bottom"/>
            <w:hideMark/>
          </w:tcPr>
          <w:p w:rsidR="007B45D5" w:rsidRPr="003C452C" w:rsidRDefault="007B45D5" w:rsidP="007B45D5">
            <w:pPr>
              <w:spacing w:after="0" w:line="240" w:lineRule="auto"/>
              <w:jc w:val="right"/>
              <w:rPr>
                <w:rFonts w:eastAsia="Times New Roman" w:cstheme="minorHAnsi"/>
                <w:lang w:eastAsia="en-AU"/>
              </w:rPr>
            </w:pPr>
            <w:r w:rsidRPr="003C452C">
              <w:rPr>
                <w:rFonts w:eastAsia="Times New Roman" w:cstheme="minorHAnsi"/>
                <w:lang w:eastAsia="en-AU"/>
              </w:rPr>
              <w:t>47.0%</w:t>
            </w:r>
          </w:p>
        </w:tc>
        <w:tc>
          <w:tcPr>
            <w:tcW w:w="1320" w:type="dxa"/>
            <w:tcBorders>
              <w:top w:val="nil"/>
              <w:left w:val="single" w:sz="8" w:space="0" w:color="auto"/>
              <w:bottom w:val="single" w:sz="4" w:space="0" w:color="auto"/>
              <w:right w:val="single" w:sz="8" w:space="0" w:color="auto"/>
            </w:tcBorders>
            <w:shd w:val="clear" w:color="auto" w:fill="auto"/>
            <w:noWrap/>
            <w:vAlign w:val="bottom"/>
            <w:hideMark/>
          </w:tcPr>
          <w:p w:rsidR="007B45D5" w:rsidRPr="003C452C" w:rsidRDefault="007B45D5" w:rsidP="007B45D5">
            <w:pPr>
              <w:spacing w:after="0" w:line="240" w:lineRule="auto"/>
              <w:jc w:val="right"/>
              <w:rPr>
                <w:rFonts w:eastAsia="Times New Roman" w:cstheme="minorHAnsi"/>
                <w:lang w:eastAsia="en-AU"/>
              </w:rPr>
            </w:pPr>
            <w:r w:rsidRPr="003C452C">
              <w:rPr>
                <w:rFonts w:eastAsia="Times New Roman" w:cstheme="minorHAnsi"/>
                <w:lang w:eastAsia="en-AU"/>
              </w:rPr>
              <w:t>47.4%</w:t>
            </w:r>
          </w:p>
        </w:tc>
        <w:tc>
          <w:tcPr>
            <w:tcW w:w="1180" w:type="dxa"/>
            <w:tcBorders>
              <w:top w:val="nil"/>
              <w:left w:val="nil"/>
              <w:bottom w:val="single" w:sz="4" w:space="0" w:color="auto"/>
              <w:right w:val="nil"/>
            </w:tcBorders>
            <w:shd w:val="clear" w:color="auto" w:fill="auto"/>
            <w:noWrap/>
            <w:vAlign w:val="bottom"/>
            <w:hideMark/>
          </w:tcPr>
          <w:p w:rsidR="007B45D5" w:rsidRPr="003C452C" w:rsidRDefault="007B45D5" w:rsidP="007B45D5">
            <w:pPr>
              <w:spacing w:after="0" w:line="240" w:lineRule="auto"/>
              <w:jc w:val="right"/>
              <w:rPr>
                <w:rFonts w:eastAsia="Times New Roman" w:cstheme="minorHAnsi"/>
                <w:lang w:eastAsia="en-AU"/>
              </w:rPr>
            </w:pPr>
            <w:r w:rsidRPr="003C452C">
              <w:rPr>
                <w:rFonts w:eastAsia="Times New Roman" w:cstheme="minorHAnsi"/>
                <w:lang w:eastAsia="en-AU"/>
              </w:rPr>
              <w:t>46.1%</w:t>
            </w:r>
          </w:p>
        </w:tc>
        <w:tc>
          <w:tcPr>
            <w:tcW w:w="1027" w:type="dxa"/>
            <w:tcBorders>
              <w:top w:val="nil"/>
              <w:left w:val="single" w:sz="8" w:space="0" w:color="auto"/>
              <w:bottom w:val="single" w:sz="4" w:space="0" w:color="auto"/>
              <w:right w:val="single" w:sz="8" w:space="0" w:color="auto"/>
            </w:tcBorders>
            <w:shd w:val="clear" w:color="auto" w:fill="auto"/>
            <w:noWrap/>
            <w:vAlign w:val="bottom"/>
            <w:hideMark/>
          </w:tcPr>
          <w:p w:rsidR="007B45D5" w:rsidRPr="003C452C" w:rsidRDefault="007B45D5" w:rsidP="007B45D5">
            <w:pPr>
              <w:spacing w:after="0" w:line="240" w:lineRule="auto"/>
              <w:jc w:val="right"/>
              <w:rPr>
                <w:rFonts w:eastAsia="Times New Roman" w:cstheme="minorHAnsi"/>
                <w:lang w:eastAsia="en-AU"/>
              </w:rPr>
            </w:pPr>
            <w:r w:rsidRPr="003C452C">
              <w:rPr>
                <w:rFonts w:eastAsia="Times New Roman" w:cstheme="minorHAnsi"/>
                <w:lang w:eastAsia="en-AU"/>
              </w:rPr>
              <w:t>44.5%</w:t>
            </w:r>
          </w:p>
        </w:tc>
      </w:tr>
      <w:tr w:rsidR="007B45D5" w:rsidRPr="003C452C" w:rsidTr="007B45D5">
        <w:trPr>
          <w:trHeight w:val="278"/>
        </w:trPr>
        <w:tc>
          <w:tcPr>
            <w:tcW w:w="2820" w:type="dxa"/>
            <w:tcBorders>
              <w:top w:val="nil"/>
              <w:left w:val="single" w:sz="8" w:space="0" w:color="auto"/>
              <w:bottom w:val="single" w:sz="8" w:space="0" w:color="auto"/>
              <w:right w:val="nil"/>
            </w:tcBorders>
            <w:shd w:val="clear" w:color="auto" w:fill="auto"/>
            <w:noWrap/>
            <w:vAlign w:val="bottom"/>
            <w:hideMark/>
          </w:tcPr>
          <w:p w:rsidR="007B45D5" w:rsidRPr="003C452C" w:rsidRDefault="007B45D5" w:rsidP="007B45D5">
            <w:pPr>
              <w:spacing w:after="0" w:line="240" w:lineRule="auto"/>
              <w:rPr>
                <w:rFonts w:eastAsia="Times New Roman" w:cstheme="minorHAnsi"/>
                <w:lang w:eastAsia="en-AU"/>
              </w:rPr>
            </w:pPr>
            <w:r w:rsidRPr="003C452C">
              <w:rPr>
                <w:rFonts w:eastAsia="Times New Roman" w:cstheme="minorHAnsi"/>
                <w:lang w:eastAsia="en-AU"/>
              </w:rPr>
              <w:t>Child's Independence</w:t>
            </w:r>
          </w:p>
        </w:tc>
        <w:tc>
          <w:tcPr>
            <w:tcW w:w="1260" w:type="dxa"/>
            <w:tcBorders>
              <w:top w:val="nil"/>
              <w:left w:val="single" w:sz="8" w:space="0" w:color="auto"/>
              <w:bottom w:val="single" w:sz="8" w:space="0" w:color="auto"/>
              <w:right w:val="single" w:sz="8" w:space="0" w:color="auto"/>
            </w:tcBorders>
            <w:shd w:val="clear" w:color="auto" w:fill="auto"/>
            <w:noWrap/>
            <w:vAlign w:val="bottom"/>
            <w:hideMark/>
          </w:tcPr>
          <w:p w:rsidR="007B45D5" w:rsidRPr="003C452C" w:rsidRDefault="007B45D5" w:rsidP="007B45D5">
            <w:pPr>
              <w:spacing w:after="0" w:line="240" w:lineRule="auto"/>
              <w:jc w:val="right"/>
              <w:rPr>
                <w:rFonts w:eastAsia="Times New Roman" w:cstheme="minorHAnsi"/>
                <w:lang w:eastAsia="en-AU"/>
              </w:rPr>
            </w:pPr>
            <w:r w:rsidRPr="003C452C">
              <w:rPr>
                <w:rFonts w:eastAsia="Times New Roman" w:cstheme="minorHAnsi"/>
                <w:lang w:eastAsia="en-AU"/>
              </w:rPr>
              <w:t>63.0%</w:t>
            </w:r>
          </w:p>
        </w:tc>
        <w:tc>
          <w:tcPr>
            <w:tcW w:w="1320" w:type="dxa"/>
            <w:tcBorders>
              <w:top w:val="nil"/>
              <w:left w:val="nil"/>
              <w:bottom w:val="single" w:sz="8" w:space="0" w:color="auto"/>
              <w:right w:val="nil"/>
            </w:tcBorders>
            <w:shd w:val="clear" w:color="auto" w:fill="auto"/>
            <w:noWrap/>
            <w:vAlign w:val="bottom"/>
            <w:hideMark/>
          </w:tcPr>
          <w:p w:rsidR="007B45D5" w:rsidRPr="003C452C" w:rsidRDefault="007B45D5" w:rsidP="007B45D5">
            <w:pPr>
              <w:spacing w:after="0" w:line="240" w:lineRule="auto"/>
              <w:jc w:val="right"/>
              <w:rPr>
                <w:rFonts w:eastAsia="Times New Roman" w:cstheme="minorHAnsi"/>
                <w:lang w:eastAsia="en-AU"/>
              </w:rPr>
            </w:pPr>
            <w:r w:rsidRPr="003C452C">
              <w:rPr>
                <w:rFonts w:eastAsia="Times New Roman" w:cstheme="minorHAnsi"/>
                <w:lang w:eastAsia="en-AU"/>
              </w:rPr>
              <w:t>69.8%</w:t>
            </w:r>
          </w:p>
        </w:tc>
        <w:tc>
          <w:tcPr>
            <w:tcW w:w="1320" w:type="dxa"/>
            <w:tcBorders>
              <w:top w:val="nil"/>
              <w:left w:val="single" w:sz="8" w:space="0" w:color="auto"/>
              <w:bottom w:val="single" w:sz="8" w:space="0" w:color="auto"/>
              <w:right w:val="single" w:sz="8" w:space="0" w:color="auto"/>
            </w:tcBorders>
            <w:shd w:val="clear" w:color="auto" w:fill="auto"/>
            <w:noWrap/>
            <w:vAlign w:val="bottom"/>
            <w:hideMark/>
          </w:tcPr>
          <w:p w:rsidR="007B45D5" w:rsidRPr="003C452C" w:rsidRDefault="007B45D5" w:rsidP="007B45D5">
            <w:pPr>
              <w:spacing w:after="0" w:line="240" w:lineRule="auto"/>
              <w:jc w:val="right"/>
              <w:rPr>
                <w:rFonts w:eastAsia="Times New Roman" w:cstheme="minorHAnsi"/>
                <w:lang w:eastAsia="en-AU"/>
              </w:rPr>
            </w:pPr>
            <w:r w:rsidRPr="003C452C">
              <w:rPr>
                <w:rFonts w:eastAsia="Times New Roman" w:cstheme="minorHAnsi"/>
                <w:lang w:eastAsia="en-AU"/>
              </w:rPr>
              <w:t>71.9%</w:t>
            </w:r>
          </w:p>
        </w:tc>
        <w:tc>
          <w:tcPr>
            <w:tcW w:w="1180" w:type="dxa"/>
            <w:tcBorders>
              <w:top w:val="nil"/>
              <w:left w:val="nil"/>
              <w:bottom w:val="single" w:sz="8" w:space="0" w:color="auto"/>
              <w:right w:val="nil"/>
            </w:tcBorders>
            <w:shd w:val="clear" w:color="auto" w:fill="auto"/>
            <w:noWrap/>
            <w:vAlign w:val="bottom"/>
            <w:hideMark/>
          </w:tcPr>
          <w:p w:rsidR="007B45D5" w:rsidRPr="003C452C" w:rsidRDefault="007B45D5" w:rsidP="007B45D5">
            <w:pPr>
              <w:spacing w:after="0" w:line="240" w:lineRule="auto"/>
              <w:jc w:val="right"/>
              <w:rPr>
                <w:rFonts w:eastAsia="Times New Roman" w:cstheme="minorHAnsi"/>
                <w:lang w:eastAsia="en-AU"/>
              </w:rPr>
            </w:pPr>
            <w:r w:rsidRPr="003C452C">
              <w:rPr>
                <w:rFonts w:eastAsia="Times New Roman" w:cstheme="minorHAnsi"/>
                <w:lang w:eastAsia="en-AU"/>
              </w:rPr>
              <w:t>73.0%</w:t>
            </w:r>
          </w:p>
        </w:tc>
        <w:tc>
          <w:tcPr>
            <w:tcW w:w="1027" w:type="dxa"/>
            <w:tcBorders>
              <w:top w:val="nil"/>
              <w:left w:val="single" w:sz="8" w:space="0" w:color="auto"/>
              <w:bottom w:val="single" w:sz="8" w:space="0" w:color="auto"/>
              <w:right w:val="single" w:sz="8" w:space="0" w:color="auto"/>
            </w:tcBorders>
            <w:shd w:val="clear" w:color="auto" w:fill="auto"/>
            <w:noWrap/>
            <w:vAlign w:val="bottom"/>
            <w:hideMark/>
          </w:tcPr>
          <w:p w:rsidR="007B45D5" w:rsidRPr="003C452C" w:rsidRDefault="007B45D5" w:rsidP="007B45D5">
            <w:pPr>
              <w:spacing w:after="0" w:line="240" w:lineRule="auto"/>
              <w:jc w:val="right"/>
              <w:rPr>
                <w:rFonts w:eastAsia="Times New Roman" w:cstheme="minorHAnsi"/>
                <w:lang w:eastAsia="en-AU"/>
              </w:rPr>
            </w:pPr>
            <w:r w:rsidRPr="003C452C">
              <w:rPr>
                <w:rFonts w:eastAsia="Times New Roman" w:cstheme="minorHAnsi"/>
                <w:lang w:eastAsia="en-AU"/>
              </w:rPr>
              <w:t>71.7%</w:t>
            </w:r>
          </w:p>
        </w:tc>
      </w:tr>
    </w:tbl>
    <w:p w:rsidR="00741355" w:rsidRDefault="00741355" w:rsidP="003C452C"/>
    <w:p w:rsidR="003C452C" w:rsidRDefault="003C452C" w:rsidP="003C452C">
      <w:r>
        <w:t>By baseline plan utilisation rate, outcomes after one year</w:t>
      </w:r>
    </w:p>
    <w:tbl>
      <w:tblPr>
        <w:tblW w:w="9580" w:type="dxa"/>
        <w:tblLook w:val="04A0" w:firstRow="1" w:lastRow="0" w:firstColumn="1" w:lastColumn="0" w:noHBand="0" w:noVBand="1"/>
      </w:tblPr>
      <w:tblGrid>
        <w:gridCol w:w="2920"/>
        <w:gridCol w:w="1220"/>
        <w:gridCol w:w="1440"/>
        <w:gridCol w:w="1260"/>
        <w:gridCol w:w="1360"/>
        <w:gridCol w:w="1380"/>
      </w:tblGrid>
      <w:tr w:rsidR="007B45D5" w:rsidRPr="00460595" w:rsidTr="003C452C">
        <w:trPr>
          <w:trHeight w:val="818"/>
        </w:trPr>
        <w:tc>
          <w:tcPr>
            <w:tcW w:w="292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7B45D5" w:rsidRPr="002F661A" w:rsidRDefault="007B45D5" w:rsidP="007B45D5">
            <w:pPr>
              <w:spacing w:after="0" w:line="240" w:lineRule="auto"/>
              <w:rPr>
                <w:rFonts w:eastAsia="Times New Roman" w:cstheme="minorHAnsi"/>
                <w:b/>
                <w:lang w:eastAsia="en-AU"/>
              </w:rPr>
            </w:pPr>
            <w:r>
              <w:rPr>
                <w:rFonts w:eastAsia="Times New Roman" w:cstheme="minorHAnsi"/>
                <w:b/>
                <w:lang w:eastAsia="en-AU"/>
              </w:rPr>
              <w:t>Domain</w:t>
            </w:r>
          </w:p>
        </w:tc>
        <w:tc>
          <w:tcPr>
            <w:tcW w:w="1220" w:type="dxa"/>
            <w:tcBorders>
              <w:top w:val="single" w:sz="8" w:space="0" w:color="auto"/>
              <w:left w:val="nil"/>
              <w:bottom w:val="single" w:sz="4" w:space="0" w:color="auto"/>
              <w:right w:val="nil"/>
            </w:tcBorders>
            <w:shd w:val="clear" w:color="auto" w:fill="auto"/>
            <w:vAlign w:val="bottom"/>
            <w:hideMark/>
          </w:tcPr>
          <w:p w:rsidR="007B45D5" w:rsidRPr="003C452C" w:rsidRDefault="007B45D5" w:rsidP="007B45D5">
            <w:pPr>
              <w:spacing w:after="0" w:line="240" w:lineRule="auto"/>
              <w:rPr>
                <w:rFonts w:eastAsia="Times New Roman" w:cstheme="minorHAnsi"/>
                <w:b/>
                <w:lang w:eastAsia="en-AU"/>
              </w:rPr>
            </w:pPr>
            <w:r w:rsidRPr="003C452C">
              <w:rPr>
                <w:rFonts w:eastAsia="Times New Roman" w:cstheme="minorHAnsi"/>
                <w:b/>
                <w:lang w:eastAsia="en-AU"/>
              </w:rPr>
              <w:t>0% to 20%</w:t>
            </w:r>
          </w:p>
        </w:tc>
        <w:tc>
          <w:tcPr>
            <w:tcW w:w="1440"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7B45D5" w:rsidRPr="003C452C" w:rsidRDefault="007B45D5" w:rsidP="007B45D5">
            <w:pPr>
              <w:spacing w:after="0" w:line="240" w:lineRule="auto"/>
              <w:rPr>
                <w:rFonts w:eastAsia="Times New Roman" w:cstheme="minorHAnsi"/>
                <w:b/>
                <w:lang w:eastAsia="en-AU"/>
              </w:rPr>
            </w:pPr>
            <w:r w:rsidRPr="003C452C">
              <w:rPr>
                <w:rFonts w:eastAsia="Times New Roman" w:cstheme="minorHAnsi"/>
                <w:b/>
                <w:lang w:eastAsia="en-AU"/>
              </w:rPr>
              <w:t>20% to 40%</w:t>
            </w:r>
          </w:p>
        </w:tc>
        <w:tc>
          <w:tcPr>
            <w:tcW w:w="1260" w:type="dxa"/>
            <w:tcBorders>
              <w:top w:val="single" w:sz="8" w:space="0" w:color="auto"/>
              <w:left w:val="nil"/>
              <w:bottom w:val="single" w:sz="4" w:space="0" w:color="auto"/>
              <w:right w:val="nil"/>
            </w:tcBorders>
            <w:shd w:val="clear" w:color="auto" w:fill="auto"/>
            <w:vAlign w:val="bottom"/>
            <w:hideMark/>
          </w:tcPr>
          <w:p w:rsidR="007B45D5" w:rsidRPr="003C452C" w:rsidRDefault="007B45D5" w:rsidP="007B45D5">
            <w:pPr>
              <w:spacing w:after="0" w:line="240" w:lineRule="auto"/>
              <w:rPr>
                <w:rFonts w:eastAsia="Times New Roman" w:cstheme="minorHAnsi"/>
                <w:b/>
                <w:lang w:eastAsia="en-AU"/>
              </w:rPr>
            </w:pPr>
            <w:r w:rsidRPr="003C452C">
              <w:rPr>
                <w:rFonts w:eastAsia="Times New Roman" w:cstheme="minorHAnsi"/>
                <w:b/>
                <w:lang w:eastAsia="en-AU"/>
              </w:rPr>
              <w:t>40% to 60%</w:t>
            </w:r>
          </w:p>
        </w:tc>
        <w:tc>
          <w:tcPr>
            <w:tcW w:w="1360"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7B45D5" w:rsidRPr="003C452C" w:rsidRDefault="007B45D5" w:rsidP="007B45D5">
            <w:pPr>
              <w:spacing w:after="0" w:line="240" w:lineRule="auto"/>
              <w:rPr>
                <w:rFonts w:eastAsia="Times New Roman" w:cstheme="minorHAnsi"/>
                <w:b/>
                <w:lang w:eastAsia="en-AU"/>
              </w:rPr>
            </w:pPr>
            <w:r w:rsidRPr="003C452C">
              <w:rPr>
                <w:rFonts w:eastAsia="Times New Roman" w:cstheme="minorHAnsi"/>
                <w:b/>
                <w:lang w:eastAsia="en-AU"/>
              </w:rPr>
              <w:t>60% to 80%</w:t>
            </w:r>
          </w:p>
        </w:tc>
        <w:tc>
          <w:tcPr>
            <w:tcW w:w="1380" w:type="dxa"/>
            <w:tcBorders>
              <w:top w:val="single" w:sz="8" w:space="0" w:color="auto"/>
              <w:left w:val="nil"/>
              <w:bottom w:val="single" w:sz="4" w:space="0" w:color="auto"/>
              <w:right w:val="single" w:sz="8" w:space="0" w:color="auto"/>
            </w:tcBorders>
            <w:shd w:val="clear" w:color="auto" w:fill="auto"/>
            <w:vAlign w:val="bottom"/>
            <w:hideMark/>
          </w:tcPr>
          <w:p w:rsidR="007B45D5" w:rsidRPr="003C452C" w:rsidRDefault="007B45D5" w:rsidP="007B45D5">
            <w:pPr>
              <w:spacing w:after="0" w:line="240" w:lineRule="auto"/>
              <w:rPr>
                <w:rFonts w:eastAsia="Times New Roman" w:cstheme="minorHAnsi"/>
                <w:b/>
                <w:lang w:eastAsia="en-AU"/>
              </w:rPr>
            </w:pPr>
            <w:r w:rsidRPr="003C452C">
              <w:rPr>
                <w:rFonts w:eastAsia="Times New Roman" w:cstheme="minorHAnsi"/>
                <w:b/>
                <w:lang w:eastAsia="en-AU"/>
              </w:rPr>
              <w:t>Over 80%</w:t>
            </w:r>
          </w:p>
        </w:tc>
      </w:tr>
      <w:tr w:rsidR="007B45D5" w:rsidRPr="003C452C" w:rsidTr="003C452C">
        <w:trPr>
          <w:trHeight w:val="270"/>
        </w:trPr>
        <w:tc>
          <w:tcPr>
            <w:tcW w:w="2920" w:type="dxa"/>
            <w:tcBorders>
              <w:top w:val="nil"/>
              <w:left w:val="single" w:sz="8" w:space="0" w:color="auto"/>
              <w:bottom w:val="single" w:sz="4" w:space="0" w:color="auto"/>
              <w:right w:val="single" w:sz="8" w:space="0" w:color="auto"/>
            </w:tcBorders>
            <w:shd w:val="clear" w:color="auto" w:fill="auto"/>
            <w:noWrap/>
            <w:vAlign w:val="bottom"/>
            <w:hideMark/>
          </w:tcPr>
          <w:p w:rsidR="007B45D5" w:rsidRPr="003C452C" w:rsidRDefault="007B45D5" w:rsidP="007B45D5">
            <w:pPr>
              <w:spacing w:after="0" w:line="240" w:lineRule="auto"/>
              <w:rPr>
                <w:rFonts w:eastAsia="Times New Roman" w:cstheme="minorHAnsi"/>
                <w:lang w:eastAsia="en-AU"/>
              </w:rPr>
            </w:pPr>
            <w:r w:rsidRPr="003C452C">
              <w:rPr>
                <w:rFonts w:eastAsia="Times New Roman" w:cstheme="minorHAnsi"/>
                <w:lang w:eastAsia="en-AU"/>
              </w:rPr>
              <w:t>Social and Recreational Life</w:t>
            </w:r>
          </w:p>
        </w:tc>
        <w:tc>
          <w:tcPr>
            <w:tcW w:w="1220" w:type="dxa"/>
            <w:tcBorders>
              <w:top w:val="nil"/>
              <w:left w:val="nil"/>
              <w:bottom w:val="single" w:sz="4" w:space="0" w:color="auto"/>
              <w:right w:val="nil"/>
            </w:tcBorders>
            <w:shd w:val="clear" w:color="auto" w:fill="auto"/>
            <w:noWrap/>
            <w:vAlign w:val="bottom"/>
            <w:hideMark/>
          </w:tcPr>
          <w:p w:rsidR="007B45D5" w:rsidRPr="003C452C" w:rsidRDefault="007B45D5" w:rsidP="007B45D5">
            <w:pPr>
              <w:spacing w:after="0" w:line="240" w:lineRule="auto"/>
              <w:jc w:val="right"/>
              <w:rPr>
                <w:rFonts w:eastAsia="Times New Roman" w:cstheme="minorHAnsi"/>
                <w:lang w:eastAsia="en-AU"/>
              </w:rPr>
            </w:pPr>
            <w:r w:rsidRPr="003C452C">
              <w:rPr>
                <w:rFonts w:eastAsia="Times New Roman" w:cstheme="minorHAnsi"/>
                <w:lang w:eastAsia="en-AU"/>
              </w:rPr>
              <w:t>29.9%</w:t>
            </w: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7B45D5" w:rsidRPr="003C452C" w:rsidRDefault="007B45D5" w:rsidP="007B45D5">
            <w:pPr>
              <w:spacing w:after="0" w:line="240" w:lineRule="auto"/>
              <w:jc w:val="right"/>
              <w:rPr>
                <w:rFonts w:eastAsia="Times New Roman" w:cstheme="minorHAnsi"/>
                <w:lang w:eastAsia="en-AU"/>
              </w:rPr>
            </w:pPr>
            <w:r w:rsidRPr="003C452C">
              <w:rPr>
                <w:rFonts w:eastAsia="Times New Roman" w:cstheme="minorHAnsi"/>
                <w:lang w:eastAsia="en-AU"/>
              </w:rPr>
              <w:t>48.3%</w:t>
            </w:r>
          </w:p>
        </w:tc>
        <w:tc>
          <w:tcPr>
            <w:tcW w:w="1260" w:type="dxa"/>
            <w:tcBorders>
              <w:top w:val="nil"/>
              <w:left w:val="nil"/>
              <w:bottom w:val="single" w:sz="4" w:space="0" w:color="auto"/>
              <w:right w:val="nil"/>
            </w:tcBorders>
            <w:shd w:val="clear" w:color="auto" w:fill="auto"/>
            <w:noWrap/>
            <w:vAlign w:val="bottom"/>
            <w:hideMark/>
          </w:tcPr>
          <w:p w:rsidR="007B45D5" w:rsidRPr="003C452C" w:rsidRDefault="007B45D5" w:rsidP="007B45D5">
            <w:pPr>
              <w:spacing w:after="0" w:line="240" w:lineRule="auto"/>
              <w:jc w:val="right"/>
              <w:rPr>
                <w:rFonts w:eastAsia="Times New Roman" w:cstheme="minorHAnsi"/>
                <w:lang w:eastAsia="en-AU"/>
              </w:rPr>
            </w:pPr>
            <w:r w:rsidRPr="003C452C">
              <w:rPr>
                <w:rFonts w:eastAsia="Times New Roman" w:cstheme="minorHAnsi"/>
                <w:lang w:eastAsia="en-AU"/>
              </w:rPr>
              <w:t>53.1%</w:t>
            </w:r>
          </w:p>
        </w:tc>
        <w:tc>
          <w:tcPr>
            <w:tcW w:w="1360" w:type="dxa"/>
            <w:tcBorders>
              <w:top w:val="nil"/>
              <w:left w:val="single" w:sz="8" w:space="0" w:color="auto"/>
              <w:bottom w:val="single" w:sz="4" w:space="0" w:color="auto"/>
              <w:right w:val="single" w:sz="8" w:space="0" w:color="auto"/>
            </w:tcBorders>
            <w:shd w:val="clear" w:color="auto" w:fill="auto"/>
            <w:noWrap/>
            <w:vAlign w:val="bottom"/>
            <w:hideMark/>
          </w:tcPr>
          <w:p w:rsidR="007B45D5" w:rsidRPr="003C452C" w:rsidRDefault="007B45D5" w:rsidP="007B45D5">
            <w:pPr>
              <w:spacing w:after="0" w:line="240" w:lineRule="auto"/>
              <w:jc w:val="right"/>
              <w:rPr>
                <w:rFonts w:eastAsia="Times New Roman" w:cstheme="minorHAnsi"/>
                <w:lang w:eastAsia="en-AU"/>
              </w:rPr>
            </w:pPr>
            <w:r w:rsidRPr="003C452C">
              <w:rPr>
                <w:rFonts w:eastAsia="Times New Roman" w:cstheme="minorHAnsi"/>
                <w:lang w:eastAsia="en-AU"/>
              </w:rPr>
              <w:t>55.0%</w:t>
            </w:r>
          </w:p>
        </w:tc>
        <w:tc>
          <w:tcPr>
            <w:tcW w:w="1380" w:type="dxa"/>
            <w:tcBorders>
              <w:top w:val="nil"/>
              <w:left w:val="nil"/>
              <w:bottom w:val="single" w:sz="4" w:space="0" w:color="auto"/>
              <w:right w:val="single" w:sz="8" w:space="0" w:color="auto"/>
            </w:tcBorders>
            <w:shd w:val="clear" w:color="auto" w:fill="auto"/>
            <w:noWrap/>
            <w:vAlign w:val="bottom"/>
            <w:hideMark/>
          </w:tcPr>
          <w:p w:rsidR="007B45D5" w:rsidRPr="003C452C" w:rsidRDefault="007B45D5" w:rsidP="007B45D5">
            <w:pPr>
              <w:spacing w:after="0" w:line="240" w:lineRule="auto"/>
              <w:jc w:val="right"/>
              <w:rPr>
                <w:rFonts w:eastAsia="Times New Roman" w:cstheme="minorHAnsi"/>
                <w:lang w:eastAsia="en-AU"/>
              </w:rPr>
            </w:pPr>
            <w:r w:rsidRPr="003C452C">
              <w:rPr>
                <w:rFonts w:eastAsia="Times New Roman" w:cstheme="minorHAnsi"/>
                <w:lang w:eastAsia="en-AU"/>
              </w:rPr>
              <w:t>56.4%</w:t>
            </w:r>
          </w:p>
        </w:tc>
      </w:tr>
      <w:tr w:rsidR="007B45D5" w:rsidRPr="003C452C" w:rsidTr="003C452C">
        <w:trPr>
          <w:trHeight w:val="270"/>
        </w:trPr>
        <w:tc>
          <w:tcPr>
            <w:tcW w:w="2920" w:type="dxa"/>
            <w:tcBorders>
              <w:top w:val="nil"/>
              <w:left w:val="single" w:sz="8" w:space="0" w:color="auto"/>
              <w:bottom w:val="single" w:sz="4" w:space="0" w:color="auto"/>
              <w:right w:val="single" w:sz="8" w:space="0" w:color="auto"/>
            </w:tcBorders>
            <w:shd w:val="clear" w:color="auto" w:fill="auto"/>
            <w:noWrap/>
            <w:vAlign w:val="bottom"/>
            <w:hideMark/>
          </w:tcPr>
          <w:p w:rsidR="007B45D5" w:rsidRPr="003C452C" w:rsidRDefault="007B45D5" w:rsidP="007B45D5">
            <w:pPr>
              <w:spacing w:after="0" w:line="240" w:lineRule="auto"/>
              <w:rPr>
                <w:rFonts w:eastAsia="Times New Roman" w:cstheme="minorHAnsi"/>
                <w:lang w:eastAsia="en-AU"/>
              </w:rPr>
            </w:pPr>
            <w:r w:rsidRPr="003C452C">
              <w:rPr>
                <w:rFonts w:eastAsia="Times New Roman" w:cstheme="minorHAnsi"/>
                <w:lang w:eastAsia="en-AU"/>
              </w:rPr>
              <w:t>Family and friends</w:t>
            </w:r>
          </w:p>
        </w:tc>
        <w:tc>
          <w:tcPr>
            <w:tcW w:w="1220" w:type="dxa"/>
            <w:tcBorders>
              <w:top w:val="nil"/>
              <w:left w:val="nil"/>
              <w:bottom w:val="single" w:sz="4" w:space="0" w:color="auto"/>
              <w:right w:val="nil"/>
            </w:tcBorders>
            <w:shd w:val="clear" w:color="auto" w:fill="auto"/>
            <w:noWrap/>
            <w:vAlign w:val="bottom"/>
            <w:hideMark/>
          </w:tcPr>
          <w:p w:rsidR="007B45D5" w:rsidRPr="003C452C" w:rsidRDefault="007B45D5" w:rsidP="007B45D5">
            <w:pPr>
              <w:spacing w:after="0" w:line="240" w:lineRule="auto"/>
              <w:jc w:val="right"/>
              <w:rPr>
                <w:rFonts w:eastAsia="Times New Roman" w:cstheme="minorHAnsi"/>
                <w:lang w:eastAsia="en-AU"/>
              </w:rPr>
            </w:pPr>
            <w:r w:rsidRPr="003C452C">
              <w:rPr>
                <w:rFonts w:eastAsia="Times New Roman" w:cstheme="minorHAnsi"/>
                <w:lang w:eastAsia="en-AU"/>
              </w:rPr>
              <w:t>33.4%</w:t>
            </w: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7B45D5" w:rsidRPr="003C452C" w:rsidRDefault="007B45D5" w:rsidP="007B45D5">
            <w:pPr>
              <w:spacing w:after="0" w:line="240" w:lineRule="auto"/>
              <w:jc w:val="right"/>
              <w:rPr>
                <w:rFonts w:eastAsia="Times New Roman" w:cstheme="minorHAnsi"/>
                <w:lang w:eastAsia="en-AU"/>
              </w:rPr>
            </w:pPr>
            <w:r w:rsidRPr="003C452C">
              <w:rPr>
                <w:rFonts w:eastAsia="Times New Roman" w:cstheme="minorHAnsi"/>
                <w:lang w:eastAsia="en-AU"/>
              </w:rPr>
              <w:t>54.4%</w:t>
            </w:r>
          </w:p>
        </w:tc>
        <w:tc>
          <w:tcPr>
            <w:tcW w:w="1260" w:type="dxa"/>
            <w:tcBorders>
              <w:top w:val="nil"/>
              <w:left w:val="nil"/>
              <w:bottom w:val="single" w:sz="4" w:space="0" w:color="auto"/>
              <w:right w:val="nil"/>
            </w:tcBorders>
            <w:shd w:val="clear" w:color="auto" w:fill="auto"/>
            <w:noWrap/>
            <w:vAlign w:val="bottom"/>
            <w:hideMark/>
          </w:tcPr>
          <w:p w:rsidR="007B45D5" w:rsidRPr="003C452C" w:rsidRDefault="007B45D5" w:rsidP="007B45D5">
            <w:pPr>
              <w:spacing w:after="0" w:line="240" w:lineRule="auto"/>
              <w:jc w:val="right"/>
              <w:rPr>
                <w:rFonts w:eastAsia="Times New Roman" w:cstheme="minorHAnsi"/>
                <w:lang w:eastAsia="en-AU"/>
              </w:rPr>
            </w:pPr>
            <w:r w:rsidRPr="003C452C">
              <w:rPr>
                <w:rFonts w:eastAsia="Times New Roman" w:cstheme="minorHAnsi"/>
                <w:lang w:eastAsia="en-AU"/>
              </w:rPr>
              <w:t>59.6%</w:t>
            </w:r>
          </w:p>
        </w:tc>
        <w:tc>
          <w:tcPr>
            <w:tcW w:w="1360" w:type="dxa"/>
            <w:tcBorders>
              <w:top w:val="nil"/>
              <w:left w:val="single" w:sz="8" w:space="0" w:color="auto"/>
              <w:bottom w:val="single" w:sz="4" w:space="0" w:color="auto"/>
              <w:right w:val="single" w:sz="8" w:space="0" w:color="auto"/>
            </w:tcBorders>
            <w:shd w:val="clear" w:color="auto" w:fill="auto"/>
            <w:noWrap/>
            <w:vAlign w:val="bottom"/>
            <w:hideMark/>
          </w:tcPr>
          <w:p w:rsidR="007B45D5" w:rsidRPr="003C452C" w:rsidRDefault="007B45D5" w:rsidP="007B45D5">
            <w:pPr>
              <w:spacing w:after="0" w:line="240" w:lineRule="auto"/>
              <w:jc w:val="right"/>
              <w:rPr>
                <w:rFonts w:eastAsia="Times New Roman" w:cstheme="minorHAnsi"/>
                <w:lang w:eastAsia="en-AU"/>
              </w:rPr>
            </w:pPr>
            <w:r w:rsidRPr="003C452C">
              <w:rPr>
                <w:rFonts w:eastAsia="Times New Roman" w:cstheme="minorHAnsi"/>
                <w:lang w:eastAsia="en-AU"/>
              </w:rPr>
              <w:t>62.1%</w:t>
            </w:r>
          </w:p>
        </w:tc>
        <w:tc>
          <w:tcPr>
            <w:tcW w:w="1380" w:type="dxa"/>
            <w:tcBorders>
              <w:top w:val="nil"/>
              <w:left w:val="nil"/>
              <w:bottom w:val="single" w:sz="4" w:space="0" w:color="auto"/>
              <w:right w:val="single" w:sz="8" w:space="0" w:color="auto"/>
            </w:tcBorders>
            <w:shd w:val="clear" w:color="auto" w:fill="auto"/>
            <w:noWrap/>
            <w:vAlign w:val="bottom"/>
            <w:hideMark/>
          </w:tcPr>
          <w:p w:rsidR="007B45D5" w:rsidRPr="003C452C" w:rsidRDefault="007B45D5" w:rsidP="007B45D5">
            <w:pPr>
              <w:spacing w:after="0" w:line="240" w:lineRule="auto"/>
              <w:jc w:val="right"/>
              <w:rPr>
                <w:rFonts w:eastAsia="Times New Roman" w:cstheme="minorHAnsi"/>
                <w:lang w:eastAsia="en-AU"/>
              </w:rPr>
            </w:pPr>
            <w:r w:rsidRPr="003C452C">
              <w:rPr>
                <w:rFonts w:eastAsia="Times New Roman" w:cstheme="minorHAnsi"/>
                <w:lang w:eastAsia="en-AU"/>
              </w:rPr>
              <w:t>62.7%</w:t>
            </w:r>
          </w:p>
        </w:tc>
      </w:tr>
      <w:tr w:rsidR="007B45D5" w:rsidRPr="003C452C" w:rsidTr="003C452C">
        <w:trPr>
          <w:trHeight w:val="270"/>
        </w:trPr>
        <w:tc>
          <w:tcPr>
            <w:tcW w:w="2920" w:type="dxa"/>
            <w:tcBorders>
              <w:top w:val="nil"/>
              <w:left w:val="single" w:sz="8" w:space="0" w:color="auto"/>
              <w:bottom w:val="single" w:sz="4" w:space="0" w:color="auto"/>
              <w:right w:val="single" w:sz="8" w:space="0" w:color="auto"/>
            </w:tcBorders>
            <w:shd w:val="clear" w:color="auto" w:fill="auto"/>
            <w:noWrap/>
            <w:vAlign w:val="bottom"/>
            <w:hideMark/>
          </w:tcPr>
          <w:p w:rsidR="007B45D5" w:rsidRPr="003C452C" w:rsidRDefault="007B45D5" w:rsidP="007B45D5">
            <w:pPr>
              <w:spacing w:after="0" w:line="240" w:lineRule="auto"/>
              <w:rPr>
                <w:rFonts w:eastAsia="Times New Roman" w:cstheme="minorHAnsi"/>
                <w:lang w:eastAsia="en-AU"/>
              </w:rPr>
            </w:pPr>
            <w:r w:rsidRPr="003C452C">
              <w:rPr>
                <w:rFonts w:eastAsia="Times New Roman" w:cstheme="minorHAnsi"/>
                <w:lang w:eastAsia="en-AU"/>
              </w:rPr>
              <w:t>Access to education</w:t>
            </w:r>
          </w:p>
        </w:tc>
        <w:tc>
          <w:tcPr>
            <w:tcW w:w="1220" w:type="dxa"/>
            <w:tcBorders>
              <w:top w:val="nil"/>
              <w:left w:val="nil"/>
              <w:bottom w:val="single" w:sz="4" w:space="0" w:color="auto"/>
              <w:right w:val="nil"/>
            </w:tcBorders>
            <w:shd w:val="clear" w:color="auto" w:fill="auto"/>
            <w:noWrap/>
            <w:vAlign w:val="bottom"/>
            <w:hideMark/>
          </w:tcPr>
          <w:p w:rsidR="007B45D5" w:rsidRPr="003C452C" w:rsidRDefault="007B45D5" w:rsidP="007B45D5">
            <w:pPr>
              <w:spacing w:after="0" w:line="240" w:lineRule="auto"/>
              <w:jc w:val="right"/>
              <w:rPr>
                <w:rFonts w:eastAsia="Times New Roman" w:cstheme="minorHAnsi"/>
                <w:lang w:eastAsia="en-AU"/>
              </w:rPr>
            </w:pPr>
            <w:r w:rsidRPr="003C452C">
              <w:rPr>
                <w:rFonts w:eastAsia="Times New Roman" w:cstheme="minorHAnsi"/>
                <w:lang w:eastAsia="en-AU"/>
              </w:rPr>
              <w:t>28.3%</w:t>
            </w: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7B45D5" w:rsidRPr="003C452C" w:rsidRDefault="007B45D5" w:rsidP="007B45D5">
            <w:pPr>
              <w:spacing w:after="0" w:line="240" w:lineRule="auto"/>
              <w:jc w:val="right"/>
              <w:rPr>
                <w:rFonts w:eastAsia="Times New Roman" w:cstheme="minorHAnsi"/>
                <w:lang w:eastAsia="en-AU"/>
              </w:rPr>
            </w:pPr>
            <w:r w:rsidRPr="003C452C">
              <w:rPr>
                <w:rFonts w:eastAsia="Times New Roman" w:cstheme="minorHAnsi"/>
                <w:lang w:eastAsia="en-AU"/>
              </w:rPr>
              <w:t>43.7%</w:t>
            </w:r>
          </w:p>
        </w:tc>
        <w:tc>
          <w:tcPr>
            <w:tcW w:w="1260" w:type="dxa"/>
            <w:tcBorders>
              <w:top w:val="nil"/>
              <w:left w:val="nil"/>
              <w:bottom w:val="single" w:sz="4" w:space="0" w:color="auto"/>
              <w:right w:val="nil"/>
            </w:tcBorders>
            <w:shd w:val="clear" w:color="auto" w:fill="auto"/>
            <w:noWrap/>
            <w:vAlign w:val="bottom"/>
            <w:hideMark/>
          </w:tcPr>
          <w:p w:rsidR="007B45D5" w:rsidRPr="003C452C" w:rsidRDefault="007B45D5" w:rsidP="007B45D5">
            <w:pPr>
              <w:spacing w:after="0" w:line="240" w:lineRule="auto"/>
              <w:jc w:val="right"/>
              <w:rPr>
                <w:rFonts w:eastAsia="Times New Roman" w:cstheme="minorHAnsi"/>
                <w:lang w:eastAsia="en-AU"/>
              </w:rPr>
            </w:pPr>
            <w:r w:rsidRPr="003C452C">
              <w:rPr>
                <w:rFonts w:eastAsia="Times New Roman" w:cstheme="minorHAnsi"/>
                <w:lang w:eastAsia="en-AU"/>
              </w:rPr>
              <w:t>48.0%</w:t>
            </w:r>
          </w:p>
        </w:tc>
        <w:tc>
          <w:tcPr>
            <w:tcW w:w="1360" w:type="dxa"/>
            <w:tcBorders>
              <w:top w:val="nil"/>
              <w:left w:val="single" w:sz="8" w:space="0" w:color="auto"/>
              <w:bottom w:val="single" w:sz="4" w:space="0" w:color="auto"/>
              <w:right w:val="single" w:sz="8" w:space="0" w:color="auto"/>
            </w:tcBorders>
            <w:shd w:val="clear" w:color="auto" w:fill="auto"/>
            <w:noWrap/>
            <w:vAlign w:val="bottom"/>
            <w:hideMark/>
          </w:tcPr>
          <w:p w:rsidR="007B45D5" w:rsidRPr="003C452C" w:rsidRDefault="007B45D5" w:rsidP="007B45D5">
            <w:pPr>
              <w:spacing w:after="0" w:line="240" w:lineRule="auto"/>
              <w:jc w:val="right"/>
              <w:rPr>
                <w:rFonts w:eastAsia="Times New Roman" w:cstheme="minorHAnsi"/>
                <w:lang w:eastAsia="en-AU"/>
              </w:rPr>
            </w:pPr>
            <w:r w:rsidRPr="003C452C">
              <w:rPr>
                <w:rFonts w:eastAsia="Times New Roman" w:cstheme="minorHAnsi"/>
                <w:lang w:eastAsia="en-AU"/>
              </w:rPr>
              <w:t>51.3%</w:t>
            </w:r>
          </w:p>
        </w:tc>
        <w:tc>
          <w:tcPr>
            <w:tcW w:w="1380" w:type="dxa"/>
            <w:tcBorders>
              <w:top w:val="nil"/>
              <w:left w:val="nil"/>
              <w:bottom w:val="single" w:sz="4" w:space="0" w:color="auto"/>
              <w:right w:val="single" w:sz="8" w:space="0" w:color="auto"/>
            </w:tcBorders>
            <w:shd w:val="clear" w:color="auto" w:fill="auto"/>
            <w:noWrap/>
            <w:vAlign w:val="bottom"/>
            <w:hideMark/>
          </w:tcPr>
          <w:p w:rsidR="007B45D5" w:rsidRPr="003C452C" w:rsidRDefault="007B45D5" w:rsidP="007B45D5">
            <w:pPr>
              <w:spacing w:after="0" w:line="240" w:lineRule="auto"/>
              <w:jc w:val="right"/>
              <w:rPr>
                <w:rFonts w:eastAsia="Times New Roman" w:cstheme="minorHAnsi"/>
                <w:lang w:eastAsia="en-AU"/>
              </w:rPr>
            </w:pPr>
            <w:r w:rsidRPr="003C452C">
              <w:rPr>
                <w:rFonts w:eastAsia="Times New Roman" w:cstheme="minorHAnsi"/>
                <w:lang w:eastAsia="en-AU"/>
              </w:rPr>
              <w:t>51.9%</w:t>
            </w:r>
          </w:p>
        </w:tc>
      </w:tr>
      <w:tr w:rsidR="007B45D5" w:rsidRPr="003C452C" w:rsidTr="003C452C">
        <w:trPr>
          <w:trHeight w:val="278"/>
        </w:trPr>
        <w:tc>
          <w:tcPr>
            <w:tcW w:w="2920" w:type="dxa"/>
            <w:tcBorders>
              <w:top w:val="nil"/>
              <w:left w:val="single" w:sz="8" w:space="0" w:color="auto"/>
              <w:bottom w:val="single" w:sz="8" w:space="0" w:color="auto"/>
              <w:right w:val="single" w:sz="8" w:space="0" w:color="auto"/>
            </w:tcBorders>
            <w:shd w:val="clear" w:color="auto" w:fill="auto"/>
            <w:noWrap/>
            <w:vAlign w:val="bottom"/>
            <w:hideMark/>
          </w:tcPr>
          <w:p w:rsidR="007B45D5" w:rsidRPr="003C452C" w:rsidRDefault="007B45D5" w:rsidP="007B45D5">
            <w:pPr>
              <w:spacing w:after="0" w:line="240" w:lineRule="auto"/>
              <w:rPr>
                <w:rFonts w:eastAsia="Times New Roman" w:cstheme="minorHAnsi"/>
                <w:lang w:eastAsia="en-AU"/>
              </w:rPr>
            </w:pPr>
            <w:r w:rsidRPr="003C452C">
              <w:rPr>
                <w:rFonts w:eastAsia="Times New Roman" w:cstheme="minorHAnsi"/>
                <w:lang w:eastAsia="en-AU"/>
              </w:rPr>
              <w:t>Child's Independence</w:t>
            </w:r>
          </w:p>
        </w:tc>
        <w:tc>
          <w:tcPr>
            <w:tcW w:w="1220" w:type="dxa"/>
            <w:tcBorders>
              <w:top w:val="nil"/>
              <w:left w:val="nil"/>
              <w:bottom w:val="single" w:sz="8" w:space="0" w:color="auto"/>
              <w:right w:val="nil"/>
            </w:tcBorders>
            <w:shd w:val="clear" w:color="auto" w:fill="auto"/>
            <w:noWrap/>
            <w:vAlign w:val="bottom"/>
            <w:hideMark/>
          </w:tcPr>
          <w:p w:rsidR="007B45D5" w:rsidRPr="003C452C" w:rsidRDefault="007B45D5" w:rsidP="007B45D5">
            <w:pPr>
              <w:spacing w:after="0" w:line="240" w:lineRule="auto"/>
              <w:jc w:val="right"/>
              <w:rPr>
                <w:rFonts w:eastAsia="Times New Roman" w:cstheme="minorHAnsi"/>
                <w:lang w:eastAsia="en-AU"/>
              </w:rPr>
            </w:pPr>
            <w:r w:rsidRPr="003C452C">
              <w:rPr>
                <w:rFonts w:eastAsia="Times New Roman" w:cstheme="minorHAnsi"/>
                <w:lang w:eastAsia="en-AU"/>
              </w:rPr>
              <w:t>42.1%</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rsidR="007B45D5" w:rsidRPr="003C452C" w:rsidRDefault="007B45D5" w:rsidP="007B45D5">
            <w:pPr>
              <w:spacing w:after="0" w:line="240" w:lineRule="auto"/>
              <w:jc w:val="right"/>
              <w:rPr>
                <w:rFonts w:eastAsia="Times New Roman" w:cstheme="minorHAnsi"/>
                <w:lang w:eastAsia="en-AU"/>
              </w:rPr>
            </w:pPr>
            <w:r w:rsidRPr="003C452C">
              <w:rPr>
                <w:rFonts w:eastAsia="Times New Roman" w:cstheme="minorHAnsi"/>
                <w:lang w:eastAsia="en-AU"/>
              </w:rPr>
              <w:t>66.9%</w:t>
            </w:r>
          </w:p>
        </w:tc>
        <w:tc>
          <w:tcPr>
            <w:tcW w:w="1260" w:type="dxa"/>
            <w:tcBorders>
              <w:top w:val="nil"/>
              <w:left w:val="nil"/>
              <w:bottom w:val="single" w:sz="8" w:space="0" w:color="auto"/>
              <w:right w:val="nil"/>
            </w:tcBorders>
            <w:shd w:val="clear" w:color="auto" w:fill="auto"/>
            <w:noWrap/>
            <w:vAlign w:val="bottom"/>
            <w:hideMark/>
          </w:tcPr>
          <w:p w:rsidR="007B45D5" w:rsidRPr="003C452C" w:rsidRDefault="007B45D5" w:rsidP="007B45D5">
            <w:pPr>
              <w:spacing w:after="0" w:line="240" w:lineRule="auto"/>
              <w:jc w:val="right"/>
              <w:rPr>
                <w:rFonts w:eastAsia="Times New Roman" w:cstheme="minorHAnsi"/>
                <w:lang w:eastAsia="en-AU"/>
              </w:rPr>
            </w:pPr>
            <w:r w:rsidRPr="003C452C">
              <w:rPr>
                <w:rFonts w:eastAsia="Times New Roman" w:cstheme="minorHAnsi"/>
                <w:lang w:eastAsia="en-AU"/>
              </w:rPr>
              <w:t>72.9%</w:t>
            </w:r>
          </w:p>
        </w:tc>
        <w:tc>
          <w:tcPr>
            <w:tcW w:w="1360" w:type="dxa"/>
            <w:tcBorders>
              <w:top w:val="nil"/>
              <w:left w:val="single" w:sz="8" w:space="0" w:color="auto"/>
              <w:bottom w:val="single" w:sz="8" w:space="0" w:color="auto"/>
              <w:right w:val="single" w:sz="8" w:space="0" w:color="auto"/>
            </w:tcBorders>
            <w:shd w:val="clear" w:color="auto" w:fill="auto"/>
            <w:noWrap/>
            <w:vAlign w:val="bottom"/>
            <w:hideMark/>
          </w:tcPr>
          <w:p w:rsidR="007B45D5" w:rsidRPr="003C452C" w:rsidRDefault="007B45D5" w:rsidP="007B45D5">
            <w:pPr>
              <w:spacing w:after="0" w:line="240" w:lineRule="auto"/>
              <w:jc w:val="right"/>
              <w:rPr>
                <w:rFonts w:eastAsia="Times New Roman" w:cstheme="minorHAnsi"/>
                <w:lang w:eastAsia="en-AU"/>
              </w:rPr>
            </w:pPr>
            <w:r w:rsidRPr="003C452C">
              <w:rPr>
                <w:rFonts w:eastAsia="Times New Roman" w:cstheme="minorHAnsi"/>
                <w:lang w:eastAsia="en-AU"/>
              </w:rPr>
              <w:t>75.3%</w:t>
            </w:r>
          </w:p>
        </w:tc>
        <w:tc>
          <w:tcPr>
            <w:tcW w:w="1380" w:type="dxa"/>
            <w:tcBorders>
              <w:top w:val="nil"/>
              <w:left w:val="nil"/>
              <w:bottom w:val="single" w:sz="8" w:space="0" w:color="auto"/>
              <w:right w:val="single" w:sz="8" w:space="0" w:color="auto"/>
            </w:tcBorders>
            <w:shd w:val="clear" w:color="auto" w:fill="auto"/>
            <w:noWrap/>
            <w:vAlign w:val="bottom"/>
            <w:hideMark/>
          </w:tcPr>
          <w:p w:rsidR="007B45D5" w:rsidRPr="003C452C" w:rsidRDefault="007B45D5" w:rsidP="007B45D5">
            <w:pPr>
              <w:spacing w:after="0" w:line="240" w:lineRule="auto"/>
              <w:jc w:val="right"/>
              <w:rPr>
                <w:rFonts w:eastAsia="Times New Roman" w:cstheme="minorHAnsi"/>
                <w:lang w:eastAsia="en-AU"/>
              </w:rPr>
            </w:pPr>
            <w:r w:rsidRPr="003C452C">
              <w:rPr>
                <w:rFonts w:eastAsia="Times New Roman" w:cstheme="minorHAnsi"/>
                <w:lang w:eastAsia="en-AU"/>
              </w:rPr>
              <w:t>76.2%</w:t>
            </w:r>
          </w:p>
        </w:tc>
      </w:tr>
    </w:tbl>
    <w:p w:rsidR="003C452C" w:rsidRDefault="003C452C" w:rsidP="003C452C"/>
    <w:p w:rsidR="00C73B37" w:rsidRDefault="00C73B37" w:rsidP="00C73B37">
      <w:pPr>
        <w:pStyle w:val="Heading2"/>
      </w:pPr>
      <w:bookmarkStart w:id="87" w:name="_Toc121151459"/>
      <w:r>
        <w:lastRenderedPageBreak/>
        <w:t>Slide 77: Participants aged 15 to 24</w:t>
      </w:r>
      <w:bookmarkEnd w:id="87"/>
    </w:p>
    <w:p w:rsidR="00C73B37" w:rsidRDefault="00C73B37" w:rsidP="004168FC">
      <w:pPr>
        <w:pStyle w:val="Heading5"/>
      </w:pPr>
      <w:r>
        <w:t>Has the NDIS helped?</w:t>
      </w:r>
    </w:p>
    <w:p w:rsidR="00C73B37" w:rsidRPr="004168FC" w:rsidRDefault="00C73B37" w:rsidP="004168FC">
      <w:pPr>
        <w:pStyle w:val="Heading5"/>
        <w:rPr>
          <w:i/>
        </w:rPr>
      </w:pPr>
      <w:r w:rsidRPr="004168FC">
        <w:rPr>
          <w:i/>
        </w:rPr>
        <w:t>Percentage of positive responses</w:t>
      </w:r>
    </w:p>
    <w:p w:rsidR="001D3639" w:rsidRDefault="001D3639" w:rsidP="001D3639">
      <w:r>
        <w:t>Opinions on whether the NDIS has helped vary considerably by domain for the young adult cohort. The percentage who say the NDI</w:t>
      </w:r>
      <w:r w:rsidR="006C2035">
        <w:t>S has helped is lowest for work (</w:t>
      </w:r>
      <w:r w:rsidR="0080201D">
        <w:t>Footnote 1</w:t>
      </w:r>
      <w:r w:rsidR="006C2035">
        <w:t>)</w:t>
      </w:r>
      <w:r>
        <w:t xml:space="preserve"> (18.7% after </w:t>
      </w:r>
      <w:r w:rsidR="005A7C7C">
        <w:t>One year in the Scheme</w:t>
      </w:r>
      <w:r>
        <w:t>, decreasing to 15.0% at five years), and highest for daily living (61.4% after one year, increasing to 75.1% after five years).</w:t>
      </w:r>
    </w:p>
    <w:p w:rsidR="001D3639" w:rsidRDefault="001D3639" w:rsidP="001D3639">
      <w:r>
        <w:t>The percentage who think that the NDIS has helped increased between first and fifth review across all domains except home, lifelong learning, and work. Improvements are the greatest between review 1 and review 2 for all five domains that saw improvement over five reviews, namely choice and control (4.7 percentage-point improvement), daily living (+6.2 percentage points), relationships (+3.0 percentage points), health and wellbeing (+2.3 percentage points) and social, community and civic participation (+4.1 percentage points).</w:t>
      </w:r>
    </w:p>
    <w:tbl>
      <w:tblPr>
        <w:tblW w:w="10120" w:type="dxa"/>
        <w:tblLook w:val="04A0" w:firstRow="1" w:lastRow="0" w:firstColumn="1" w:lastColumn="0" w:noHBand="0" w:noVBand="1"/>
      </w:tblPr>
      <w:tblGrid>
        <w:gridCol w:w="3860"/>
        <w:gridCol w:w="1200"/>
        <w:gridCol w:w="1280"/>
        <w:gridCol w:w="1260"/>
        <w:gridCol w:w="1300"/>
        <w:gridCol w:w="1220"/>
      </w:tblGrid>
      <w:tr w:rsidR="007B45D5" w:rsidRPr="001D3639" w:rsidTr="001D3639">
        <w:trPr>
          <w:trHeight w:val="518"/>
        </w:trPr>
        <w:tc>
          <w:tcPr>
            <w:tcW w:w="38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B45D5" w:rsidRPr="002F661A" w:rsidRDefault="007B45D5" w:rsidP="007B45D5">
            <w:pPr>
              <w:spacing w:after="0" w:line="240" w:lineRule="auto"/>
              <w:rPr>
                <w:rFonts w:eastAsia="Times New Roman" w:cstheme="minorHAnsi"/>
                <w:b/>
                <w:lang w:eastAsia="en-AU"/>
              </w:rPr>
            </w:pPr>
            <w:r>
              <w:rPr>
                <w:rFonts w:eastAsia="Times New Roman" w:cstheme="minorHAnsi"/>
                <w:b/>
                <w:lang w:eastAsia="en-AU"/>
              </w:rPr>
              <w:t>Domain</w:t>
            </w:r>
          </w:p>
        </w:tc>
        <w:tc>
          <w:tcPr>
            <w:tcW w:w="1200" w:type="dxa"/>
            <w:tcBorders>
              <w:top w:val="single" w:sz="8" w:space="0" w:color="auto"/>
              <w:left w:val="nil"/>
              <w:bottom w:val="single" w:sz="8" w:space="0" w:color="auto"/>
              <w:right w:val="nil"/>
            </w:tcBorders>
            <w:shd w:val="clear" w:color="auto" w:fill="auto"/>
            <w:vAlign w:val="bottom"/>
            <w:hideMark/>
          </w:tcPr>
          <w:p w:rsidR="007B45D5" w:rsidRPr="001D3639" w:rsidRDefault="007B45D5" w:rsidP="007B45D5">
            <w:pPr>
              <w:spacing w:after="0" w:line="240" w:lineRule="auto"/>
              <w:jc w:val="center"/>
              <w:rPr>
                <w:rFonts w:eastAsia="Times New Roman" w:cstheme="minorHAnsi"/>
                <w:b/>
                <w:color w:val="000000"/>
                <w:lang w:eastAsia="en-AU"/>
              </w:rPr>
            </w:pPr>
            <w:r w:rsidRPr="001D3639">
              <w:rPr>
                <w:rFonts w:eastAsia="Times New Roman" w:cstheme="minorHAnsi"/>
                <w:b/>
                <w:color w:val="000000"/>
                <w:lang w:eastAsia="en-AU"/>
              </w:rPr>
              <w:t>Review 1 (n=41368)</w:t>
            </w:r>
          </w:p>
        </w:tc>
        <w:tc>
          <w:tcPr>
            <w:tcW w:w="128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B45D5" w:rsidRPr="001D3639" w:rsidRDefault="007B45D5" w:rsidP="007B45D5">
            <w:pPr>
              <w:spacing w:after="0" w:line="240" w:lineRule="auto"/>
              <w:jc w:val="center"/>
              <w:rPr>
                <w:rFonts w:eastAsia="Times New Roman" w:cstheme="minorHAnsi"/>
                <w:b/>
                <w:color w:val="000000"/>
                <w:lang w:eastAsia="en-AU"/>
              </w:rPr>
            </w:pPr>
            <w:r w:rsidRPr="001D3639">
              <w:rPr>
                <w:rFonts w:eastAsia="Times New Roman" w:cstheme="minorHAnsi"/>
                <w:b/>
                <w:color w:val="000000"/>
                <w:lang w:eastAsia="en-AU"/>
              </w:rPr>
              <w:t>Review 2 (n=29862)</w:t>
            </w:r>
          </w:p>
        </w:tc>
        <w:tc>
          <w:tcPr>
            <w:tcW w:w="1260" w:type="dxa"/>
            <w:tcBorders>
              <w:top w:val="single" w:sz="8" w:space="0" w:color="auto"/>
              <w:left w:val="nil"/>
              <w:bottom w:val="single" w:sz="8" w:space="0" w:color="auto"/>
              <w:right w:val="nil"/>
            </w:tcBorders>
            <w:shd w:val="clear" w:color="auto" w:fill="auto"/>
            <w:vAlign w:val="bottom"/>
            <w:hideMark/>
          </w:tcPr>
          <w:p w:rsidR="007B45D5" w:rsidRPr="001D3639" w:rsidRDefault="007B45D5" w:rsidP="007B45D5">
            <w:pPr>
              <w:spacing w:after="0" w:line="240" w:lineRule="auto"/>
              <w:jc w:val="center"/>
              <w:rPr>
                <w:rFonts w:eastAsia="Times New Roman" w:cstheme="minorHAnsi"/>
                <w:b/>
                <w:color w:val="000000"/>
                <w:lang w:eastAsia="en-AU"/>
              </w:rPr>
            </w:pPr>
            <w:r w:rsidRPr="001D3639">
              <w:rPr>
                <w:rFonts w:eastAsia="Times New Roman" w:cstheme="minorHAnsi"/>
                <w:b/>
                <w:color w:val="000000"/>
                <w:lang w:eastAsia="en-AU"/>
              </w:rPr>
              <w:t>Review 3 (n=19878)</w:t>
            </w:r>
          </w:p>
        </w:tc>
        <w:tc>
          <w:tcPr>
            <w:tcW w:w="13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B45D5" w:rsidRPr="001D3639" w:rsidRDefault="007B45D5" w:rsidP="007B45D5">
            <w:pPr>
              <w:spacing w:after="0" w:line="240" w:lineRule="auto"/>
              <w:jc w:val="center"/>
              <w:rPr>
                <w:rFonts w:eastAsia="Times New Roman" w:cstheme="minorHAnsi"/>
                <w:b/>
                <w:color w:val="000000"/>
                <w:lang w:eastAsia="en-AU"/>
              </w:rPr>
            </w:pPr>
            <w:r w:rsidRPr="001D3639">
              <w:rPr>
                <w:rFonts w:eastAsia="Times New Roman" w:cstheme="minorHAnsi"/>
                <w:b/>
                <w:color w:val="000000"/>
                <w:lang w:eastAsia="en-AU"/>
              </w:rPr>
              <w:t>Review 4 (n=11254)</w:t>
            </w:r>
          </w:p>
        </w:tc>
        <w:tc>
          <w:tcPr>
            <w:tcW w:w="1220" w:type="dxa"/>
            <w:tcBorders>
              <w:top w:val="single" w:sz="8" w:space="0" w:color="auto"/>
              <w:left w:val="nil"/>
              <w:bottom w:val="single" w:sz="8" w:space="0" w:color="auto"/>
              <w:right w:val="single" w:sz="8" w:space="0" w:color="auto"/>
            </w:tcBorders>
            <w:shd w:val="clear" w:color="auto" w:fill="auto"/>
            <w:vAlign w:val="bottom"/>
            <w:hideMark/>
          </w:tcPr>
          <w:p w:rsidR="007B45D5" w:rsidRPr="001D3639" w:rsidRDefault="007B45D5" w:rsidP="007B45D5">
            <w:pPr>
              <w:spacing w:after="0" w:line="240" w:lineRule="auto"/>
              <w:jc w:val="center"/>
              <w:rPr>
                <w:rFonts w:eastAsia="Times New Roman" w:cstheme="minorHAnsi"/>
                <w:b/>
                <w:color w:val="000000"/>
                <w:lang w:eastAsia="en-AU"/>
              </w:rPr>
            </w:pPr>
            <w:r w:rsidRPr="001D3639">
              <w:rPr>
                <w:rFonts w:eastAsia="Times New Roman" w:cstheme="minorHAnsi"/>
                <w:b/>
                <w:color w:val="000000"/>
                <w:lang w:eastAsia="en-AU"/>
              </w:rPr>
              <w:t>Review 5 (n=4824)</w:t>
            </w:r>
          </w:p>
        </w:tc>
      </w:tr>
      <w:tr w:rsidR="007B45D5" w:rsidRPr="001D3639" w:rsidTr="001D3639">
        <w:trPr>
          <w:trHeight w:val="270"/>
        </w:trPr>
        <w:tc>
          <w:tcPr>
            <w:tcW w:w="3860" w:type="dxa"/>
            <w:tcBorders>
              <w:top w:val="nil"/>
              <w:left w:val="single" w:sz="8" w:space="0" w:color="auto"/>
              <w:bottom w:val="single" w:sz="4" w:space="0" w:color="auto"/>
              <w:right w:val="single" w:sz="8" w:space="0" w:color="auto"/>
            </w:tcBorders>
            <w:shd w:val="clear" w:color="auto" w:fill="auto"/>
            <w:noWrap/>
            <w:vAlign w:val="bottom"/>
            <w:hideMark/>
          </w:tcPr>
          <w:p w:rsidR="007B45D5" w:rsidRPr="001D3639" w:rsidRDefault="007B45D5" w:rsidP="007B45D5">
            <w:pPr>
              <w:spacing w:after="0" w:line="240" w:lineRule="auto"/>
              <w:rPr>
                <w:rFonts w:eastAsia="Times New Roman" w:cstheme="minorHAnsi"/>
                <w:color w:val="000000"/>
                <w:lang w:eastAsia="en-AU"/>
              </w:rPr>
            </w:pPr>
            <w:r w:rsidRPr="001D3639">
              <w:rPr>
                <w:rFonts w:eastAsia="Times New Roman" w:cstheme="minorHAnsi"/>
                <w:color w:val="000000"/>
                <w:lang w:eastAsia="en-AU"/>
              </w:rPr>
              <w:t>Social, Community and Civic Participation</w:t>
            </w:r>
          </w:p>
        </w:tc>
        <w:tc>
          <w:tcPr>
            <w:tcW w:w="1200" w:type="dxa"/>
            <w:tcBorders>
              <w:top w:val="nil"/>
              <w:left w:val="nil"/>
              <w:bottom w:val="single" w:sz="4" w:space="0" w:color="auto"/>
              <w:right w:val="nil"/>
            </w:tcBorders>
            <w:shd w:val="clear" w:color="auto" w:fill="auto"/>
            <w:noWrap/>
            <w:vAlign w:val="bottom"/>
            <w:hideMark/>
          </w:tcPr>
          <w:p w:rsidR="007B45D5" w:rsidRPr="001D3639" w:rsidRDefault="007B45D5" w:rsidP="007B45D5">
            <w:pPr>
              <w:spacing w:after="0" w:line="240" w:lineRule="auto"/>
              <w:jc w:val="center"/>
              <w:rPr>
                <w:rFonts w:eastAsia="Times New Roman" w:cstheme="minorHAnsi"/>
                <w:color w:val="000000"/>
                <w:lang w:eastAsia="en-AU"/>
              </w:rPr>
            </w:pPr>
            <w:r w:rsidRPr="001D3639">
              <w:rPr>
                <w:rFonts w:eastAsia="Times New Roman" w:cstheme="minorHAnsi"/>
                <w:color w:val="000000"/>
                <w:lang w:eastAsia="en-AU"/>
              </w:rPr>
              <w:t>55.1%</w:t>
            </w:r>
          </w:p>
        </w:tc>
        <w:tc>
          <w:tcPr>
            <w:tcW w:w="1280" w:type="dxa"/>
            <w:tcBorders>
              <w:top w:val="nil"/>
              <w:left w:val="single" w:sz="8" w:space="0" w:color="auto"/>
              <w:bottom w:val="single" w:sz="4" w:space="0" w:color="auto"/>
              <w:right w:val="single" w:sz="8" w:space="0" w:color="auto"/>
            </w:tcBorders>
            <w:shd w:val="clear" w:color="auto" w:fill="auto"/>
            <w:noWrap/>
            <w:vAlign w:val="bottom"/>
            <w:hideMark/>
          </w:tcPr>
          <w:p w:rsidR="007B45D5" w:rsidRPr="001D3639" w:rsidRDefault="007B45D5" w:rsidP="007B45D5">
            <w:pPr>
              <w:spacing w:after="0" w:line="240" w:lineRule="auto"/>
              <w:jc w:val="center"/>
              <w:rPr>
                <w:rFonts w:eastAsia="Times New Roman" w:cstheme="minorHAnsi"/>
                <w:color w:val="000000"/>
                <w:lang w:eastAsia="en-AU"/>
              </w:rPr>
            </w:pPr>
            <w:r w:rsidRPr="001D3639">
              <w:rPr>
                <w:rFonts w:eastAsia="Times New Roman" w:cstheme="minorHAnsi"/>
                <w:color w:val="000000"/>
                <w:lang w:eastAsia="en-AU"/>
              </w:rPr>
              <w:t>59.2%</w:t>
            </w:r>
          </w:p>
        </w:tc>
        <w:tc>
          <w:tcPr>
            <w:tcW w:w="1260" w:type="dxa"/>
            <w:tcBorders>
              <w:top w:val="nil"/>
              <w:left w:val="nil"/>
              <w:bottom w:val="single" w:sz="4" w:space="0" w:color="auto"/>
              <w:right w:val="nil"/>
            </w:tcBorders>
            <w:shd w:val="clear" w:color="auto" w:fill="auto"/>
            <w:noWrap/>
            <w:vAlign w:val="bottom"/>
            <w:hideMark/>
          </w:tcPr>
          <w:p w:rsidR="007B45D5" w:rsidRPr="001D3639" w:rsidRDefault="007B45D5" w:rsidP="007B45D5">
            <w:pPr>
              <w:spacing w:after="0" w:line="240" w:lineRule="auto"/>
              <w:jc w:val="center"/>
              <w:rPr>
                <w:rFonts w:eastAsia="Times New Roman" w:cstheme="minorHAnsi"/>
                <w:color w:val="000000"/>
                <w:lang w:eastAsia="en-AU"/>
              </w:rPr>
            </w:pPr>
            <w:r w:rsidRPr="001D3639">
              <w:rPr>
                <w:rFonts w:eastAsia="Times New Roman" w:cstheme="minorHAnsi"/>
                <w:color w:val="000000"/>
                <w:lang w:eastAsia="en-AU"/>
              </w:rPr>
              <w:t>61.9%</w:t>
            </w:r>
          </w:p>
        </w:tc>
        <w:tc>
          <w:tcPr>
            <w:tcW w:w="1300" w:type="dxa"/>
            <w:tcBorders>
              <w:top w:val="nil"/>
              <w:left w:val="single" w:sz="8" w:space="0" w:color="auto"/>
              <w:bottom w:val="single" w:sz="4" w:space="0" w:color="auto"/>
              <w:right w:val="single" w:sz="8" w:space="0" w:color="auto"/>
            </w:tcBorders>
            <w:shd w:val="clear" w:color="auto" w:fill="auto"/>
            <w:noWrap/>
            <w:vAlign w:val="bottom"/>
            <w:hideMark/>
          </w:tcPr>
          <w:p w:rsidR="007B45D5" w:rsidRPr="001D3639" w:rsidRDefault="007B45D5" w:rsidP="007B45D5">
            <w:pPr>
              <w:spacing w:after="0" w:line="240" w:lineRule="auto"/>
              <w:jc w:val="center"/>
              <w:rPr>
                <w:rFonts w:eastAsia="Times New Roman" w:cstheme="minorHAnsi"/>
                <w:color w:val="000000"/>
                <w:lang w:eastAsia="en-AU"/>
              </w:rPr>
            </w:pPr>
            <w:r w:rsidRPr="001D3639">
              <w:rPr>
                <w:rFonts w:eastAsia="Times New Roman" w:cstheme="minorHAnsi"/>
                <w:color w:val="000000"/>
                <w:lang w:eastAsia="en-AU"/>
              </w:rPr>
              <w:t>62.6%</w:t>
            </w:r>
          </w:p>
        </w:tc>
        <w:tc>
          <w:tcPr>
            <w:tcW w:w="1220" w:type="dxa"/>
            <w:tcBorders>
              <w:top w:val="nil"/>
              <w:left w:val="nil"/>
              <w:bottom w:val="single" w:sz="4" w:space="0" w:color="auto"/>
              <w:right w:val="single" w:sz="8" w:space="0" w:color="auto"/>
            </w:tcBorders>
            <w:shd w:val="clear" w:color="auto" w:fill="auto"/>
            <w:noWrap/>
            <w:vAlign w:val="bottom"/>
            <w:hideMark/>
          </w:tcPr>
          <w:p w:rsidR="007B45D5" w:rsidRPr="001D3639" w:rsidRDefault="007B45D5" w:rsidP="007B45D5">
            <w:pPr>
              <w:spacing w:after="0" w:line="240" w:lineRule="auto"/>
              <w:jc w:val="center"/>
              <w:rPr>
                <w:rFonts w:eastAsia="Times New Roman" w:cstheme="minorHAnsi"/>
                <w:color w:val="000000"/>
                <w:lang w:eastAsia="en-AU"/>
              </w:rPr>
            </w:pPr>
            <w:r w:rsidRPr="001D3639">
              <w:rPr>
                <w:rFonts w:eastAsia="Times New Roman" w:cstheme="minorHAnsi"/>
                <w:color w:val="000000"/>
                <w:lang w:eastAsia="en-AU"/>
              </w:rPr>
              <w:t>63.4%</w:t>
            </w:r>
          </w:p>
        </w:tc>
      </w:tr>
      <w:tr w:rsidR="007B45D5" w:rsidRPr="001D3639" w:rsidTr="001D3639">
        <w:trPr>
          <w:trHeight w:val="270"/>
        </w:trPr>
        <w:tc>
          <w:tcPr>
            <w:tcW w:w="3860" w:type="dxa"/>
            <w:tcBorders>
              <w:top w:val="nil"/>
              <w:left w:val="single" w:sz="8" w:space="0" w:color="auto"/>
              <w:bottom w:val="single" w:sz="4" w:space="0" w:color="auto"/>
              <w:right w:val="single" w:sz="8" w:space="0" w:color="auto"/>
            </w:tcBorders>
            <w:shd w:val="clear" w:color="auto" w:fill="auto"/>
            <w:noWrap/>
            <w:vAlign w:val="bottom"/>
            <w:hideMark/>
          </w:tcPr>
          <w:p w:rsidR="007B45D5" w:rsidRPr="001D3639" w:rsidRDefault="007B45D5" w:rsidP="007B45D5">
            <w:pPr>
              <w:spacing w:after="0" w:line="240" w:lineRule="auto"/>
              <w:rPr>
                <w:rFonts w:eastAsia="Times New Roman" w:cstheme="minorHAnsi"/>
                <w:color w:val="000000"/>
                <w:lang w:eastAsia="en-AU"/>
              </w:rPr>
            </w:pPr>
            <w:r w:rsidRPr="001D3639">
              <w:rPr>
                <w:rFonts w:eastAsia="Times New Roman" w:cstheme="minorHAnsi"/>
                <w:color w:val="000000"/>
                <w:lang w:eastAsia="en-AU"/>
              </w:rPr>
              <w:t>Work</w:t>
            </w:r>
          </w:p>
        </w:tc>
        <w:tc>
          <w:tcPr>
            <w:tcW w:w="1200" w:type="dxa"/>
            <w:tcBorders>
              <w:top w:val="nil"/>
              <w:left w:val="nil"/>
              <w:bottom w:val="single" w:sz="4" w:space="0" w:color="auto"/>
              <w:right w:val="nil"/>
            </w:tcBorders>
            <w:shd w:val="clear" w:color="auto" w:fill="auto"/>
            <w:noWrap/>
            <w:vAlign w:val="bottom"/>
            <w:hideMark/>
          </w:tcPr>
          <w:p w:rsidR="007B45D5" w:rsidRPr="001D3639" w:rsidRDefault="007B45D5" w:rsidP="007B45D5">
            <w:pPr>
              <w:spacing w:after="0" w:line="240" w:lineRule="auto"/>
              <w:jc w:val="center"/>
              <w:rPr>
                <w:rFonts w:eastAsia="Times New Roman" w:cstheme="minorHAnsi"/>
                <w:color w:val="000000"/>
                <w:lang w:eastAsia="en-AU"/>
              </w:rPr>
            </w:pPr>
            <w:r w:rsidRPr="001D3639">
              <w:rPr>
                <w:rFonts w:eastAsia="Times New Roman" w:cstheme="minorHAnsi"/>
                <w:color w:val="000000"/>
                <w:lang w:eastAsia="en-AU"/>
              </w:rPr>
              <w:t>18.7%</w:t>
            </w:r>
          </w:p>
        </w:tc>
        <w:tc>
          <w:tcPr>
            <w:tcW w:w="1280" w:type="dxa"/>
            <w:tcBorders>
              <w:top w:val="nil"/>
              <w:left w:val="single" w:sz="8" w:space="0" w:color="auto"/>
              <w:bottom w:val="single" w:sz="4" w:space="0" w:color="auto"/>
              <w:right w:val="single" w:sz="8" w:space="0" w:color="auto"/>
            </w:tcBorders>
            <w:shd w:val="clear" w:color="auto" w:fill="auto"/>
            <w:noWrap/>
            <w:vAlign w:val="bottom"/>
            <w:hideMark/>
          </w:tcPr>
          <w:p w:rsidR="007B45D5" w:rsidRPr="001D3639" w:rsidRDefault="007B45D5" w:rsidP="007B45D5">
            <w:pPr>
              <w:spacing w:after="0" w:line="240" w:lineRule="auto"/>
              <w:jc w:val="center"/>
              <w:rPr>
                <w:rFonts w:eastAsia="Times New Roman" w:cstheme="minorHAnsi"/>
                <w:color w:val="000000"/>
                <w:lang w:eastAsia="en-AU"/>
              </w:rPr>
            </w:pPr>
            <w:r w:rsidRPr="001D3639">
              <w:rPr>
                <w:rFonts w:eastAsia="Times New Roman" w:cstheme="minorHAnsi"/>
                <w:color w:val="000000"/>
                <w:lang w:eastAsia="en-AU"/>
              </w:rPr>
              <w:t>16.9%</w:t>
            </w:r>
          </w:p>
        </w:tc>
        <w:tc>
          <w:tcPr>
            <w:tcW w:w="1260" w:type="dxa"/>
            <w:tcBorders>
              <w:top w:val="nil"/>
              <w:left w:val="nil"/>
              <w:bottom w:val="single" w:sz="4" w:space="0" w:color="auto"/>
              <w:right w:val="nil"/>
            </w:tcBorders>
            <w:shd w:val="clear" w:color="auto" w:fill="auto"/>
            <w:noWrap/>
            <w:vAlign w:val="bottom"/>
            <w:hideMark/>
          </w:tcPr>
          <w:p w:rsidR="007B45D5" w:rsidRPr="001D3639" w:rsidRDefault="007B45D5" w:rsidP="007B45D5">
            <w:pPr>
              <w:spacing w:after="0" w:line="240" w:lineRule="auto"/>
              <w:jc w:val="center"/>
              <w:rPr>
                <w:rFonts w:eastAsia="Times New Roman" w:cstheme="minorHAnsi"/>
                <w:color w:val="000000"/>
                <w:lang w:eastAsia="en-AU"/>
              </w:rPr>
            </w:pPr>
            <w:r w:rsidRPr="001D3639">
              <w:rPr>
                <w:rFonts w:eastAsia="Times New Roman" w:cstheme="minorHAnsi"/>
                <w:color w:val="000000"/>
                <w:lang w:eastAsia="en-AU"/>
              </w:rPr>
              <w:t>15.7%</w:t>
            </w:r>
          </w:p>
        </w:tc>
        <w:tc>
          <w:tcPr>
            <w:tcW w:w="1300" w:type="dxa"/>
            <w:tcBorders>
              <w:top w:val="nil"/>
              <w:left w:val="single" w:sz="8" w:space="0" w:color="auto"/>
              <w:bottom w:val="single" w:sz="4" w:space="0" w:color="auto"/>
              <w:right w:val="single" w:sz="8" w:space="0" w:color="auto"/>
            </w:tcBorders>
            <w:shd w:val="clear" w:color="auto" w:fill="auto"/>
            <w:noWrap/>
            <w:vAlign w:val="bottom"/>
            <w:hideMark/>
          </w:tcPr>
          <w:p w:rsidR="007B45D5" w:rsidRPr="001D3639" w:rsidRDefault="007B45D5" w:rsidP="007B45D5">
            <w:pPr>
              <w:spacing w:after="0" w:line="240" w:lineRule="auto"/>
              <w:jc w:val="center"/>
              <w:rPr>
                <w:rFonts w:eastAsia="Times New Roman" w:cstheme="minorHAnsi"/>
                <w:color w:val="000000"/>
                <w:lang w:eastAsia="en-AU"/>
              </w:rPr>
            </w:pPr>
            <w:r w:rsidRPr="001D3639">
              <w:rPr>
                <w:rFonts w:eastAsia="Times New Roman" w:cstheme="minorHAnsi"/>
                <w:color w:val="000000"/>
                <w:lang w:eastAsia="en-AU"/>
              </w:rPr>
              <w:t>15.6%</w:t>
            </w:r>
          </w:p>
        </w:tc>
        <w:tc>
          <w:tcPr>
            <w:tcW w:w="1220" w:type="dxa"/>
            <w:tcBorders>
              <w:top w:val="nil"/>
              <w:left w:val="nil"/>
              <w:bottom w:val="single" w:sz="4" w:space="0" w:color="auto"/>
              <w:right w:val="single" w:sz="8" w:space="0" w:color="auto"/>
            </w:tcBorders>
            <w:shd w:val="clear" w:color="auto" w:fill="auto"/>
            <w:noWrap/>
            <w:vAlign w:val="bottom"/>
            <w:hideMark/>
          </w:tcPr>
          <w:p w:rsidR="007B45D5" w:rsidRPr="001D3639" w:rsidRDefault="007B45D5" w:rsidP="007B45D5">
            <w:pPr>
              <w:spacing w:after="0" w:line="240" w:lineRule="auto"/>
              <w:jc w:val="center"/>
              <w:rPr>
                <w:rFonts w:eastAsia="Times New Roman" w:cstheme="minorHAnsi"/>
                <w:color w:val="000000"/>
                <w:lang w:eastAsia="en-AU"/>
              </w:rPr>
            </w:pPr>
            <w:r w:rsidRPr="001D3639">
              <w:rPr>
                <w:rFonts w:eastAsia="Times New Roman" w:cstheme="minorHAnsi"/>
                <w:color w:val="000000"/>
                <w:lang w:eastAsia="en-AU"/>
              </w:rPr>
              <w:t>15.0%</w:t>
            </w:r>
          </w:p>
        </w:tc>
      </w:tr>
      <w:tr w:rsidR="007B45D5" w:rsidRPr="001D3639" w:rsidTr="001D3639">
        <w:trPr>
          <w:trHeight w:val="270"/>
        </w:trPr>
        <w:tc>
          <w:tcPr>
            <w:tcW w:w="3860" w:type="dxa"/>
            <w:tcBorders>
              <w:top w:val="nil"/>
              <w:left w:val="single" w:sz="8" w:space="0" w:color="auto"/>
              <w:bottom w:val="single" w:sz="4" w:space="0" w:color="auto"/>
              <w:right w:val="single" w:sz="8" w:space="0" w:color="auto"/>
            </w:tcBorders>
            <w:shd w:val="clear" w:color="auto" w:fill="auto"/>
            <w:noWrap/>
            <w:vAlign w:val="bottom"/>
            <w:hideMark/>
          </w:tcPr>
          <w:p w:rsidR="007B45D5" w:rsidRPr="001D3639" w:rsidRDefault="007B45D5" w:rsidP="007B45D5">
            <w:pPr>
              <w:spacing w:after="0" w:line="240" w:lineRule="auto"/>
              <w:rPr>
                <w:rFonts w:eastAsia="Times New Roman" w:cstheme="minorHAnsi"/>
                <w:color w:val="000000"/>
                <w:lang w:eastAsia="en-AU"/>
              </w:rPr>
            </w:pPr>
            <w:r w:rsidRPr="001D3639">
              <w:rPr>
                <w:rFonts w:eastAsia="Times New Roman" w:cstheme="minorHAnsi"/>
                <w:color w:val="000000"/>
                <w:lang w:eastAsia="en-AU"/>
              </w:rPr>
              <w:t>Lifelong Learning</w:t>
            </w:r>
          </w:p>
        </w:tc>
        <w:tc>
          <w:tcPr>
            <w:tcW w:w="1200" w:type="dxa"/>
            <w:tcBorders>
              <w:top w:val="nil"/>
              <w:left w:val="nil"/>
              <w:bottom w:val="single" w:sz="4" w:space="0" w:color="auto"/>
              <w:right w:val="nil"/>
            </w:tcBorders>
            <w:shd w:val="clear" w:color="auto" w:fill="auto"/>
            <w:noWrap/>
            <w:vAlign w:val="bottom"/>
            <w:hideMark/>
          </w:tcPr>
          <w:p w:rsidR="007B45D5" w:rsidRPr="001D3639" w:rsidRDefault="007B45D5" w:rsidP="007B45D5">
            <w:pPr>
              <w:spacing w:after="0" w:line="240" w:lineRule="auto"/>
              <w:jc w:val="center"/>
              <w:rPr>
                <w:rFonts w:eastAsia="Times New Roman" w:cstheme="minorHAnsi"/>
                <w:color w:val="000000"/>
                <w:lang w:eastAsia="en-AU"/>
              </w:rPr>
            </w:pPr>
            <w:r w:rsidRPr="001D3639">
              <w:rPr>
                <w:rFonts w:eastAsia="Times New Roman" w:cstheme="minorHAnsi"/>
                <w:color w:val="000000"/>
                <w:lang w:eastAsia="en-AU"/>
              </w:rPr>
              <w:t>36.2%</w:t>
            </w:r>
          </w:p>
        </w:tc>
        <w:tc>
          <w:tcPr>
            <w:tcW w:w="1280" w:type="dxa"/>
            <w:tcBorders>
              <w:top w:val="nil"/>
              <w:left w:val="single" w:sz="8" w:space="0" w:color="auto"/>
              <w:bottom w:val="single" w:sz="4" w:space="0" w:color="auto"/>
              <w:right w:val="single" w:sz="8" w:space="0" w:color="auto"/>
            </w:tcBorders>
            <w:shd w:val="clear" w:color="auto" w:fill="auto"/>
            <w:noWrap/>
            <w:vAlign w:val="bottom"/>
            <w:hideMark/>
          </w:tcPr>
          <w:p w:rsidR="007B45D5" w:rsidRPr="001D3639" w:rsidRDefault="007B45D5" w:rsidP="007B45D5">
            <w:pPr>
              <w:spacing w:after="0" w:line="240" w:lineRule="auto"/>
              <w:jc w:val="center"/>
              <w:rPr>
                <w:rFonts w:eastAsia="Times New Roman" w:cstheme="minorHAnsi"/>
                <w:color w:val="000000"/>
                <w:lang w:eastAsia="en-AU"/>
              </w:rPr>
            </w:pPr>
            <w:r w:rsidRPr="001D3639">
              <w:rPr>
                <w:rFonts w:eastAsia="Times New Roman" w:cstheme="minorHAnsi"/>
                <w:color w:val="000000"/>
                <w:lang w:eastAsia="en-AU"/>
              </w:rPr>
              <w:t>36.8%</w:t>
            </w:r>
          </w:p>
        </w:tc>
        <w:tc>
          <w:tcPr>
            <w:tcW w:w="1260" w:type="dxa"/>
            <w:tcBorders>
              <w:top w:val="nil"/>
              <w:left w:val="nil"/>
              <w:bottom w:val="single" w:sz="4" w:space="0" w:color="auto"/>
              <w:right w:val="nil"/>
            </w:tcBorders>
            <w:shd w:val="clear" w:color="auto" w:fill="auto"/>
            <w:noWrap/>
            <w:vAlign w:val="bottom"/>
            <w:hideMark/>
          </w:tcPr>
          <w:p w:rsidR="007B45D5" w:rsidRPr="001D3639" w:rsidRDefault="007B45D5" w:rsidP="007B45D5">
            <w:pPr>
              <w:spacing w:after="0" w:line="240" w:lineRule="auto"/>
              <w:jc w:val="center"/>
              <w:rPr>
                <w:rFonts w:eastAsia="Times New Roman" w:cstheme="minorHAnsi"/>
                <w:color w:val="000000"/>
                <w:lang w:eastAsia="en-AU"/>
              </w:rPr>
            </w:pPr>
            <w:r w:rsidRPr="001D3639">
              <w:rPr>
                <w:rFonts w:eastAsia="Times New Roman" w:cstheme="minorHAnsi"/>
                <w:color w:val="000000"/>
                <w:lang w:eastAsia="en-AU"/>
              </w:rPr>
              <w:t>36.4%</w:t>
            </w:r>
          </w:p>
        </w:tc>
        <w:tc>
          <w:tcPr>
            <w:tcW w:w="1300" w:type="dxa"/>
            <w:tcBorders>
              <w:top w:val="nil"/>
              <w:left w:val="single" w:sz="8" w:space="0" w:color="auto"/>
              <w:bottom w:val="single" w:sz="4" w:space="0" w:color="auto"/>
              <w:right w:val="single" w:sz="8" w:space="0" w:color="auto"/>
            </w:tcBorders>
            <w:shd w:val="clear" w:color="auto" w:fill="auto"/>
            <w:noWrap/>
            <w:vAlign w:val="bottom"/>
            <w:hideMark/>
          </w:tcPr>
          <w:p w:rsidR="007B45D5" w:rsidRPr="001D3639" w:rsidRDefault="007B45D5" w:rsidP="007B45D5">
            <w:pPr>
              <w:spacing w:after="0" w:line="240" w:lineRule="auto"/>
              <w:jc w:val="center"/>
              <w:rPr>
                <w:rFonts w:eastAsia="Times New Roman" w:cstheme="minorHAnsi"/>
                <w:color w:val="000000"/>
                <w:lang w:eastAsia="en-AU"/>
              </w:rPr>
            </w:pPr>
            <w:r w:rsidRPr="001D3639">
              <w:rPr>
                <w:rFonts w:eastAsia="Times New Roman" w:cstheme="minorHAnsi"/>
                <w:color w:val="000000"/>
                <w:lang w:eastAsia="en-AU"/>
              </w:rPr>
              <w:t>35.8%</w:t>
            </w:r>
          </w:p>
        </w:tc>
        <w:tc>
          <w:tcPr>
            <w:tcW w:w="1220" w:type="dxa"/>
            <w:tcBorders>
              <w:top w:val="nil"/>
              <w:left w:val="nil"/>
              <w:bottom w:val="single" w:sz="4" w:space="0" w:color="auto"/>
              <w:right w:val="single" w:sz="8" w:space="0" w:color="auto"/>
            </w:tcBorders>
            <w:shd w:val="clear" w:color="auto" w:fill="auto"/>
            <w:noWrap/>
            <w:vAlign w:val="bottom"/>
            <w:hideMark/>
          </w:tcPr>
          <w:p w:rsidR="007B45D5" w:rsidRPr="001D3639" w:rsidRDefault="007B45D5" w:rsidP="007B45D5">
            <w:pPr>
              <w:spacing w:after="0" w:line="240" w:lineRule="auto"/>
              <w:jc w:val="center"/>
              <w:rPr>
                <w:rFonts w:eastAsia="Times New Roman" w:cstheme="minorHAnsi"/>
                <w:color w:val="000000"/>
                <w:lang w:eastAsia="en-AU"/>
              </w:rPr>
            </w:pPr>
            <w:r w:rsidRPr="001D3639">
              <w:rPr>
                <w:rFonts w:eastAsia="Times New Roman" w:cstheme="minorHAnsi"/>
                <w:color w:val="000000"/>
                <w:lang w:eastAsia="en-AU"/>
              </w:rPr>
              <w:t>35.7%</w:t>
            </w:r>
          </w:p>
        </w:tc>
      </w:tr>
      <w:tr w:rsidR="007B45D5" w:rsidRPr="001D3639" w:rsidTr="001D3639">
        <w:trPr>
          <w:trHeight w:val="278"/>
        </w:trPr>
        <w:tc>
          <w:tcPr>
            <w:tcW w:w="3860" w:type="dxa"/>
            <w:tcBorders>
              <w:top w:val="nil"/>
              <w:left w:val="single" w:sz="8" w:space="0" w:color="auto"/>
              <w:bottom w:val="single" w:sz="4" w:space="0" w:color="auto"/>
              <w:right w:val="single" w:sz="8" w:space="0" w:color="auto"/>
            </w:tcBorders>
            <w:shd w:val="clear" w:color="auto" w:fill="auto"/>
            <w:noWrap/>
            <w:vAlign w:val="bottom"/>
            <w:hideMark/>
          </w:tcPr>
          <w:p w:rsidR="007B45D5" w:rsidRPr="001D3639" w:rsidRDefault="007B45D5" w:rsidP="007B45D5">
            <w:pPr>
              <w:spacing w:after="0" w:line="240" w:lineRule="auto"/>
              <w:rPr>
                <w:rFonts w:eastAsia="Times New Roman" w:cstheme="minorHAnsi"/>
                <w:color w:val="000000"/>
                <w:lang w:eastAsia="en-AU"/>
              </w:rPr>
            </w:pPr>
            <w:r w:rsidRPr="001D3639">
              <w:rPr>
                <w:rFonts w:eastAsia="Times New Roman" w:cstheme="minorHAnsi"/>
                <w:color w:val="000000"/>
                <w:lang w:eastAsia="en-AU"/>
              </w:rPr>
              <w:t>Health and wellbeing</w:t>
            </w:r>
          </w:p>
        </w:tc>
        <w:tc>
          <w:tcPr>
            <w:tcW w:w="1200" w:type="dxa"/>
            <w:tcBorders>
              <w:top w:val="nil"/>
              <w:left w:val="nil"/>
              <w:bottom w:val="single" w:sz="4" w:space="0" w:color="auto"/>
              <w:right w:val="nil"/>
            </w:tcBorders>
            <w:shd w:val="clear" w:color="auto" w:fill="auto"/>
            <w:noWrap/>
            <w:vAlign w:val="bottom"/>
            <w:hideMark/>
          </w:tcPr>
          <w:p w:rsidR="007B45D5" w:rsidRPr="001D3639" w:rsidRDefault="007B45D5" w:rsidP="007B45D5">
            <w:pPr>
              <w:spacing w:after="0" w:line="240" w:lineRule="auto"/>
              <w:jc w:val="center"/>
              <w:rPr>
                <w:rFonts w:eastAsia="Times New Roman" w:cstheme="minorHAnsi"/>
                <w:color w:val="000000"/>
                <w:lang w:eastAsia="en-AU"/>
              </w:rPr>
            </w:pPr>
            <w:r w:rsidRPr="001D3639">
              <w:rPr>
                <w:rFonts w:eastAsia="Times New Roman" w:cstheme="minorHAnsi"/>
                <w:color w:val="000000"/>
                <w:lang w:eastAsia="en-AU"/>
              </w:rPr>
              <w:t>44.7%</w:t>
            </w:r>
          </w:p>
        </w:tc>
        <w:tc>
          <w:tcPr>
            <w:tcW w:w="1280" w:type="dxa"/>
            <w:tcBorders>
              <w:top w:val="nil"/>
              <w:left w:val="single" w:sz="8" w:space="0" w:color="auto"/>
              <w:bottom w:val="single" w:sz="4" w:space="0" w:color="auto"/>
              <w:right w:val="single" w:sz="8" w:space="0" w:color="auto"/>
            </w:tcBorders>
            <w:shd w:val="clear" w:color="auto" w:fill="auto"/>
            <w:noWrap/>
            <w:vAlign w:val="bottom"/>
            <w:hideMark/>
          </w:tcPr>
          <w:p w:rsidR="007B45D5" w:rsidRPr="001D3639" w:rsidRDefault="007B45D5" w:rsidP="007B45D5">
            <w:pPr>
              <w:spacing w:after="0" w:line="240" w:lineRule="auto"/>
              <w:jc w:val="center"/>
              <w:rPr>
                <w:rFonts w:eastAsia="Times New Roman" w:cstheme="minorHAnsi"/>
                <w:color w:val="000000"/>
                <w:lang w:eastAsia="en-AU"/>
              </w:rPr>
            </w:pPr>
            <w:r w:rsidRPr="001D3639">
              <w:rPr>
                <w:rFonts w:eastAsia="Times New Roman" w:cstheme="minorHAnsi"/>
                <w:color w:val="000000"/>
                <w:lang w:eastAsia="en-AU"/>
              </w:rPr>
              <w:t>46.9%</w:t>
            </w:r>
          </w:p>
        </w:tc>
        <w:tc>
          <w:tcPr>
            <w:tcW w:w="1260" w:type="dxa"/>
            <w:tcBorders>
              <w:top w:val="nil"/>
              <w:left w:val="nil"/>
              <w:bottom w:val="single" w:sz="4" w:space="0" w:color="auto"/>
              <w:right w:val="nil"/>
            </w:tcBorders>
            <w:shd w:val="clear" w:color="auto" w:fill="auto"/>
            <w:noWrap/>
            <w:vAlign w:val="bottom"/>
            <w:hideMark/>
          </w:tcPr>
          <w:p w:rsidR="007B45D5" w:rsidRPr="001D3639" w:rsidRDefault="007B45D5" w:rsidP="007B45D5">
            <w:pPr>
              <w:spacing w:after="0" w:line="240" w:lineRule="auto"/>
              <w:jc w:val="center"/>
              <w:rPr>
                <w:rFonts w:eastAsia="Times New Roman" w:cstheme="minorHAnsi"/>
                <w:color w:val="000000"/>
                <w:lang w:eastAsia="en-AU"/>
              </w:rPr>
            </w:pPr>
            <w:r w:rsidRPr="001D3639">
              <w:rPr>
                <w:rFonts w:eastAsia="Times New Roman" w:cstheme="minorHAnsi"/>
                <w:color w:val="000000"/>
                <w:lang w:eastAsia="en-AU"/>
              </w:rPr>
              <w:t>48.8%</w:t>
            </w:r>
          </w:p>
        </w:tc>
        <w:tc>
          <w:tcPr>
            <w:tcW w:w="1300" w:type="dxa"/>
            <w:tcBorders>
              <w:top w:val="nil"/>
              <w:left w:val="single" w:sz="8" w:space="0" w:color="auto"/>
              <w:bottom w:val="single" w:sz="4" w:space="0" w:color="auto"/>
              <w:right w:val="single" w:sz="8" w:space="0" w:color="auto"/>
            </w:tcBorders>
            <w:shd w:val="clear" w:color="auto" w:fill="auto"/>
            <w:noWrap/>
            <w:vAlign w:val="bottom"/>
            <w:hideMark/>
          </w:tcPr>
          <w:p w:rsidR="007B45D5" w:rsidRPr="001D3639" w:rsidRDefault="007B45D5" w:rsidP="007B45D5">
            <w:pPr>
              <w:spacing w:after="0" w:line="240" w:lineRule="auto"/>
              <w:jc w:val="center"/>
              <w:rPr>
                <w:rFonts w:eastAsia="Times New Roman" w:cstheme="minorHAnsi"/>
                <w:color w:val="000000"/>
                <w:lang w:eastAsia="en-AU"/>
              </w:rPr>
            </w:pPr>
            <w:r w:rsidRPr="001D3639">
              <w:rPr>
                <w:rFonts w:eastAsia="Times New Roman" w:cstheme="minorHAnsi"/>
                <w:color w:val="000000"/>
                <w:lang w:eastAsia="en-AU"/>
              </w:rPr>
              <w:t>49.7%</w:t>
            </w:r>
          </w:p>
        </w:tc>
        <w:tc>
          <w:tcPr>
            <w:tcW w:w="1220" w:type="dxa"/>
            <w:tcBorders>
              <w:top w:val="nil"/>
              <w:left w:val="nil"/>
              <w:bottom w:val="single" w:sz="4" w:space="0" w:color="auto"/>
              <w:right w:val="single" w:sz="8" w:space="0" w:color="auto"/>
            </w:tcBorders>
            <w:shd w:val="clear" w:color="auto" w:fill="auto"/>
            <w:noWrap/>
            <w:vAlign w:val="bottom"/>
            <w:hideMark/>
          </w:tcPr>
          <w:p w:rsidR="007B45D5" w:rsidRPr="001D3639" w:rsidRDefault="007B45D5" w:rsidP="007B45D5">
            <w:pPr>
              <w:spacing w:after="0" w:line="240" w:lineRule="auto"/>
              <w:jc w:val="center"/>
              <w:rPr>
                <w:rFonts w:eastAsia="Times New Roman" w:cstheme="minorHAnsi"/>
                <w:color w:val="000000"/>
                <w:lang w:eastAsia="en-AU"/>
              </w:rPr>
            </w:pPr>
            <w:r w:rsidRPr="001D3639">
              <w:rPr>
                <w:rFonts w:eastAsia="Times New Roman" w:cstheme="minorHAnsi"/>
                <w:color w:val="000000"/>
                <w:lang w:eastAsia="en-AU"/>
              </w:rPr>
              <w:t>50.5%</w:t>
            </w:r>
          </w:p>
        </w:tc>
      </w:tr>
      <w:tr w:rsidR="007B45D5" w:rsidRPr="001D3639" w:rsidTr="001D3639">
        <w:trPr>
          <w:trHeight w:val="270"/>
        </w:trPr>
        <w:tc>
          <w:tcPr>
            <w:tcW w:w="3860" w:type="dxa"/>
            <w:tcBorders>
              <w:top w:val="nil"/>
              <w:left w:val="single" w:sz="8" w:space="0" w:color="auto"/>
              <w:bottom w:val="single" w:sz="4" w:space="0" w:color="auto"/>
              <w:right w:val="single" w:sz="8" w:space="0" w:color="auto"/>
            </w:tcBorders>
            <w:shd w:val="clear" w:color="auto" w:fill="auto"/>
            <w:noWrap/>
            <w:vAlign w:val="bottom"/>
            <w:hideMark/>
          </w:tcPr>
          <w:p w:rsidR="007B45D5" w:rsidRPr="001D3639" w:rsidRDefault="007B45D5" w:rsidP="007B45D5">
            <w:pPr>
              <w:spacing w:after="0" w:line="240" w:lineRule="auto"/>
              <w:rPr>
                <w:rFonts w:eastAsia="Times New Roman" w:cstheme="minorHAnsi"/>
                <w:color w:val="000000"/>
                <w:lang w:eastAsia="en-AU"/>
              </w:rPr>
            </w:pPr>
            <w:r w:rsidRPr="001D3639">
              <w:rPr>
                <w:rFonts w:eastAsia="Times New Roman" w:cstheme="minorHAnsi"/>
                <w:color w:val="000000"/>
                <w:lang w:eastAsia="en-AU"/>
              </w:rPr>
              <w:t>Home</w:t>
            </w:r>
          </w:p>
        </w:tc>
        <w:tc>
          <w:tcPr>
            <w:tcW w:w="1200" w:type="dxa"/>
            <w:tcBorders>
              <w:top w:val="nil"/>
              <w:left w:val="nil"/>
              <w:bottom w:val="single" w:sz="4" w:space="0" w:color="auto"/>
              <w:right w:val="nil"/>
            </w:tcBorders>
            <w:shd w:val="clear" w:color="auto" w:fill="auto"/>
            <w:noWrap/>
            <w:vAlign w:val="bottom"/>
            <w:hideMark/>
          </w:tcPr>
          <w:p w:rsidR="007B45D5" w:rsidRPr="001D3639" w:rsidRDefault="007B45D5" w:rsidP="007B45D5">
            <w:pPr>
              <w:spacing w:after="0" w:line="240" w:lineRule="auto"/>
              <w:jc w:val="center"/>
              <w:rPr>
                <w:rFonts w:eastAsia="Times New Roman" w:cstheme="minorHAnsi"/>
                <w:color w:val="000000"/>
                <w:lang w:eastAsia="en-AU"/>
              </w:rPr>
            </w:pPr>
            <w:r w:rsidRPr="001D3639">
              <w:rPr>
                <w:rFonts w:eastAsia="Times New Roman" w:cstheme="minorHAnsi"/>
                <w:color w:val="000000"/>
                <w:lang w:eastAsia="en-AU"/>
              </w:rPr>
              <w:t>23.0%</w:t>
            </w:r>
          </w:p>
        </w:tc>
        <w:tc>
          <w:tcPr>
            <w:tcW w:w="1280" w:type="dxa"/>
            <w:tcBorders>
              <w:top w:val="nil"/>
              <w:left w:val="single" w:sz="8" w:space="0" w:color="auto"/>
              <w:bottom w:val="single" w:sz="4" w:space="0" w:color="auto"/>
              <w:right w:val="single" w:sz="8" w:space="0" w:color="auto"/>
            </w:tcBorders>
            <w:shd w:val="clear" w:color="auto" w:fill="auto"/>
            <w:noWrap/>
            <w:vAlign w:val="bottom"/>
            <w:hideMark/>
          </w:tcPr>
          <w:p w:rsidR="007B45D5" w:rsidRPr="001D3639" w:rsidRDefault="007B45D5" w:rsidP="007B45D5">
            <w:pPr>
              <w:spacing w:after="0" w:line="240" w:lineRule="auto"/>
              <w:jc w:val="center"/>
              <w:rPr>
                <w:rFonts w:eastAsia="Times New Roman" w:cstheme="minorHAnsi"/>
                <w:color w:val="000000"/>
                <w:lang w:eastAsia="en-AU"/>
              </w:rPr>
            </w:pPr>
            <w:r w:rsidRPr="001D3639">
              <w:rPr>
                <w:rFonts w:eastAsia="Times New Roman" w:cstheme="minorHAnsi"/>
                <w:color w:val="000000"/>
                <w:lang w:eastAsia="en-AU"/>
              </w:rPr>
              <w:t>20.5%</w:t>
            </w:r>
          </w:p>
        </w:tc>
        <w:tc>
          <w:tcPr>
            <w:tcW w:w="1260" w:type="dxa"/>
            <w:tcBorders>
              <w:top w:val="nil"/>
              <w:left w:val="nil"/>
              <w:bottom w:val="single" w:sz="4" w:space="0" w:color="auto"/>
              <w:right w:val="nil"/>
            </w:tcBorders>
            <w:shd w:val="clear" w:color="auto" w:fill="auto"/>
            <w:noWrap/>
            <w:vAlign w:val="bottom"/>
            <w:hideMark/>
          </w:tcPr>
          <w:p w:rsidR="007B45D5" w:rsidRPr="001D3639" w:rsidRDefault="007B45D5" w:rsidP="007B45D5">
            <w:pPr>
              <w:spacing w:after="0" w:line="240" w:lineRule="auto"/>
              <w:jc w:val="center"/>
              <w:rPr>
                <w:rFonts w:eastAsia="Times New Roman" w:cstheme="minorHAnsi"/>
                <w:color w:val="000000"/>
                <w:lang w:eastAsia="en-AU"/>
              </w:rPr>
            </w:pPr>
            <w:r w:rsidRPr="001D3639">
              <w:rPr>
                <w:rFonts w:eastAsia="Times New Roman" w:cstheme="minorHAnsi"/>
                <w:color w:val="000000"/>
                <w:lang w:eastAsia="en-AU"/>
              </w:rPr>
              <w:t>19.2%</w:t>
            </w:r>
          </w:p>
        </w:tc>
        <w:tc>
          <w:tcPr>
            <w:tcW w:w="1300" w:type="dxa"/>
            <w:tcBorders>
              <w:top w:val="nil"/>
              <w:left w:val="single" w:sz="8" w:space="0" w:color="auto"/>
              <w:bottom w:val="single" w:sz="4" w:space="0" w:color="auto"/>
              <w:right w:val="single" w:sz="8" w:space="0" w:color="auto"/>
            </w:tcBorders>
            <w:shd w:val="clear" w:color="auto" w:fill="auto"/>
            <w:noWrap/>
            <w:vAlign w:val="bottom"/>
            <w:hideMark/>
          </w:tcPr>
          <w:p w:rsidR="007B45D5" w:rsidRPr="001D3639" w:rsidRDefault="007B45D5" w:rsidP="007B45D5">
            <w:pPr>
              <w:spacing w:after="0" w:line="240" w:lineRule="auto"/>
              <w:jc w:val="center"/>
              <w:rPr>
                <w:rFonts w:eastAsia="Times New Roman" w:cstheme="minorHAnsi"/>
                <w:color w:val="000000"/>
                <w:lang w:eastAsia="en-AU"/>
              </w:rPr>
            </w:pPr>
            <w:r w:rsidRPr="001D3639">
              <w:rPr>
                <w:rFonts w:eastAsia="Times New Roman" w:cstheme="minorHAnsi"/>
                <w:color w:val="000000"/>
                <w:lang w:eastAsia="en-AU"/>
              </w:rPr>
              <w:t>18.2%</w:t>
            </w:r>
          </w:p>
        </w:tc>
        <w:tc>
          <w:tcPr>
            <w:tcW w:w="1220" w:type="dxa"/>
            <w:tcBorders>
              <w:top w:val="nil"/>
              <w:left w:val="nil"/>
              <w:bottom w:val="single" w:sz="4" w:space="0" w:color="auto"/>
              <w:right w:val="single" w:sz="8" w:space="0" w:color="auto"/>
            </w:tcBorders>
            <w:shd w:val="clear" w:color="auto" w:fill="auto"/>
            <w:noWrap/>
            <w:vAlign w:val="bottom"/>
            <w:hideMark/>
          </w:tcPr>
          <w:p w:rsidR="007B45D5" w:rsidRPr="001D3639" w:rsidRDefault="007B45D5" w:rsidP="007B45D5">
            <w:pPr>
              <w:spacing w:after="0" w:line="240" w:lineRule="auto"/>
              <w:jc w:val="center"/>
              <w:rPr>
                <w:rFonts w:eastAsia="Times New Roman" w:cstheme="minorHAnsi"/>
                <w:color w:val="000000"/>
                <w:lang w:eastAsia="en-AU"/>
              </w:rPr>
            </w:pPr>
            <w:r w:rsidRPr="001D3639">
              <w:rPr>
                <w:rFonts w:eastAsia="Times New Roman" w:cstheme="minorHAnsi"/>
                <w:color w:val="000000"/>
                <w:lang w:eastAsia="en-AU"/>
              </w:rPr>
              <w:t>18.9%</w:t>
            </w:r>
          </w:p>
        </w:tc>
      </w:tr>
      <w:tr w:rsidR="007B45D5" w:rsidRPr="001D3639" w:rsidTr="001D3639">
        <w:trPr>
          <w:trHeight w:val="270"/>
        </w:trPr>
        <w:tc>
          <w:tcPr>
            <w:tcW w:w="3860" w:type="dxa"/>
            <w:tcBorders>
              <w:top w:val="nil"/>
              <w:left w:val="single" w:sz="8" w:space="0" w:color="auto"/>
              <w:bottom w:val="single" w:sz="4" w:space="0" w:color="auto"/>
              <w:right w:val="single" w:sz="8" w:space="0" w:color="auto"/>
            </w:tcBorders>
            <w:shd w:val="clear" w:color="auto" w:fill="auto"/>
            <w:noWrap/>
            <w:vAlign w:val="bottom"/>
            <w:hideMark/>
          </w:tcPr>
          <w:p w:rsidR="007B45D5" w:rsidRPr="001D3639" w:rsidRDefault="007B45D5" w:rsidP="007B45D5">
            <w:pPr>
              <w:spacing w:after="0" w:line="240" w:lineRule="auto"/>
              <w:rPr>
                <w:rFonts w:eastAsia="Times New Roman" w:cstheme="minorHAnsi"/>
                <w:color w:val="000000"/>
                <w:lang w:eastAsia="en-AU"/>
              </w:rPr>
            </w:pPr>
            <w:r w:rsidRPr="001D3639">
              <w:rPr>
                <w:rFonts w:eastAsia="Times New Roman" w:cstheme="minorHAnsi"/>
                <w:color w:val="000000"/>
                <w:lang w:eastAsia="en-AU"/>
              </w:rPr>
              <w:t>Relationship</w:t>
            </w:r>
          </w:p>
        </w:tc>
        <w:tc>
          <w:tcPr>
            <w:tcW w:w="1200" w:type="dxa"/>
            <w:tcBorders>
              <w:top w:val="nil"/>
              <w:left w:val="nil"/>
              <w:bottom w:val="single" w:sz="4" w:space="0" w:color="auto"/>
              <w:right w:val="nil"/>
            </w:tcBorders>
            <w:shd w:val="clear" w:color="auto" w:fill="auto"/>
            <w:noWrap/>
            <w:vAlign w:val="bottom"/>
            <w:hideMark/>
          </w:tcPr>
          <w:p w:rsidR="007B45D5" w:rsidRPr="001D3639" w:rsidRDefault="007B45D5" w:rsidP="007B45D5">
            <w:pPr>
              <w:spacing w:after="0" w:line="240" w:lineRule="auto"/>
              <w:jc w:val="center"/>
              <w:rPr>
                <w:rFonts w:eastAsia="Times New Roman" w:cstheme="minorHAnsi"/>
                <w:color w:val="000000"/>
                <w:lang w:eastAsia="en-AU"/>
              </w:rPr>
            </w:pPr>
            <w:r w:rsidRPr="001D3639">
              <w:rPr>
                <w:rFonts w:eastAsia="Times New Roman" w:cstheme="minorHAnsi"/>
                <w:color w:val="000000"/>
                <w:lang w:eastAsia="en-AU"/>
              </w:rPr>
              <w:t>49.7%</w:t>
            </w:r>
          </w:p>
        </w:tc>
        <w:tc>
          <w:tcPr>
            <w:tcW w:w="1280" w:type="dxa"/>
            <w:tcBorders>
              <w:top w:val="nil"/>
              <w:left w:val="single" w:sz="8" w:space="0" w:color="auto"/>
              <w:bottom w:val="single" w:sz="4" w:space="0" w:color="auto"/>
              <w:right w:val="single" w:sz="8" w:space="0" w:color="auto"/>
            </w:tcBorders>
            <w:shd w:val="clear" w:color="auto" w:fill="auto"/>
            <w:noWrap/>
            <w:vAlign w:val="bottom"/>
            <w:hideMark/>
          </w:tcPr>
          <w:p w:rsidR="007B45D5" w:rsidRPr="001D3639" w:rsidRDefault="007B45D5" w:rsidP="007B45D5">
            <w:pPr>
              <w:spacing w:after="0" w:line="240" w:lineRule="auto"/>
              <w:jc w:val="center"/>
              <w:rPr>
                <w:rFonts w:eastAsia="Times New Roman" w:cstheme="minorHAnsi"/>
                <w:color w:val="000000"/>
                <w:lang w:eastAsia="en-AU"/>
              </w:rPr>
            </w:pPr>
            <w:r w:rsidRPr="001D3639">
              <w:rPr>
                <w:rFonts w:eastAsia="Times New Roman" w:cstheme="minorHAnsi"/>
                <w:color w:val="000000"/>
                <w:lang w:eastAsia="en-AU"/>
              </w:rPr>
              <w:t>52.7%</w:t>
            </w:r>
          </w:p>
        </w:tc>
        <w:tc>
          <w:tcPr>
            <w:tcW w:w="1260" w:type="dxa"/>
            <w:tcBorders>
              <w:top w:val="nil"/>
              <w:left w:val="nil"/>
              <w:bottom w:val="single" w:sz="4" w:space="0" w:color="auto"/>
              <w:right w:val="nil"/>
            </w:tcBorders>
            <w:shd w:val="clear" w:color="auto" w:fill="auto"/>
            <w:noWrap/>
            <w:vAlign w:val="bottom"/>
            <w:hideMark/>
          </w:tcPr>
          <w:p w:rsidR="007B45D5" w:rsidRPr="001D3639" w:rsidRDefault="007B45D5" w:rsidP="007B45D5">
            <w:pPr>
              <w:spacing w:after="0" w:line="240" w:lineRule="auto"/>
              <w:jc w:val="center"/>
              <w:rPr>
                <w:rFonts w:eastAsia="Times New Roman" w:cstheme="minorHAnsi"/>
                <w:color w:val="000000"/>
                <w:lang w:eastAsia="en-AU"/>
              </w:rPr>
            </w:pPr>
            <w:r w:rsidRPr="001D3639">
              <w:rPr>
                <w:rFonts w:eastAsia="Times New Roman" w:cstheme="minorHAnsi"/>
                <w:color w:val="000000"/>
                <w:lang w:eastAsia="en-AU"/>
              </w:rPr>
              <w:t>54.8%</w:t>
            </w:r>
          </w:p>
        </w:tc>
        <w:tc>
          <w:tcPr>
            <w:tcW w:w="1300" w:type="dxa"/>
            <w:tcBorders>
              <w:top w:val="nil"/>
              <w:left w:val="single" w:sz="8" w:space="0" w:color="auto"/>
              <w:bottom w:val="single" w:sz="4" w:space="0" w:color="auto"/>
              <w:right w:val="single" w:sz="8" w:space="0" w:color="auto"/>
            </w:tcBorders>
            <w:shd w:val="clear" w:color="auto" w:fill="auto"/>
            <w:noWrap/>
            <w:vAlign w:val="bottom"/>
            <w:hideMark/>
          </w:tcPr>
          <w:p w:rsidR="007B45D5" w:rsidRPr="001D3639" w:rsidRDefault="007B45D5" w:rsidP="007B45D5">
            <w:pPr>
              <w:spacing w:after="0" w:line="240" w:lineRule="auto"/>
              <w:jc w:val="center"/>
              <w:rPr>
                <w:rFonts w:eastAsia="Times New Roman" w:cstheme="minorHAnsi"/>
                <w:color w:val="000000"/>
                <w:lang w:eastAsia="en-AU"/>
              </w:rPr>
            </w:pPr>
            <w:r w:rsidRPr="001D3639">
              <w:rPr>
                <w:rFonts w:eastAsia="Times New Roman" w:cstheme="minorHAnsi"/>
                <w:color w:val="000000"/>
                <w:lang w:eastAsia="en-AU"/>
              </w:rPr>
              <w:t>55.5%</w:t>
            </w:r>
          </w:p>
        </w:tc>
        <w:tc>
          <w:tcPr>
            <w:tcW w:w="1220" w:type="dxa"/>
            <w:tcBorders>
              <w:top w:val="nil"/>
              <w:left w:val="nil"/>
              <w:bottom w:val="single" w:sz="4" w:space="0" w:color="auto"/>
              <w:right w:val="single" w:sz="8" w:space="0" w:color="auto"/>
            </w:tcBorders>
            <w:shd w:val="clear" w:color="auto" w:fill="auto"/>
            <w:noWrap/>
            <w:vAlign w:val="bottom"/>
            <w:hideMark/>
          </w:tcPr>
          <w:p w:rsidR="007B45D5" w:rsidRPr="001D3639" w:rsidRDefault="007B45D5" w:rsidP="007B45D5">
            <w:pPr>
              <w:spacing w:after="0" w:line="240" w:lineRule="auto"/>
              <w:jc w:val="center"/>
              <w:rPr>
                <w:rFonts w:eastAsia="Times New Roman" w:cstheme="minorHAnsi"/>
                <w:color w:val="000000"/>
                <w:lang w:eastAsia="en-AU"/>
              </w:rPr>
            </w:pPr>
            <w:r w:rsidRPr="001D3639">
              <w:rPr>
                <w:rFonts w:eastAsia="Times New Roman" w:cstheme="minorHAnsi"/>
                <w:color w:val="000000"/>
                <w:lang w:eastAsia="en-AU"/>
              </w:rPr>
              <w:t>56.0%</w:t>
            </w:r>
          </w:p>
        </w:tc>
      </w:tr>
      <w:tr w:rsidR="007B45D5" w:rsidRPr="001D3639" w:rsidTr="001D3639">
        <w:trPr>
          <w:trHeight w:val="270"/>
        </w:trPr>
        <w:tc>
          <w:tcPr>
            <w:tcW w:w="3860" w:type="dxa"/>
            <w:tcBorders>
              <w:top w:val="nil"/>
              <w:left w:val="single" w:sz="8" w:space="0" w:color="auto"/>
              <w:bottom w:val="single" w:sz="4" w:space="0" w:color="auto"/>
              <w:right w:val="single" w:sz="8" w:space="0" w:color="auto"/>
            </w:tcBorders>
            <w:shd w:val="clear" w:color="auto" w:fill="auto"/>
            <w:noWrap/>
            <w:vAlign w:val="bottom"/>
            <w:hideMark/>
          </w:tcPr>
          <w:p w:rsidR="007B45D5" w:rsidRPr="001D3639" w:rsidRDefault="007B45D5" w:rsidP="007B45D5">
            <w:pPr>
              <w:spacing w:after="0" w:line="240" w:lineRule="auto"/>
              <w:rPr>
                <w:rFonts w:eastAsia="Times New Roman" w:cstheme="minorHAnsi"/>
                <w:color w:val="000000"/>
                <w:lang w:eastAsia="en-AU"/>
              </w:rPr>
            </w:pPr>
            <w:r w:rsidRPr="001D3639">
              <w:rPr>
                <w:rFonts w:eastAsia="Times New Roman" w:cstheme="minorHAnsi"/>
                <w:color w:val="000000"/>
                <w:lang w:eastAsia="en-AU"/>
              </w:rPr>
              <w:t>Daily Living</w:t>
            </w:r>
          </w:p>
        </w:tc>
        <w:tc>
          <w:tcPr>
            <w:tcW w:w="1200" w:type="dxa"/>
            <w:tcBorders>
              <w:top w:val="nil"/>
              <w:left w:val="nil"/>
              <w:bottom w:val="single" w:sz="4" w:space="0" w:color="auto"/>
              <w:right w:val="nil"/>
            </w:tcBorders>
            <w:shd w:val="clear" w:color="auto" w:fill="auto"/>
            <w:noWrap/>
            <w:vAlign w:val="bottom"/>
            <w:hideMark/>
          </w:tcPr>
          <w:p w:rsidR="007B45D5" w:rsidRPr="001D3639" w:rsidRDefault="007B45D5" w:rsidP="007B45D5">
            <w:pPr>
              <w:spacing w:after="0" w:line="240" w:lineRule="auto"/>
              <w:jc w:val="center"/>
              <w:rPr>
                <w:rFonts w:eastAsia="Times New Roman" w:cstheme="minorHAnsi"/>
                <w:color w:val="000000"/>
                <w:lang w:eastAsia="en-AU"/>
              </w:rPr>
            </w:pPr>
            <w:r w:rsidRPr="001D3639">
              <w:rPr>
                <w:rFonts w:eastAsia="Times New Roman" w:cstheme="minorHAnsi"/>
                <w:color w:val="000000"/>
                <w:lang w:eastAsia="en-AU"/>
              </w:rPr>
              <w:t>61.4%</w:t>
            </w:r>
          </w:p>
        </w:tc>
        <w:tc>
          <w:tcPr>
            <w:tcW w:w="1280" w:type="dxa"/>
            <w:tcBorders>
              <w:top w:val="nil"/>
              <w:left w:val="single" w:sz="8" w:space="0" w:color="auto"/>
              <w:bottom w:val="single" w:sz="4" w:space="0" w:color="auto"/>
              <w:right w:val="single" w:sz="8" w:space="0" w:color="auto"/>
            </w:tcBorders>
            <w:shd w:val="clear" w:color="auto" w:fill="auto"/>
            <w:noWrap/>
            <w:vAlign w:val="bottom"/>
            <w:hideMark/>
          </w:tcPr>
          <w:p w:rsidR="007B45D5" w:rsidRPr="001D3639" w:rsidRDefault="007B45D5" w:rsidP="007B45D5">
            <w:pPr>
              <w:spacing w:after="0" w:line="240" w:lineRule="auto"/>
              <w:jc w:val="center"/>
              <w:rPr>
                <w:rFonts w:eastAsia="Times New Roman" w:cstheme="minorHAnsi"/>
                <w:color w:val="000000"/>
                <w:lang w:eastAsia="en-AU"/>
              </w:rPr>
            </w:pPr>
            <w:r w:rsidRPr="001D3639">
              <w:rPr>
                <w:rFonts w:eastAsia="Times New Roman" w:cstheme="minorHAnsi"/>
                <w:color w:val="000000"/>
                <w:lang w:eastAsia="en-AU"/>
              </w:rPr>
              <w:t>67.6%</w:t>
            </w:r>
          </w:p>
        </w:tc>
        <w:tc>
          <w:tcPr>
            <w:tcW w:w="1260" w:type="dxa"/>
            <w:tcBorders>
              <w:top w:val="nil"/>
              <w:left w:val="nil"/>
              <w:bottom w:val="single" w:sz="4" w:space="0" w:color="auto"/>
              <w:right w:val="nil"/>
            </w:tcBorders>
            <w:shd w:val="clear" w:color="auto" w:fill="auto"/>
            <w:noWrap/>
            <w:vAlign w:val="bottom"/>
            <w:hideMark/>
          </w:tcPr>
          <w:p w:rsidR="007B45D5" w:rsidRPr="001D3639" w:rsidRDefault="007B45D5" w:rsidP="007B45D5">
            <w:pPr>
              <w:spacing w:after="0" w:line="240" w:lineRule="auto"/>
              <w:jc w:val="center"/>
              <w:rPr>
                <w:rFonts w:eastAsia="Times New Roman" w:cstheme="minorHAnsi"/>
                <w:color w:val="000000"/>
                <w:lang w:eastAsia="en-AU"/>
              </w:rPr>
            </w:pPr>
            <w:r w:rsidRPr="001D3639">
              <w:rPr>
                <w:rFonts w:eastAsia="Times New Roman" w:cstheme="minorHAnsi"/>
                <w:color w:val="000000"/>
                <w:lang w:eastAsia="en-AU"/>
              </w:rPr>
              <w:t>71.7%</w:t>
            </w:r>
          </w:p>
        </w:tc>
        <w:tc>
          <w:tcPr>
            <w:tcW w:w="1300" w:type="dxa"/>
            <w:tcBorders>
              <w:top w:val="nil"/>
              <w:left w:val="single" w:sz="8" w:space="0" w:color="auto"/>
              <w:bottom w:val="single" w:sz="4" w:space="0" w:color="auto"/>
              <w:right w:val="single" w:sz="8" w:space="0" w:color="auto"/>
            </w:tcBorders>
            <w:shd w:val="clear" w:color="auto" w:fill="auto"/>
            <w:noWrap/>
            <w:vAlign w:val="bottom"/>
            <w:hideMark/>
          </w:tcPr>
          <w:p w:rsidR="007B45D5" w:rsidRPr="001D3639" w:rsidRDefault="007B45D5" w:rsidP="007B45D5">
            <w:pPr>
              <w:spacing w:after="0" w:line="240" w:lineRule="auto"/>
              <w:jc w:val="center"/>
              <w:rPr>
                <w:rFonts w:eastAsia="Times New Roman" w:cstheme="minorHAnsi"/>
                <w:color w:val="000000"/>
                <w:lang w:eastAsia="en-AU"/>
              </w:rPr>
            </w:pPr>
            <w:r w:rsidRPr="001D3639">
              <w:rPr>
                <w:rFonts w:eastAsia="Times New Roman" w:cstheme="minorHAnsi"/>
                <w:color w:val="000000"/>
                <w:lang w:eastAsia="en-AU"/>
              </w:rPr>
              <w:t>73.0%</w:t>
            </w:r>
          </w:p>
        </w:tc>
        <w:tc>
          <w:tcPr>
            <w:tcW w:w="1220" w:type="dxa"/>
            <w:tcBorders>
              <w:top w:val="nil"/>
              <w:left w:val="nil"/>
              <w:bottom w:val="single" w:sz="4" w:space="0" w:color="auto"/>
              <w:right w:val="single" w:sz="8" w:space="0" w:color="auto"/>
            </w:tcBorders>
            <w:shd w:val="clear" w:color="auto" w:fill="auto"/>
            <w:noWrap/>
            <w:vAlign w:val="bottom"/>
            <w:hideMark/>
          </w:tcPr>
          <w:p w:rsidR="007B45D5" w:rsidRPr="001D3639" w:rsidRDefault="007B45D5" w:rsidP="007B45D5">
            <w:pPr>
              <w:spacing w:after="0" w:line="240" w:lineRule="auto"/>
              <w:jc w:val="center"/>
              <w:rPr>
                <w:rFonts w:eastAsia="Times New Roman" w:cstheme="minorHAnsi"/>
                <w:color w:val="000000"/>
                <w:lang w:eastAsia="en-AU"/>
              </w:rPr>
            </w:pPr>
            <w:r w:rsidRPr="001D3639">
              <w:rPr>
                <w:rFonts w:eastAsia="Times New Roman" w:cstheme="minorHAnsi"/>
                <w:color w:val="000000"/>
                <w:lang w:eastAsia="en-AU"/>
              </w:rPr>
              <w:t>75.1%</w:t>
            </w:r>
          </w:p>
        </w:tc>
      </w:tr>
      <w:tr w:rsidR="007B45D5" w:rsidRPr="001D3639" w:rsidTr="001D3639">
        <w:trPr>
          <w:trHeight w:val="278"/>
        </w:trPr>
        <w:tc>
          <w:tcPr>
            <w:tcW w:w="3860" w:type="dxa"/>
            <w:tcBorders>
              <w:top w:val="nil"/>
              <w:left w:val="single" w:sz="8" w:space="0" w:color="auto"/>
              <w:bottom w:val="single" w:sz="8" w:space="0" w:color="auto"/>
              <w:right w:val="single" w:sz="8" w:space="0" w:color="auto"/>
            </w:tcBorders>
            <w:shd w:val="clear" w:color="auto" w:fill="auto"/>
            <w:noWrap/>
            <w:vAlign w:val="bottom"/>
            <w:hideMark/>
          </w:tcPr>
          <w:p w:rsidR="007B45D5" w:rsidRPr="001D3639" w:rsidRDefault="007B45D5" w:rsidP="007B45D5">
            <w:pPr>
              <w:spacing w:after="0" w:line="240" w:lineRule="auto"/>
              <w:rPr>
                <w:rFonts w:eastAsia="Times New Roman" w:cstheme="minorHAnsi"/>
                <w:color w:val="000000"/>
                <w:lang w:eastAsia="en-AU"/>
              </w:rPr>
            </w:pPr>
            <w:r w:rsidRPr="001D3639">
              <w:rPr>
                <w:rFonts w:eastAsia="Times New Roman" w:cstheme="minorHAnsi"/>
                <w:color w:val="000000"/>
                <w:lang w:eastAsia="en-AU"/>
              </w:rPr>
              <w:t>Choice and Control</w:t>
            </w:r>
          </w:p>
        </w:tc>
        <w:tc>
          <w:tcPr>
            <w:tcW w:w="1200" w:type="dxa"/>
            <w:tcBorders>
              <w:top w:val="nil"/>
              <w:left w:val="nil"/>
              <w:bottom w:val="single" w:sz="8" w:space="0" w:color="auto"/>
              <w:right w:val="nil"/>
            </w:tcBorders>
            <w:shd w:val="clear" w:color="auto" w:fill="auto"/>
            <w:noWrap/>
            <w:vAlign w:val="bottom"/>
            <w:hideMark/>
          </w:tcPr>
          <w:p w:rsidR="007B45D5" w:rsidRPr="001D3639" w:rsidRDefault="007B45D5" w:rsidP="007B45D5">
            <w:pPr>
              <w:spacing w:after="0" w:line="240" w:lineRule="auto"/>
              <w:jc w:val="center"/>
              <w:rPr>
                <w:rFonts w:eastAsia="Times New Roman" w:cstheme="minorHAnsi"/>
                <w:color w:val="000000"/>
                <w:lang w:eastAsia="en-AU"/>
              </w:rPr>
            </w:pPr>
            <w:r w:rsidRPr="001D3639">
              <w:rPr>
                <w:rFonts w:eastAsia="Times New Roman" w:cstheme="minorHAnsi"/>
                <w:color w:val="000000"/>
                <w:lang w:eastAsia="en-AU"/>
              </w:rPr>
              <w:t>61.9%</w:t>
            </w:r>
          </w:p>
        </w:tc>
        <w:tc>
          <w:tcPr>
            <w:tcW w:w="1280" w:type="dxa"/>
            <w:tcBorders>
              <w:top w:val="nil"/>
              <w:left w:val="single" w:sz="8" w:space="0" w:color="auto"/>
              <w:bottom w:val="single" w:sz="8" w:space="0" w:color="auto"/>
              <w:right w:val="single" w:sz="8" w:space="0" w:color="auto"/>
            </w:tcBorders>
            <w:shd w:val="clear" w:color="auto" w:fill="auto"/>
            <w:noWrap/>
            <w:vAlign w:val="bottom"/>
            <w:hideMark/>
          </w:tcPr>
          <w:p w:rsidR="007B45D5" w:rsidRPr="001D3639" w:rsidRDefault="007B45D5" w:rsidP="007B45D5">
            <w:pPr>
              <w:spacing w:after="0" w:line="240" w:lineRule="auto"/>
              <w:jc w:val="center"/>
              <w:rPr>
                <w:rFonts w:eastAsia="Times New Roman" w:cstheme="minorHAnsi"/>
                <w:color w:val="000000"/>
                <w:lang w:eastAsia="en-AU"/>
              </w:rPr>
            </w:pPr>
            <w:r w:rsidRPr="001D3639">
              <w:rPr>
                <w:rFonts w:eastAsia="Times New Roman" w:cstheme="minorHAnsi"/>
                <w:color w:val="000000"/>
                <w:lang w:eastAsia="en-AU"/>
              </w:rPr>
              <w:t>66.6%</w:t>
            </w:r>
          </w:p>
        </w:tc>
        <w:tc>
          <w:tcPr>
            <w:tcW w:w="1260" w:type="dxa"/>
            <w:tcBorders>
              <w:top w:val="nil"/>
              <w:left w:val="nil"/>
              <w:bottom w:val="single" w:sz="8" w:space="0" w:color="auto"/>
              <w:right w:val="nil"/>
            </w:tcBorders>
            <w:shd w:val="clear" w:color="auto" w:fill="auto"/>
            <w:noWrap/>
            <w:vAlign w:val="bottom"/>
            <w:hideMark/>
          </w:tcPr>
          <w:p w:rsidR="007B45D5" w:rsidRPr="001D3639" w:rsidRDefault="007B45D5" w:rsidP="007B45D5">
            <w:pPr>
              <w:spacing w:after="0" w:line="240" w:lineRule="auto"/>
              <w:jc w:val="center"/>
              <w:rPr>
                <w:rFonts w:eastAsia="Times New Roman" w:cstheme="minorHAnsi"/>
                <w:color w:val="000000"/>
                <w:lang w:eastAsia="en-AU"/>
              </w:rPr>
            </w:pPr>
            <w:r w:rsidRPr="001D3639">
              <w:rPr>
                <w:rFonts w:eastAsia="Times New Roman" w:cstheme="minorHAnsi"/>
                <w:color w:val="000000"/>
                <w:lang w:eastAsia="en-AU"/>
              </w:rPr>
              <w:t>69.3%</w:t>
            </w:r>
          </w:p>
        </w:tc>
        <w:tc>
          <w:tcPr>
            <w:tcW w:w="1300" w:type="dxa"/>
            <w:tcBorders>
              <w:top w:val="nil"/>
              <w:left w:val="single" w:sz="8" w:space="0" w:color="auto"/>
              <w:bottom w:val="single" w:sz="8" w:space="0" w:color="auto"/>
              <w:right w:val="single" w:sz="8" w:space="0" w:color="auto"/>
            </w:tcBorders>
            <w:shd w:val="clear" w:color="auto" w:fill="auto"/>
            <w:noWrap/>
            <w:vAlign w:val="bottom"/>
            <w:hideMark/>
          </w:tcPr>
          <w:p w:rsidR="007B45D5" w:rsidRPr="001D3639" w:rsidRDefault="007B45D5" w:rsidP="007B45D5">
            <w:pPr>
              <w:spacing w:after="0" w:line="240" w:lineRule="auto"/>
              <w:jc w:val="center"/>
              <w:rPr>
                <w:rFonts w:eastAsia="Times New Roman" w:cstheme="minorHAnsi"/>
                <w:color w:val="000000"/>
                <w:lang w:eastAsia="en-AU"/>
              </w:rPr>
            </w:pPr>
            <w:r w:rsidRPr="001D3639">
              <w:rPr>
                <w:rFonts w:eastAsia="Times New Roman" w:cstheme="minorHAnsi"/>
                <w:color w:val="000000"/>
                <w:lang w:eastAsia="en-AU"/>
              </w:rPr>
              <w:t>70.1%</w:t>
            </w:r>
          </w:p>
        </w:tc>
        <w:tc>
          <w:tcPr>
            <w:tcW w:w="1220" w:type="dxa"/>
            <w:tcBorders>
              <w:top w:val="nil"/>
              <w:left w:val="nil"/>
              <w:bottom w:val="single" w:sz="8" w:space="0" w:color="auto"/>
              <w:right w:val="single" w:sz="8" w:space="0" w:color="auto"/>
            </w:tcBorders>
            <w:shd w:val="clear" w:color="auto" w:fill="auto"/>
            <w:noWrap/>
            <w:vAlign w:val="bottom"/>
            <w:hideMark/>
          </w:tcPr>
          <w:p w:rsidR="007B45D5" w:rsidRPr="001D3639" w:rsidRDefault="007B45D5" w:rsidP="007B45D5">
            <w:pPr>
              <w:spacing w:after="0" w:line="240" w:lineRule="auto"/>
              <w:jc w:val="center"/>
              <w:rPr>
                <w:rFonts w:eastAsia="Times New Roman" w:cstheme="minorHAnsi"/>
                <w:color w:val="000000"/>
                <w:lang w:eastAsia="en-AU"/>
              </w:rPr>
            </w:pPr>
            <w:r w:rsidRPr="001D3639">
              <w:rPr>
                <w:rFonts w:eastAsia="Times New Roman" w:cstheme="minorHAnsi"/>
                <w:color w:val="000000"/>
                <w:lang w:eastAsia="en-AU"/>
              </w:rPr>
              <w:t>70.2%</w:t>
            </w:r>
          </w:p>
        </w:tc>
      </w:tr>
    </w:tbl>
    <w:p w:rsidR="001D3639" w:rsidRDefault="001D3639" w:rsidP="001D3639"/>
    <w:p w:rsidR="006C2035" w:rsidRDefault="0080201D" w:rsidP="006C2035">
      <w:r>
        <w:t>Footnote 1</w:t>
      </w:r>
      <w:r w:rsidR="006C2035">
        <w:t xml:space="preserve">: Note, however, that this includes participants who are not actively job seeking, </w:t>
      </w:r>
      <w:r w:rsidR="00E821A9">
        <w:t xml:space="preserve">for </w:t>
      </w:r>
      <w:r w:rsidR="006C2035">
        <w:t>example because they are still at school.</w:t>
      </w:r>
    </w:p>
    <w:p w:rsidR="00E27419" w:rsidRDefault="00E27419" w:rsidP="00E27419">
      <w:pPr>
        <w:pStyle w:val="Heading2"/>
      </w:pPr>
      <w:bookmarkStart w:id="88" w:name="_Toc121151460"/>
      <w:r>
        <w:t>Slide 78: Participants aged 15 to 24</w:t>
      </w:r>
      <w:bookmarkEnd w:id="88"/>
    </w:p>
    <w:p w:rsidR="00E27419" w:rsidRPr="004168FC" w:rsidRDefault="00E27419" w:rsidP="004168FC">
      <w:pPr>
        <w:pStyle w:val="Heading5"/>
      </w:pPr>
      <w:r w:rsidRPr="004168FC">
        <w:t>Has the NDIS helped after one year?</w:t>
      </w:r>
    </w:p>
    <w:p w:rsidR="00E27419" w:rsidRPr="004168FC" w:rsidRDefault="00E27419" w:rsidP="004168FC">
      <w:pPr>
        <w:pStyle w:val="Heading5"/>
        <w:rPr>
          <w:i/>
        </w:rPr>
      </w:pPr>
      <w:r w:rsidRPr="004168FC">
        <w:rPr>
          <w:i/>
        </w:rPr>
        <w:t>By baseline utilisation</w:t>
      </w:r>
    </w:p>
    <w:p w:rsidR="00E27419" w:rsidRDefault="00E27419" w:rsidP="00E27419">
      <w:r>
        <w:t xml:space="preserve">Higher plan utilisation is strongly associated with a positive response across most domains, after </w:t>
      </w:r>
      <w:r w:rsidR="005A7C7C">
        <w:t>One year in the Scheme</w:t>
      </w:r>
      <w:r>
        <w:t>.</w:t>
      </w:r>
    </w:p>
    <w:p w:rsidR="00E27419" w:rsidRDefault="00E27419" w:rsidP="00E27419">
      <w:r>
        <w:t>In all domains except work, the percentage saying the NDIS helped increases consistently for higher baseline plan utilisation categories. In all domains, the greatest increase is seen between utilisation bands 0-20% and 20-40%.</w:t>
      </w:r>
    </w:p>
    <w:p w:rsidR="00E821A9" w:rsidRDefault="00E27419" w:rsidP="00E27419">
      <w:r>
        <w:t>For the work domain, the percentage saying the NDIS helped them find the right job increased between utilisation bands 0-20% and 60-80%. However, this percentage decreased slightly for those utilising over 80% of their plans at baseline.</w:t>
      </w:r>
    </w:p>
    <w:tbl>
      <w:tblPr>
        <w:tblW w:w="10060" w:type="dxa"/>
        <w:tblLook w:val="04A0" w:firstRow="1" w:lastRow="0" w:firstColumn="1" w:lastColumn="0" w:noHBand="0" w:noVBand="1"/>
      </w:tblPr>
      <w:tblGrid>
        <w:gridCol w:w="3392"/>
        <w:gridCol w:w="1418"/>
        <w:gridCol w:w="1417"/>
        <w:gridCol w:w="1418"/>
        <w:gridCol w:w="1435"/>
        <w:gridCol w:w="980"/>
      </w:tblGrid>
      <w:tr w:rsidR="007B45D5" w:rsidRPr="00E27419" w:rsidTr="00E27419">
        <w:trPr>
          <w:trHeight w:val="548"/>
        </w:trPr>
        <w:tc>
          <w:tcPr>
            <w:tcW w:w="3392" w:type="dxa"/>
            <w:tcBorders>
              <w:top w:val="single" w:sz="8" w:space="0" w:color="auto"/>
              <w:left w:val="single" w:sz="8" w:space="0" w:color="auto"/>
              <w:bottom w:val="single" w:sz="8" w:space="0" w:color="auto"/>
              <w:right w:val="nil"/>
            </w:tcBorders>
            <w:shd w:val="clear" w:color="auto" w:fill="auto"/>
            <w:noWrap/>
            <w:vAlign w:val="bottom"/>
            <w:hideMark/>
          </w:tcPr>
          <w:p w:rsidR="007B45D5" w:rsidRPr="002F661A" w:rsidRDefault="007B45D5" w:rsidP="007B45D5">
            <w:pPr>
              <w:spacing w:after="0" w:line="240" w:lineRule="auto"/>
              <w:rPr>
                <w:rFonts w:eastAsia="Times New Roman" w:cstheme="minorHAnsi"/>
                <w:b/>
                <w:lang w:eastAsia="en-AU"/>
              </w:rPr>
            </w:pPr>
            <w:r>
              <w:rPr>
                <w:rFonts w:eastAsia="Times New Roman" w:cstheme="minorHAnsi"/>
                <w:b/>
                <w:lang w:eastAsia="en-AU"/>
              </w:rPr>
              <w:t>Domain</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B45D5" w:rsidRPr="00E27419" w:rsidRDefault="007B45D5" w:rsidP="007B45D5">
            <w:pPr>
              <w:spacing w:after="0" w:line="240" w:lineRule="auto"/>
              <w:jc w:val="center"/>
              <w:rPr>
                <w:rFonts w:eastAsia="Times New Roman" w:cstheme="minorHAnsi"/>
                <w:b/>
                <w:lang w:eastAsia="en-AU"/>
              </w:rPr>
            </w:pPr>
            <w:r w:rsidRPr="00E27419">
              <w:rPr>
                <w:rFonts w:eastAsia="Times New Roman" w:cstheme="minorHAnsi"/>
                <w:b/>
                <w:lang w:eastAsia="en-AU"/>
              </w:rPr>
              <w:t>0% to 20%</w:t>
            </w:r>
          </w:p>
        </w:tc>
        <w:tc>
          <w:tcPr>
            <w:tcW w:w="1417" w:type="dxa"/>
            <w:tcBorders>
              <w:top w:val="single" w:sz="8" w:space="0" w:color="auto"/>
              <w:left w:val="nil"/>
              <w:bottom w:val="single" w:sz="8" w:space="0" w:color="auto"/>
              <w:right w:val="nil"/>
            </w:tcBorders>
            <w:shd w:val="clear" w:color="auto" w:fill="auto"/>
            <w:vAlign w:val="bottom"/>
            <w:hideMark/>
          </w:tcPr>
          <w:p w:rsidR="007B45D5" w:rsidRPr="00E27419" w:rsidRDefault="007B45D5" w:rsidP="007B45D5">
            <w:pPr>
              <w:spacing w:after="0" w:line="240" w:lineRule="auto"/>
              <w:jc w:val="center"/>
              <w:rPr>
                <w:rFonts w:eastAsia="Times New Roman" w:cstheme="minorHAnsi"/>
                <w:b/>
                <w:lang w:eastAsia="en-AU"/>
              </w:rPr>
            </w:pPr>
            <w:r w:rsidRPr="00E27419">
              <w:rPr>
                <w:rFonts w:eastAsia="Times New Roman" w:cstheme="minorHAnsi"/>
                <w:b/>
                <w:lang w:eastAsia="en-AU"/>
              </w:rPr>
              <w:t>20% to 40%</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B45D5" w:rsidRPr="00E27419" w:rsidRDefault="007B45D5" w:rsidP="007B45D5">
            <w:pPr>
              <w:spacing w:after="0" w:line="240" w:lineRule="auto"/>
              <w:jc w:val="center"/>
              <w:rPr>
                <w:rFonts w:eastAsia="Times New Roman" w:cstheme="minorHAnsi"/>
                <w:b/>
                <w:lang w:eastAsia="en-AU"/>
              </w:rPr>
            </w:pPr>
            <w:r w:rsidRPr="00E27419">
              <w:rPr>
                <w:rFonts w:eastAsia="Times New Roman" w:cstheme="minorHAnsi"/>
                <w:b/>
                <w:lang w:eastAsia="en-AU"/>
              </w:rPr>
              <w:t>40% to 60%</w:t>
            </w:r>
          </w:p>
        </w:tc>
        <w:tc>
          <w:tcPr>
            <w:tcW w:w="1435" w:type="dxa"/>
            <w:tcBorders>
              <w:top w:val="single" w:sz="8" w:space="0" w:color="auto"/>
              <w:left w:val="nil"/>
              <w:bottom w:val="single" w:sz="8" w:space="0" w:color="auto"/>
              <w:right w:val="nil"/>
            </w:tcBorders>
            <w:shd w:val="clear" w:color="auto" w:fill="auto"/>
            <w:vAlign w:val="bottom"/>
            <w:hideMark/>
          </w:tcPr>
          <w:p w:rsidR="007B45D5" w:rsidRPr="00E27419" w:rsidRDefault="007B45D5" w:rsidP="007B45D5">
            <w:pPr>
              <w:spacing w:after="0" w:line="240" w:lineRule="auto"/>
              <w:jc w:val="center"/>
              <w:rPr>
                <w:rFonts w:eastAsia="Times New Roman" w:cstheme="minorHAnsi"/>
                <w:b/>
                <w:lang w:eastAsia="en-AU"/>
              </w:rPr>
            </w:pPr>
            <w:r w:rsidRPr="00E27419">
              <w:rPr>
                <w:rFonts w:eastAsia="Times New Roman" w:cstheme="minorHAnsi"/>
                <w:b/>
                <w:lang w:eastAsia="en-AU"/>
              </w:rPr>
              <w:t>60% to 80%</w:t>
            </w:r>
          </w:p>
        </w:tc>
        <w:tc>
          <w:tcPr>
            <w:tcW w:w="98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B45D5" w:rsidRPr="00E27419" w:rsidRDefault="007B45D5" w:rsidP="007B45D5">
            <w:pPr>
              <w:spacing w:after="0" w:line="240" w:lineRule="auto"/>
              <w:rPr>
                <w:rFonts w:eastAsia="Times New Roman" w:cstheme="minorHAnsi"/>
                <w:b/>
                <w:lang w:eastAsia="en-AU"/>
              </w:rPr>
            </w:pPr>
            <w:r w:rsidRPr="00E27419">
              <w:rPr>
                <w:rFonts w:eastAsia="Times New Roman" w:cstheme="minorHAnsi"/>
                <w:b/>
                <w:lang w:eastAsia="en-AU"/>
              </w:rPr>
              <w:t>Over 80%</w:t>
            </w:r>
          </w:p>
        </w:tc>
      </w:tr>
      <w:tr w:rsidR="007B45D5" w:rsidRPr="00E27419" w:rsidTr="00E27419">
        <w:trPr>
          <w:trHeight w:val="270"/>
        </w:trPr>
        <w:tc>
          <w:tcPr>
            <w:tcW w:w="3392" w:type="dxa"/>
            <w:tcBorders>
              <w:top w:val="nil"/>
              <w:left w:val="single" w:sz="8" w:space="0" w:color="auto"/>
              <w:bottom w:val="single" w:sz="4" w:space="0" w:color="auto"/>
              <w:right w:val="nil"/>
            </w:tcBorders>
            <w:shd w:val="clear" w:color="auto" w:fill="auto"/>
            <w:noWrap/>
            <w:vAlign w:val="bottom"/>
            <w:hideMark/>
          </w:tcPr>
          <w:p w:rsidR="007B45D5" w:rsidRPr="00E27419" w:rsidRDefault="007B45D5" w:rsidP="007B45D5">
            <w:pPr>
              <w:spacing w:after="0" w:line="240" w:lineRule="auto"/>
              <w:rPr>
                <w:rFonts w:eastAsia="Times New Roman" w:cstheme="minorHAnsi"/>
                <w:lang w:eastAsia="en-AU"/>
              </w:rPr>
            </w:pPr>
            <w:r w:rsidRPr="00E27419">
              <w:rPr>
                <w:rFonts w:eastAsia="Times New Roman" w:cstheme="minorHAnsi"/>
                <w:lang w:eastAsia="en-AU"/>
              </w:rPr>
              <w:t>Social, Community and Civic Participation</w:t>
            </w:r>
          </w:p>
        </w:tc>
        <w:tc>
          <w:tcPr>
            <w:tcW w:w="1418" w:type="dxa"/>
            <w:tcBorders>
              <w:top w:val="nil"/>
              <w:left w:val="single" w:sz="8" w:space="0" w:color="auto"/>
              <w:bottom w:val="single" w:sz="4" w:space="0" w:color="auto"/>
              <w:right w:val="single" w:sz="8" w:space="0" w:color="auto"/>
            </w:tcBorders>
            <w:shd w:val="clear" w:color="auto" w:fill="auto"/>
            <w:noWrap/>
            <w:vAlign w:val="bottom"/>
            <w:hideMark/>
          </w:tcPr>
          <w:p w:rsidR="007B45D5" w:rsidRPr="00E27419" w:rsidRDefault="007B45D5" w:rsidP="007B45D5">
            <w:pPr>
              <w:spacing w:after="0" w:line="240" w:lineRule="auto"/>
              <w:jc w:val="center"/>
              <w:rPr>
                <w:rFonts w:eastAsia="Times New Roman" w:cstheme="minorHAnsi"/>
                <w:lang w:eastAsia="en-AU"/>
              </w:rPr>
            </w:pPr>
            <w:r w:rsidRPr="00E27419">
              <w:rPr>
                <w:rFonts w:eastAsia="Times New Roman" w:cstheme="minorHAnsi"/>
                <w:lang w:eastAsia="en-AU"/>
              </w:rPr>
              <w:t>38%</w:t>
            </w:r>
          </w:p>
        </w:tc>
        <w:tc>
          <w:tcPr>
            <w:tcW w:w="1417" w:type="dxa"/>
            <w:tcBorders>
              <w:top w:val="nil"/>
              <w:left w:val="nil"/>
              <w:bottom w:val="single" w:sz="4" w:space="0" w:color="auto"/>
              <w:right w:val="nil"/>
            </w:tcBorders>
            <w:shd w:val="clear" w:color="auto" w:fill="auto"/>
            <w:noWrap/>
            <w:vAlign w:val="bottom"/>
            <w:hideMark/>
          </w:tcPr>
          <w:p w:rsidR="007B45D5" w:rsidRPr="00E27419" w:rsidRDefault="007B45D5" w:rsidP="007B45D5">
            <w:pPr>
              <w:spacing w:after="0" w:line="240" w:lineRule="auto"/>
              <w:jc w:val="center"/>
              <w:rPr>
                <w:rFonts w:eastAsia="Times New Roman" w:cstheme="minorHAnsi"/>
                <w:lang w:eastAsia="en-AU"/>
              </w:rPr>
            </w:pPr>
            <w:r w:rsidRPr="00E27419">
              <w:rPr>
                <w:rFonts w:eastAsia="Times New Roman" w:cstheme="minorHAnsi"/>
                <w:lang w:eastAsia="en-AU"/>
              </w:rPr>
              <w:t>61%</w:t>
            </w:r>
          </w:p>
        </w:tc>
        <w:tc>
          <w:tcPr>
            <w:tcW w:w="1418" w:type="dxa"/>
            <w:tcBorders>
              <w:top w:val="nil"/>
              <w:left w:val="single" w:sz="8" w:space="0" w:color="auto"/>
              <w:bottom w:val="single" w:sz="4" w:space="0" w:color="auto"/>
              <w:right w:val="single" w:sz="8" w:space="0" w:color="auto"/>
            </w:tcBorders>
            <w:shd w:val="clear" w:color="auto" w:fill="auto"/>
            <w:noWrap/>
            <w:vAlign w:val="bottom"/>
            <w:hideMark/>
          </w:tcPr>
          <w:p w:rsidR="007B45D5" w:rsidRPr="00E27419" w:rsidRDefault="007B45D5" w:rsidP="007B45D5">
            <w:pPr>
              <w:spacing w:after="0" w:line="240" w:lineRule="auto"/>
              <w:jc w:val="center"/>
              <w:rPr>
                <w:rFonts w:eastAsia="Times New Roman" w:cstheme="minorHAnsi"/>
                <w:lang w:eastAsia="en-AU"/>
              </w:rPr>
            </w:pPr>
            <w:r w:rsidRPr="00E27419">
              <w:rPr>
                <w:rFonts w:eastAsia="Times New Roman" w:cstheme="minorHAnsi"/>
                <w:lang w:eastAsia="en-AU"/>
              </w:rPr>
              <w:t>68%</w:t>
            </w:r>
          </w:p>
        </w:tc>
        <w:tc>
          <w:tcPr>
            <w:tcW w:w="1435" w:type="dxa"/>
            <w:tcBorders>
              <w:top w:val="nil"/>
              <w:left w:val="nil"/>
              <w:bottom w:val="single" w:sz="4" w:space="0" w:color="auto"/>
              <w:right w:val="nil"/>
            </w:tcBorders>
            <w:shd w:val="clear" w:color="auto" w:fill="auto"/>
            <w:noWrap/>
            <w:vAlign w:val="bottom"/>
            <w:hideMark/>
          </w:tcPr>
          <w:p w:rsidR="007B45D5" w:rsidRPr="00E27419" w:rsidRDefault="007B45D5" w:rsidP="007B45D5">
            <w:pPr>
              <w:spacing w:after="0" w:line="240" w:lineRule="auto"/>
              <w:jc w:val="center"/>
              <w:rPr>
                <w:rFonts w:eastAsia="Times New Roman" w:cstheme="minorHAnsi"/>
                <w:lang w:eastAsia="en-AU"/>
              </w:rPr>
            </w:pPr>
            <w:r w:rsidRPr="00E27419">
              <w:rPr>
                <w:rFonts w:eastAsia="Times New Roman" w:cstheme="minorHAnsi"/>
                <w:lang w:eastAsia="en-AU"/>
              </w:rPr>
              <w:t>71%</w:t>
            </w:r>
          </w:p>
        </w:tc>
        <w:tc>
          <w:tcPr>
            <w:tcW w:w="980" w:type="dxa"/>
            <w:tcBorders>
              <w:top w:val="nil"/>
              <w:left w:val="single" w:sz="8" w:space="0" w:color="auto"/>
              <w:bottom w:val="single" w:sz="4" w:space="0" w:color="auto"/>
              <w:right w:val="single" w:sz="8" w:space="0" w:color="auto"/>
            </w:tcBorders>
            <w:shd w:val="clear" w:color="auto" w:fill="auto"/>
            <w:noWrap/>
            <w:vAlign w:val="bottom"/>
            <w:hideMark/>
          </w:tcPr>
          <w:p w:rsidR="007B45D5" w:rsidRPr="00E27419" w:rsidRDefault="007B45D5" w:rsidP="007B45D5">
            <w:pPr>
              <w:spacing w:after="0" w:line="240" w:lineRule="auto"/>
              <w:jc w:val="right"/>
              <w:rPr>
                <w:rFonts w:eastAsia="Times New Roman" w:cstheme="minorHAnsi"/>
                <w:lang w:eastAsia="en-AU"/>
              </w:rPr>
            </w:pPr>
            <w:r w:rsidRPr="00E27419">
              <w:rPr>
                <w:rFonts w:eastAsia="Times New Roman" w:cstheme="minorHAnsi"/>
                <w:lang w:eastAsia="en-AU"/>
              </w:rPr>
              <w:t>71%</w:t>
            </w:r>
          </w:p>
        </w:tc>
      </w:tr>
      <w:tr w:rsidR="007B45D5" w:rsidRPr="00E27419" w:rsidTr="00E27419">
        <w:trPr>
          <w:trHeight w:val="270"/>
        </w:trPr>
        <w:tc>
          <w:tcPr>
            <w:tcW w:w="3392" w:type="dxa"/>
            <w:tcBorders>
              <w:top w:val="nil"/>
              <w:left w:val="single" w:sz="8" w:space="0" w:color="auto"/>
              <w:bottom w:val="single" w:sz="4" w:space="0" w:color="auto"/>
              <w:right w:val="nil"/>
            </w:tcBorders>
            <w:shd w:val="clear" w:color="auto" w:fill="auto"/>
            <w:noWrap/>
            <w:vAlign w:val="bottom"/>
            <w:hideMark/>
          </w:tcPr>
          <w:p w:rsidR="007B45D5" w:rsidRPr="00E27419" w:rsidRDefault="007B45D5" w:rsidP="007B45D5">
            <w:pPr>
              <w:spacing w:after="0" w:line="240" w:lineRule="auto"/>
              <w:rPr>
                <w:rFonts w:eastAsia="Times New Roman" w:cstheme="minorHAnsi"/>
                <w:lang w:eastAsia="en-AU"/>
              </w:rPr>
            </w:pPr>
            <w:r w:rsidRPr="00E27419">
              <w:rPr>
                <w:rFonts w:eastAsia="Times New Roman" w:cstheme="minorHAnsi"/>
                <w:lang w:eastAsia="en-AU"/>
              </w:rPr>
              <w:t>Work</w:t>
            </w:r>
          </w:p>
        </w:tc>
        <w:tc>
          <w:tcPr>
            <w:tcW w:w="1418" w:type="dxa"/>
            <w:tcBorders>
              <w:top w:val="nil"/>
              <w:left w:val="single" w:sz="8" w:space="0" w:color="auto"/>
              <w:bottom w:val="single" w:sz="4" w:space="0" w:color="auto"/>
              <w:right w:val="single" w:sz="8" w:space="0" w:color="auto"/>
            </w:tcBorders>
            <w:shd w:val="clear" w:color="auto" w:fill="auto"/>
            <w:noWrap/>
            <w:vAlign w:val="bottom"/>
            <w:hideMark/>
          </w:tcPr>
          <w:p w:rsidR="007B45D5" w:rsidRPr="00E27419" w:rsidRDefault="007B45D5" w:rsidP="007B45D5">
            <w:pPr>
              <w:spacing w:after="0" w:line="240" w:lineRule="auto"/>
              <w:jc w:val="center"/>
              <w:rPr>
                <w:rFonts w:eastAsia="Times New Roman" w:cstheme="minorHAnsi"/>
                <w:lang w:eastAsia="en-AU"/>
              </w:rPr>
            </w:pPr>
            <w:r w:rsidRPr="00E27419">
              <w:rPr>
                <w:rFonts w:eastAsia="Times New Roman" w:cstheme="minorHAnsi"/>
                <w:lang w:eastAsia="en-AU"/>
              </w:rPr>
              <w:t>11%</w:t>
            </w:r>
          </w:p>
        </w:tc>
        <w:tc>
          <w:tcPr>
            <w:tcW w:w="1417" w:type="dxa"/>
            <w:tcBorders>
              <w:top w:val="nil"/>
              <w:left w:val="nil"/>
              <w:bottom w:val="single" w:sz="4" w:space="0" w:color="auto"/>
              <w:right w:val="nil"/>
            </w:tcBorders>
            <w:shd w:val="clear" w:color="auto" w:fill="auto"/>
            <w:noWrap/>
            <w:vAlign w:val="bottom"/>
            <w:hideMark/>
          </w:tcPr>
          <w:p w:rsidR="007B45D5" w:rsidRPr="00E27419" w:rsidRDefault="007B45D5" w:rsidP="007B45D5">
            <w:pPr>
              <w:spacing w:after="0" w:line="240" w:lineRule="auto"/>
              <w:jc w:val="center"/>
              <w:rPr>
                <w:rFonts w:eastAsia="Times New Roman" w:cstheme="minorHAnsi"/>
                <w:lang w:eastAsia="en-AU"/>
              </w:rPr>
            </w:pPr>
            <w:r w:rsidRPr="00E27419">
              <w:rPr>
                <w:rFonts w:eastAsia="Times New Roman" w:cstheme="minorHAnsi"/>
                <w:lang w:eastAsia="en-AU"/>
              </w:rPr>
              <w:t>17%</w:t>
            </w:r>
          </w:p>
        </w:tc>
        <w:tc>
          <w:tcPr>
            <w:tcW w:w="1418" w:type="dxa"/>
            <w:tcBorders>
              <w:top w:val="nil"/>
              <w:left w:val="single" w:sz="8" w:space="0" w:color="auto"/>
              <w:bottom w:val="single" w:sz="4" w:space="0" w:color="auto"/>
              <w:right w:val="single" w:sz="8" w:space="0" w:color="auto"/>
            </w:tcBorders>
            <w:shd w:val="clear" w:color="auto" w:fill="auto"/>
            <w:noWrap/>
            <w:vAlign w:val="bottom"/>
            <w:hideMark/>
          </w:tcPr>
          <w:p w:rsidR="007B45D5" w:rsidRPr="00E27419" w:rsidRDefault="007B45D5" w:rsidP="007B45D5">
            <w:pPr>
              <w:spacing w:after="0" w:line="240" w:lineRule="auto"/>
              <w:jc w:val="center"/>
              <w:rPr>
                <w:rFonts w:eastAsia="Times New Roman" w:cstheme="minorHAnsi"/>
                <w:lang w:eastAsia="en-AU"/>
              </w:rPr>
            </w:pPr>
            <w:r w:rsidRPr="00E27419">
              <w:rPr>
                <w:rFonts w:eastAsia="Times New Roman" w:cstheme="minorHAnsi"/>
                <w:lang w:eastAsia="en-AU"/>
              </w:rPr>
              <w:t>20%</w:t>
            </w:r>
          </w:p>
        </w:tc>
        <w:tc>
          <w:tcPr>
            <w:tcW w:w="1435" w:type="dxa"/>
            <w:tcBorders>
              <w:top w:val="nil"/>
              <w:left w:val="nil"/>
              <w:bottom w:val="single" w:sz="4" w:space="0" w:color="auto"/>
              <w:right w:val="nil"/>
            </w:tcBorders>
            <w:shd w:val="clear" w:color="auto" w:fill="auto"/>
            <w:noWrap/>
            <w:vAlign w:val="bottom"/>
            <w:hideMark/>
          </w:tcPr>
          <w:p w:rsidR="007B45D5" w:rsidRPr="00E27419" w:rsidRDefault="007B45D5" w:rsidP="007B45D5">
            <w:pPr>
              <w:spacing w:after="0" w:line="240" w:lineRule="auto"/>
              <w:jc w:val="center"/>
              <w:rPr>
                <w:rFonts w:eastAsia="Times New Roman" w:cstheme="minorHAnsi"/>
                <w:lang w:eastAsia="en-AU"/>
              </w:rPr>
            </w:pPr>
            <w:r w:rsidRPr="00E27419">
              <w:rPr>
                <w:rFonts w:eastAsia="Times New Roman" w:cstheme="minorHAnsi"/>
                <w:lang w:eastAsia="en-AU"/>
              </w:rPr>
              <w:t>21%</w:t>
            </w:r>
          </w:p>
        </w:tc>
        <w:tc>
          <w:tcPr>
            <w:tcW w:w="980" w:type="dxa"/>
            <w:tcBorders>
              <w:top w:val="nil"/>
              <w:left w:val="single" w:sz="8" w:space="0" w:color="auto"/>
              <w:bottom w:val="single" w:sz="4" w:space="0" w:color="auto"/>
              <w:right w:val="single" w:sz="8" w:space="0" w:color="auto"/>
            </w:tcBorders>
            <w:shd w:val="clear" w:color="auto" w:fill="auto"/>
            <w:noWrap/>
            <w:vAlign w:val="bottom"/>
            <w:hideMark/>
          </w:tcPr>
          <w:p w:rsidR="007B45D5" w:rsidRPr="00E27419" w:rsidRDefault="007B45D5" w:rsidP="007B45D5">
            <w:pPr>
              <w:spacing w:after="0" w:line="240" w:lineRule="auto"/>
              <w:jc w:val="right"/>
              <w:rPr>
                <w:rFonts w:eastAsia="Times New Roman" w:cstheme="minorHAnsi"/>
                <w:lang w:eastAsia="en-AU"/>
              </w:rPr>
            </w:pPr>
            <w:r w:rsidRPr="00E27419">
              <w:rPr>
                <w:rFonts w:eastAsia="Times New Roman" w:cstheme="minorHAnsi"/>
                <w:lang w:eastAsia="en-AU"/>
              </w:rPr>
              <w:t>20%</w:t>
            </w:r>
          </w:p>
        </w:tc>
      </w:tr>
      <w:tr w:rsidR="007B45D5" w:rsidRPr="00E27419" w:rsidTr="00E27419">
        <w:trPr>
          <w:trHeight w:val="270"/>
        </w:trPr>
        <w:tc>
          <w:tcPr>
            <w:tcW w:w="3392" w:type="dxa"/>
            <w:tcBorders>
              <w:top w:val="nil"/>
              <w:left w:val="single" w:sz="8" w:space="0" w:color="auto"/>
              <w:bottom w:val="single" w:sz="4" w:space="0" w:color="auto"/>
              <w:right w:val="nil"/>
            </w:tcBorders>
            <w:shd w:val="clear" w:color="auto" w:fill="auto"/>
            <w:noWrap/>
            <w:vAlign w:val="bottom"/>
            <w:hideMark/>
          </w:tcPr>
          <w:p w:rsidR="007B45D5" w:rsidRPr="00E27419" w:rsidRDefault="007B45D5" w:rsidP="007B45D5">
            <w:pPr>
              <w:spacing w:after="0" w:line="240" w:lineRule="auto"/>
              <w:rPr>
                <w:rFonts w:eastAsia="Times New Roman" w:cstheme="minorHAnsi"/>
                <w:lang w:eastAsia="en-AU"/>
              </w:rPr>
            </w:pPr>
            <w:r w:rsidRPr="00E27419">
              <w:rPr>
                <w:rFonts w:eastAsia="Times New Roman" w:cstheme="minorHAnsi"/>
                <w:lang w:eastAsia="en-AU"/>
              </w:rPr>
              <w:lastRenderedPageBreak/>
              <w:t>Lifelong Learning</w:t>
            </w:r>
          </w:p>
        </w:tc>
        <w:tc>
          <w:tcPr>
            <w:tcW w:w="1418" w:type="dxa"/>
            <w:tcBorders>
              <w:top w:val="nil"/>
              <w:left w:val="single" w:sz="8" w:space="0" w:color="auto"/>
              <w:bottom w:val="single" w:sz="4" w:space="0" w:color="auto"/>
              <w:right w:val="single" w:sz="8" w:space="0" w:color="auto"/>
            </w:tcBorders>
            <w:shd w:val="clear" w:color="auto" w:fill="auto"/>
            <w:noWrap/>
            <w:vAlign w:val="bottom"/>
            <w:hideMark/>
          </w:tcPr>
          <w:p w:rsidR="007B45D5" w:rsidRPr="00E27419" w:rsidRDefault="007B45D5" w:rsidP="007B45D5">
            <w:pPr>
              <w:spacing w:after="0" w:line="240" w:lineRule="auto"/>
              <w:jc w:val="center"/>
              <w:rPr>
                <w:rFonts w:eastAsia="Times New Roman" w:cstheme="minorHAnsi"/>
                <w:lang w:eastAsia="en-AU"/>
              </w:rPr>
            </w:pPr>
            <w:r w:rsidRPr="00E27419">
              <w:rPr>
                <w:rFonts w:eastAsia="Times New Roman" w:cstheme="minorHAnsi"/>
                <w:lang w:eastAsia="en-AU"/>
              </w:rPr>
              <w:t>24%</w:t>
            </w:r>
          </w:p>
        </w:tc>
        <w:tc>
          <w:tcPr>
            <w:tcW w:w="1417" w:type="dxa"/>
            <w:tcBorders>
              <w:top w:val="nil"/>
              <w:left w:val="nil"/>
              <w:bottom w:val="single" w:sz="4" w:space="0" w:color="auto"/>
              <w:right w:val="nil"/>
            </w:tcBorders>
            <w:shd w:val="clear" w:color="auto" w:fill="auto"/>
            <w:noWrap/>
            <w:vAlign w:val="bottom"/>
            <w:hideMark/>
          </w:tcPr>
          <w:p w:rsidR="007B45D5" w:rsidRPr="00E27419" w:rsidRDefault="007B45D5" w:rsidP="007B45D5">
            <w:pPr>
              <w:spacing w:after="0" w:line="240" w:lineRule="auto"/>
              <w:jc w:val="center"/>
              <w:rPr>
                <w:rFonts w:eastAsia="Times New Roman" w:cstheme="minorHAnsi"/>
                <w:lang w:eastAsia="en-AU"/>
              </w:rPr>
            </w:pPr>
            <w:r w:rsidRPr="00E27419">
              <w:rPr>
                <w:rFonts w:eastAsia="Times New Roman" w:cstheme="minorHAnsi"/>
                <w:lang w:eastAsia="en-AU"/>
              </w:rPr>
              <w:t>39%</w:t>
            </w:r>
          </w:p>
        </w:tc>
        <w:tc>
          <w:tcPr>
            <w:tcW w:w="1418" w:type="dxa"/>
            <w:tcBorders>
              <w:top w:val="nil"/>
              <w:left w:val="single" w:sz="8" w:space="0" w:color="auto"/>
              <w:bottom w:val="single" w:sz="4" w:space="0" w:color="auto"/>
              <w:right w:val="single" w:sz="8" w:space="0" w:color="auto"/>
            </w:tcBorders>
            <w:shd w:val="clear" w:color="auto" w:fill="auto"/>
            <w:noWrap/>
            <w:vAlign w:val="bottom"/>
            <w:hideMark/>
          </w:tcPr>
          <w:p w:rsidR="007B45D5" w:rsidRPr="00E27419" w:rsidRDefault="007B45D5" w:rsidP="007B45D5">
            <w:pPr>
              <w:spacing w:after="0" w:line="240" w:lineRule="auto"/>
              <w:jc w:val="center"/>
              <w:rPr>
                <w:rFonts w:eastAsia="Times New Roman" w:cstheme="minorHAnsi"/>
                <w:lang w:eastAsia="en-AU"/>
              </w:rPr>
            </w:pPr>
            <w:r w:rsidRPr="00E27419">
              <w:rPr>
                <w:rFonts w:eastAsia="Times New Roman" w:cstheme="minorHAnsi"/>
                <w:lang w:eastAsia="en-AU"/>
              </w:rPr>
              <w:t>41%</w:t>
            </w:r>
          </w:p>
        </w:tc>
        <w:tc>
          <w:tcPr>
            <w:tcW w:w="1435" w:type="dxa"/>
            <w:tcBorders>
              <w:top w:val="nil"/>
              <w:left w:val="nil"/>
              <w:bottom w:val="single" w:sz="4" w:space="0" w:color="auto"/>
              <w:right w:val="nil"/>
            </w:tcBorders>
            <w:shd w:val="clear" w:color="auto" w:fill="auto"/>
            <w:noWrap/>
            <w:vAlign w:val="bottom"/>
            <w:hideMark/>
          </w:tcPr>
          <w:p w:rsidR="007B45D5" w:rsidRPr="00E27419" w:rsidRDefault="007B45D5" w:rsidP="007B45D5">
            <w:pPr>
              <w:spacing w:after="0" w:line="240" w:lineRule="auto"/>
              <w:jc w:val="center"/>
              <w:rPr>
                <w:rFonts w:eastAsia="Times New Roman" w:cstheme="minorHAnsi"/>
                <w:lang w:eastAsia="en-AU"/>
              </w:rPr>
            </w:pPr>
            <w:r w:rsidRPr="00E27419">
              <w:rPr>
                <w:rFonts w:eastAsia="Times New Roman" w:cstheme="minorHAnsi"/>
                <w:lang w:eastAsia="en-AU"/>
              </w:rPr>
              <w:t>44%</w:t>
            </w:r>
          </w:p>
        </w:tc>
        <w:tc>
          <w:tcPr>
            <w:tcW w:w="980" w:type="dxa"/>
            <w:tcBorders>
              <w:top w:val="nil"/>
              <w:left w:val="single" w:sz="8" w:space="0" w:color="auto"/>
              <w:bottom w:val="single" w:sz="4" w:space="0" w:color="auto"/>
              <w:right w:val="single" w:sz="8" w:space="0" w:color="auto"/>
            </w:tcBorders>
            <w:shd w:val="clear" w:color="auto" w:fill="auto"/>
            <w:noWrap/>
            <w:vAlign w:val="bottom"/>
            <w:hideMark/>
          </w:tcPr>
          <w:p w:rsidR="007B45D5" w:rsidRPr="00E27419" w:rsidRDefault="007B45D5" w:rsidP="007B45D5">
            <w:pPr>
              <w:spacing w:after="0" w:line="240" w:lineRule="auto"/>
              <w:jc w:val="right"/>
              <w:rPr>
                <w:rFonts w:eastAsia="Times New Roman" w:cstheme="minorHAnsi"/>
                <w:lang w:eastAsia="en-AU"/>
              </w:rPr>
            </w:pPr>
            <w:r w:rsidRPr="00E27419">
              <w:rPr>
                <w:rFonts w:eastAsia="Times New Roman" w:cstheme="minorHAnsi"/>
                <w:lang w:eastAsia="en-AU"/>
              </w:rPr>
              <w:t>44%</w:t>
            </w:r>
          </w:p>
        </w:tc>
      </w:tr>
      <w:tr w:rsidR="007B45D5" w:rsidRPr="00E27419" w:rsidTr="00E27419">
        <w:trPr>
          <w:trHeight w:val="270"/>
        </w:trPr>
        <w:tc>
          <w:tcPr>
            <w:tcW w:w="3392" w:type="dxa"/>
            <w:tcBorders>
              <w:top w:val="nil"/>
              <w:left w:val="single" w:sz="8" w:space="0" w:color="auto"/>
              <w:bottom w:val="single" w:sz="4" w:space="0" w:color="auto"/>
              <w:right w:val="nil"/>
            </w:tcBorders>
            <w:shd w:val="clear" w:color="auto" w:fill="auto"/>
            <w:noWrap/>
            <w:vAlign w:val="bottom"/>
            <w:hideMark/>
          </w:tcPr>
          <w:p w:rsidR="007B45D5" w:rsidRPr="00E27419" w:rsidRDefault="007B45D5" w:rsidP="007B45D5">
            <w:pPr>
              <w:spacing w:after="0" w:line="240" w:lineRule="auto"/>
              <w:rPr>
                <w:rFonts w:eastAsia="Times New Roman" w:cstheme="minorHAnsi"/>
                <w:lang w:eastAsia="en-AU"/>
              </w:rPr>
            </w:pPr>
            <w:r w:rsidRPr="00E27419">
              <w:rPr>
                <w:rFonts w:eastAsia="Times New Roman" w:cstheme="minorHAnsi"/>
                <w:lang w:eastAsia="en-AU"/>
              </w:rPr>
              <w:t>Health and wellbeing</w:t>
            </w:r>
          </w:p>
        </w:tc>
        <w:tc>
          <w:tcPr>
            <w:tcW w:w="1418" w:type="dxa"/>
            <w:tcBorders>
              <w:top w:val="nil"/>
              <w:left w:val="single" w:sz="8" w:space="0" w:color="auto"/>
              <w:bottom w:val="single" w:sz="4" w:space="0" w:color="auto"/>
              <w:right w:val="single" w:sz="8" w:space="0" w:color="auto"/>
            </w:tcBorders>
            <w:shd w:val="clear" w:color="auto" w:fill="auto"/>
            <w:noWrap/>
            <w:vAlign w:val="bottom"/>
            <w:hideMark/>
          </w:tcPr>
          <w:p w:rsidR="007B45D5" w:rsidRPr="00E27419" w:rsidRDefault="007B45D5" w:rsidP="007B45D5">
            <w:pPr>
              <w:spacing w:after="0" w:line="240" w:lineRule="auto"/>
              <w:jc w:val="center"/>
              <w:rPr>
                <w:rFonts w:eastAsia="Times New Roman" w:cstheme="minorHAnsi"/>
                <w:lang w:eastAsia="en-AU"/>
              </w:rPr>
            </w:pPr>
            <w:r w:rsidRPr="00E27419">
              <w:rPr>
                <w:rFonts w:eastAsia="Times New Roman" w:cstheme="minorHAnsi"/>
                <w:lang w:eastAsia="en-AU"/>
              </w:rPr>
              <w:t>32%</w:t>
            </w:r>
          </w:p>
        </w:tc>
        <w:tc>
          <w:tcPr>
            <w:tcW w:w="1417" w:type="dxa"/>
            <w:tcBorders>
              <w:top w:val="nil"/>
              <w:left w:val="nil"/>
              <w:bottom w:val="single" w:sz="4" w:space="0" w:color="auto"/>
              <w:right w:val="nil"/>
            </w:tcBorders>
            <w:shd w:val="clear" w:color="auto" w:fill="auto"/>
            <w:noWrap/>
            <w:vAlign w:val="bottom"/>
            <w:hideMark/>
          </w:tcPr>
          <w:p w:rsidR="007B45D5" w:rsidRPr="00E27419" w:rsidRDefault="007B45D5" w:rsidP="007B45D5">
            <w:pPr>
              <w:spacing w:after="0" w:line="240" w:lineRule="auto"/>
              <w:jc w:val="center"/>
              <w:rPr>
                <w:rFonts w:eastAsia="Times New Roman" w:cstheme="minorHAnsi"/>
                <w:lang w:eastAsia="en-AU"/>
              </w:rPr>
            </w:pPr>
            <w:r w:rsidRPr="00E27419">
              <w:rPr>
                <w:rFonts w:eastAsia="Times New Roman" w:cstheme="minorHAnsi"/>
                <w:lang w:eastAsia="en-AU"/>
              </w:rPr>
              <w:t>49%</w:t>
            </w:r>
          </w:p>
        </w:tc>
        <w:tc>
          <w:tcPr>
            <w:tcW w:w="1418" w:type="dxa"/>
            <w:tcBorders>
              <w:top w:val="nil"/>
              <w:left w:val="single" w:sz="8" w:space="0" w:color="auto"/>
              <w:bottom w:val="single" w:sz="4" w:space="0" w:color="auto"/>
              <w:right w:val="single" w:sz="8" w:space="0" w:color="auto"/>
            </w:tcBorders>
            <w:shd w:val="clear" w:color="auto" w:fill="auto"/>
            <w:noWrap/>
            <w:vAlign w:val="bottom"/>
            <w:hideMark/>
          </w:tcPr>
          <w:p w:rsidR="007B45D5" w:rsidRPr="00E27419" w:rsidRDefault="007B45D5" w:rsidP="007B45D5">
            <w:pPr>
              <w:spacing w:after="0" w:line="240" w:lineRule="auto"/>
              <w:jc w:val="center"/>
              <w:rPr>
                <w:rFonts w:eastAsia="Times New Roman" w:cstheme="minorHAnsi"/>
                <w:lang w:eastAsia="en-AU"/>
              </w:rPr>
            </w:pPr>
            <w:r w:rsidRPr="00E27419">
              <w:rPr>
                <w:rFonts w:eastAsia="Times New Roman" w:cstheme="minorHAnsi"/>
                <w:lang w:eastAsia="en-AU"/>
              </w:rPr>
              <w:t>53%</w:t>
            </w:r>
          </w:p>
        </w:tc>
        <w:tc>
          <w:tcPr>
            <w:tcW w:w="1435" w:type="dxa"/>
            <w:tcBorders>
              <w:top w:val="nil"/>
              <w:left w:val="nil"/>
              <w:bottom w:val="single" w:sz="4" w:space="0" w:color="auto"/>
              <w:right w:val="nil"/>
            </w:tcBorders>
            <w:shd w:val="clear" w:color="auto" w:fill="auto"/>
            <w:noWrap/>
            <w:vAlign w:val="bottom"/>
            <w:hideMark/>
          </w:tcPr>
          <w:p w:rsidR="007B45D5" w:rsidRPr="00E27419" w:rsidRDefault="007B45D5" w:rsidP="007B45D5">
            <w:pPr>
              <w:spacing w:after="0" w:line="240" w:lineRule="auto"/>
              <w:jc w:val="center"/>
              <w:rPr>
                <w:rFonts w:eastAsia="Times New Roman" w:cstheme="minorHAnsi"/>
                <w:lang w:eastAsia="en-AU"/>
              </w:rPr>
            </w:pPr>
            <w:r w:rsidRPr="00E27419">
              <w:rPr>
                <w:rFonts w:eastAsia="Times New Roman" w:cstheme="minorHAnsi"/>
                <w:lang w:eastAsia="en-AU"/>
              </w:rPr>
              <w:t>55%</w:t>
            </w:r>
          </w:p>
        </w:tc>
        <w:tc>
          <w:tcPr>
            <w:tcW w:w="980" w:type="dxa"/>
            <w:tcBorders>
              <w:top w:val="nil"/>
              <w:left w:val="single" w:sz="8" w:space="0" w:color="auto"/>
              <w:bottom w:val="single" w:sz="4" w:space="0" w:color="auto"/>
              <w:right w:val="single" w:sz="8" w:space="0" w:color="auto"/>
            </w:tcBorders>
            <w:shd w:val="clear" w:color="auto" w:fill="auto"/>
            <w:noWrap/>
            <w:vAlign w:val="bottom"/>
            <w:hideMark/>
          </w:tcPr>
          <w:p w:rsidR="007B45D5" w:rsidRPr="00E27419" w:rsidRDefault="007B45D5" w:rsidP="007B45D5">
            <w:pPr>
              <w:spacing w:after="0" w:line="240" w:lineRule="auto"/>
              <w:jc w:val="right"/>
              <w:rPr>
                <w:rFonts w:eastAsia="Times New Roman" w:cstheme="minorHAnsi"/>
                <w:lang w:eastAsia="en-AU"/>
              </w:rPr>
            </w:pPr>
            <w:r w:rsidRPr="00E27419">
              <w:rPr>
                <w:rFonts w:eastAsia="Times New Roman" w:cstheme="minorHAnsi"/>
                <w:lang w:eastAsia="en-AU"/>
              </w:rPr>
              <w:t>57%</w:t>
            </w:r>
          </w:p>
        </w:tc>
      </w:tr>
      <w:tr w:rsidR="007B45D5" w:rsidRPr="00E27419" w:rsidTr="00E27419">
        <w:trPr>
          <w:trHeight w:val="278"/>
        </w:trPr>
        <w:tc>
          <w:tcPr>
            <w:tcW w:w="3392" w:type="dxa"/>
            <w:tcBorders>
              <w:top w:val="nil"/>
              <w:left w:val="single" w:sz="8" w:space="0" w:color="auto"/>
              <w:bottom w:val="single" w:sz="4" w:space="0" w:color="auto"/>
              <w:right w:val="nil"/>
            </w:tcBorders>
            <w:shd w:val="clear" w:color="auto" w:fill="auto"/>
            <w:noWrap/>
            <w:vAlign w:val="bottom"/>
            <w:hideMark/>
          </w:tcPr>
          <w:p w:rsidR="007B45D5" w:rsidRPr="00E27419" w:rsidRDefault="007B45D5" w:rsidP="007B45D5">
            <w:pPr>
              <w:spacing w:after="0" w:line="240" w:lineRule="auto"/>
              <w:rPr>
                <w:rFonts w:eastAsia="Times New Roman" w:cstheme="minorHAnsi"/>
                <w:lang w:eastAsia="en-AU"/>
              </w:rPr>
            </w:pPr>
            <w:r w:rsidRPr="00E27419">
              <w:rPr>
                <w:rFonts w:eastAsia="Times New Roman" w:cstheme="minorHAnsi"/>
                <w:lang w:eastAsia="en-AU"/>
              </w:rPr>
              <w:t>Home</w:t>
            </w:r>
          </w:p>
        </w:tc>
        <w:tc>
          <w:tcPr>
            <w:tcW w:w="1418" w:type="dxa"/>
            <w:tcBorders>
              <w:top w:val="nil"/>
              <w:left w:val="single" w:sz="8" w:space="0" w:color="auto"/>
              <w:bottom w:val="single" w:sz="4" w:space="0" w:color="auto"/>
              <w:right w:val="single" w:sz="8" w:space="0" w:color="auto"/>
            </w:tcBorders>
            <w:shd w:val="clear" w:color="auto" w:fill="auto"/>
            <w:noWrap/>
            <w:vAlign w:val="bottom"/>
            <w:hideMark/>
          </w:tcPr>
          <w:p w:rsidR="007B45D5" w:rsidRPr="00E27419" w:rsidRDefault="007B45D5" w:rsidP="007B45D5">
            <w:pPr>
              <w:spacing w:after="0" w:line="240" w:lineRule="auto"/>
              <w:jc w:val="center"/>
              <w:rPr>
                <w:rFonts w:eastAsia="Times New Roman" w:cstheme="minorHAnsi"/>
                <w:lang w:eastAsia="en-AU"/>
              </w:rPr>
            </w:pPr>
            <w:r w:rsidRPr="00E27419">
              <w:rPr>
                <w:rFonts w:eastAsia="Times New Roman" w:cstheme="minorHAnsi"/>
                <w:lang w:eastAsia="en-AU"/>
              </w:rPr>
              <w:t>14%</w:t>
            </w:r>
          </w:p>
        </w:tc>
        <w:tc>
          <w:tcPr>
            <w:tcW w:w="1417" w:type="dxa"/>
            <w:tcBorders>
              <w:top w:val="nil"/>
              <w:left w:val="nil"/>
              <w:bottom w:val="single" w:sz="4" w:space="0" w:color="auto"/>
              <w:right w:val="nil"/>
            </w:tcBorders>
            <w:shd w:val="clear" w:color="auto" w:fill="auto"/>
            <w:noWrap/>
            <w:vAlign w:val="bottom"/>
            <w:hideMark/>
          </w:tcPr>
          <w:p w:rsidR="007B45D5" w:rsidRPr="00E27419" w:rsidRDefault="007B45D5" w:rsidP="007B45D5">
            <w:pPr>
              <w:spacing w:after="0" w:line="240" w:lineRule="auto"/>
              <w:jc w:val="center"/>
              <w:rPr>
                <w:rFonts w:eastAsia="Times New Roman" w:cstheme="minorHAnsi"/>
                <w:lang w:eastAsia="en-AU"/>
              </w:rPr>
            </w:pPr>
            <w:r w:rsidRPr="00E27419">
              <w:rPr>
                <w:rFonts w:eastAsia="Times New Roman" w:cstheme="minorHAnsi"/>
                <w:lang w:eastAsia="en-AU"/>
              </w:rPr>
              <w:t>21%</w:t>
            </w:r>
          </w:p>
        </w:tc>
        <w:tc>
          <w:tcPr>
            <w:tcW w:w="1418" w:type="dxa"/>
            <w:tcBorders>
              <w:top w:val="nil"/>
              <w:left w:val="single" w:sz="8" w:space="0" w:color="auto"/>
              <w:bottom w:val="single" w:sz="4" w:space="0" w:color="auto"/>
              <w:right w:val="single" w:sz="8" w:space="0" w:color="auto"/>
            </w:tcBorders>
            <w:shd w:val="clear" w:color="auto" w:fill="auto"/>
            <w:noWrap/>
            <w:vAlign w:val="bottom"/>
            <w:hideMark/>
          </w:tcPr>
          <w:p w:rsidR="007B45D5" w:rsidRPr="00E27419" w:rsidRDefault="007B45D5" w:rsidP="007B45D5">
            <w:pPr>
              <w:spacing w:after="0" w:line="240" w:lineRule="auto"/>
              <w:jc w:val="center"/>
              <w:rPr>
                <w:rFonts w:eastAsia="Times New Roman" w:cstheme="minorHAnsi"/>
                <w:lang w:eastAsia="en-AU"/>
              </w:rPr>
            </w:pPr>
            <w:r w:rsidRPr="00E27419">
              <w:rPr>
                <w:rFonts w:eastAsia="Times New Roman" w:cstheme="minorHAnsi"/>
                <w:lang w:eastAsia="en-AU"/>
              </w:rPr>
              <w:t>23%</w:t>
            </w:r>
          </w:p>
        </w:tc>
        <w:tc>
          <w:tcPr>
            <w:tcW w:w="1435" w:type="dxa"/>
            <w:tcBorders>
              <w:top w:val="nil"/>
              <w:left w:val="nil"/>
              <w:bottom w:val="single" w:sz="4" w:space="0" w:color="auto"/>
              <w:right w:val="nil"/>
            </w:tcBorders>
            <w:shd w:val="clear" w:color="auto" w:fill="auto"/>
            <w:noWrap/>
            <w:vAlign w:val="bottom"/>
            <w:hideMark/>
          </w:tcPr>
          <w:p w:rsidR="007B45D5" w:rsidRPr="00E27419" w:rsidRDefault="007B45D5" w:rsidP="007B45D5">
            <w:pPr>
              <w:spacing w:after="0" w:line="240" w:lineRule="auto"/>
              <w:jc w:val="center"/>
              <w:rPr>
                <w:rFonts w:eastAsia="Times New Roman" w:cstheme="minorHAnsi"/>
                <w:lang w:eastAsia="en-AU"/>
              </w:rPr>
            </w:pPr>
            <w:r w:rsidRPr="00E27419">
              <w:rPr>
                <w:rFonts w:eastAsia="Times New Roman" w:cstheme="minorHAnsi"/>
                <w:lang w:eastAsia="en-AU"/>
              </w:rPr>
              <w:t>24%</w:t>
            </w:r>
          </w:p>
        </w:tc>
        <w:tc>
          <w:tcPr>
            <w:tcW w:w="980" w:type="dxa"/>
            <w:tcBorders>
              <w:top w:val="nil"/>
              <w:left w:val="single" w:sz="8" w:space="0" w:color="auto"/>
              <w:bottom w:val="single" w:sz="4" w:space="0" w:color="auto"/>
              <w:right w:val="single" w:sz="8" w:space="0" w:color="auto"/>
            </w:tcBorders>
            <w:shd w:val="clear" w:color="auto" w:fill="auto"/>
            <w:noWrap/>
            <w:vAlign w:val="bottom"/>
            <w:hideMark/>
          </w:tcPr>
          <w:p w:rsidR="007B45D5" w:rsidRPr="00E27419" w:rsidRDefault="007B45D5" w:rsidP="007B45D5">
            <w:pPr>
              <w:spacing w:after="0" w:line="240" w:lineRule="auto"/>
              <w:jc w:val="right"/>
              <w:rPr>
                <w:rFonts w:eastAsia="Times New Roman" w:cstheme="minorHAnsi"/>
                <w:lang w:eastAsia="en-AU"/>
              </w:rPr>
            </w:pPr>
            <w:r w:rsidRPr="00E27419">
              <w:rPr>
                <w:rFonts w:eastAsia="Times New Roman" w:cstheme="minorHAnsi"/>
                <w:lang w:eastAsia="en-AU"/>
              </w:rPr>
              <w:t>27%</w:t>
            </w:r>
          </w:p>
        </w:tc>
      </w:tr>
      <w:tr w:rsidR="007B45D5" w:rsidRPr="00E27419" w:rsidTr="00E27419">
        <w:trPr>
          <w:trHeight w:val="270"/>
        </w:trPr>
        <w:tc>
          <w:tcPr>
            <w:tcW w:w="3392" w:type="dxa"/>
            <w:tcBorders>
              <w:top w:val="nil"/>
              <w:left w:val="single" w:sz="8" w:space="0" w:color="auto"/>
              <w:bottom w:val="single" w:sz="4" w:space="0" w:color="auto"/>
              <w:right w:val="nil"/>
            </w:tcBorders>
            <w:shd w:val="clear" w:color="auto" w:fill="auto"/>
            <w:noWrap/>
            <w:vAlign w:val="bottom"/>
            <w:hideMark/>
          </w:tcPr>
          <w:p w:rsidR="007B45D5" w:rsidRPr="00E27419" w:rsidRDefault="007B45D5" w:rsidP="007B45D5">
            <w:pPr>
              <w:spacing w:after="0" w:line="240" w:lineRule="auto"/>
              <w:rPr>
                <w:rFonts w:eastAsia="Times New Roman" w:cstheme="minorHAnsi"/>
                <w:lang w:eastAsia="en-AU"/>
              </w:rPr>
            </w:pPr>
            <w:r w:rsidRPr="00E27419">
              <w:rPr>
                <w:rFonts w:eastAsia="Times New Roman" w:cstheme="minorHAnsi"/>
                <w:lang w:eastAsia="en-AU"/>
              </w:rPr>
              <w:t>Relationship</w:t>
            </w:r>
          </w:p>
        </w:tc>
        <w:tc>
          <w:tcPr>
            <w:tcW w:w="1418" w:type="dxa"/>
            <w:tcBorders>
              <w:top w:val="nil"/>
              <w:left w:val="single" w:sz="8" w:space="0" w:color="auto"/>
              <w:bottom w:val="single" w:sz="4" w:space="0" w:color="auto"/>
              <w:right w:val="single" w:sz="8" w:space="0" w:color="auto"/>
            </w:tcBorders>
            <w:shd w:val="clear" w:color="auto" w:fill="auto"/>
            <w:noWrap/>
            <w:vAlign w:val="bottom"/>
            <w:hideMark/>
          </w:tcPr>
          <w:p w:rsidR="007B45D5" w:rsidRPr="00E27419" w:rsidRDefault="007B45D5" w:rsidP="007B45D5">
            <w:pPr>
              <w:spacing w:after="0" w:line="240" w:lineRule="auto"/>
              <w:jc w:val="center"/>
              <w:rPr>
                <w:rFonts w:eastAsia="Times New Roman" w:cstheme="minorHAnsi"/>
                <w:lang w:eastAsia="en-AU"/>
              </w:rPr>
            </w:pPr>
            <w:r w:rsidRPr="00E27419">
              <w:rPr>
                <w:rFonts w:eastAsia="Times New Roman" w:cstheme="minorHAnsi"/>
                <w:lang w:eastAsia="en-AU"/>
              </w:rPr>
              <w:t>33%</w:t>
            </w:r>
          </w:p>
        </w:tc>
        <w:tc>
          <w:tcPr>
            <w:tcW w:w="1417" w:type="dxa"/>
            <w:tcBorders>
              <w:top w:val="nil"/>
              <w:left w:val="nil"/>
              <w:bottom w:val="single" w:sz="4" w:space="0" w:color="auto"/>
              <w:right w:val="nil"/>
            </w:tcBorders>
            <w:shd w:val="clear" w:color="auto" w:fill="auto"/>
            <w:noWrap/>
            <w:vAlign w:val="bottom"/>
            <w:hideMark/>
          </w:tcPr>
          <w:p w:rsidR="007B45D5" w:rsidRPr="00E27419" w:rsidRDefault="007B45D5" w:rsidP="007B45D5">
            <w:pPr>
              <w:spacing w:after="0" w:line="240" w:lineRule="auto"/>
              <w:jc w:val="center"/>
              <w:rPr>
                <w:rFonts w:eastAsia="Times New Roman" w:cstheme="minorHAnsi"/>
                <w:lang w:eastAsia="en-AU"/>
              </w:rPr>
            </w:pPr>
            <w:r w:rsidRPr="00E27419">
              <w:rPr>
                <w:rFonts w:eastAsia="Times New Roman" w:cstheme="minorHAnsi"/>
                <w:lang w:eastAsia="en-AU"/>
              </w:rPr>
              <w:t>54%</w:t>
            </w:r>
          </w:p>
        </w:tc>
        <w:tc>
          <w:tcPr>
            <w:tcW w:w="1418" w:type="dxa"/>
            <w:tcBorders>
              <w:top w:val="nil"/>
              <w:left w:val="single" w:sz="8" w:space="0" w:color="auto"/>
              <w:bottom w:val="single" w:sz="4" w:space="0" w:color="auto"/>
              <w:right w:val="single" w:sz="8" w:space="0" w:color="auto"/>
            </w:tcBorders>
            <w:shd w:val="clear" w:color="auto" w:fill="auto"/>
            <w:noWrap/>
            <w:vAlign w:val="bottom"/>
            <w:hideMark/>
          </w:tcPr>
          <w:p w:rsidR="007B45D5" w:rsidRPr="00E27419" w:rsidRDefault="007B45D5" w:rsidP="007B45D5">
            <w:pPr>
              <w:spacing w:after="0" w:line="240" w:lineRule="auto"/>
              <w:jc w:val="center"/>
              <w:rPr>
                <w:rFonts w:eastAsia="Times New Roman" w:cstheme="minorHAnsi"/>
                <w:lang w:eastAsia="en-AU"/>
              </w:rPr>
            </w:pPr>
            <w:r w:rsidRPr="00E27419">
              <w:rPr>
                <w:rFonts w:eastAsia="Times New Roman" w:cstheme="minorHAnsi"/>
                <w:lang w:eastAsia="en-AU"/>
              </w:rPr>
              <w:t>61%</w:t>
            </w:r>
          </w:p>
        </w:tc>
        <w:tc>
          <w:tcPr>
            <w:tcW w:w="1435" w:type="dxa"/>
            <w:tcBorders>
              <w:top w:val="nil"/>
              <w:left w:val="nil"/>
              <w:bottom w:val="single" w:sz="4" w:space="0" w:color="auto"/>
              <w:right w:val="nil"/>
            </w:tcBorders>
            <w:shd w:val="clear" w:color="auto" w:fill="auto"/>
            <w:noWrap/>
            <w:vAlign w:val="bottom"/>
            <w:hideMark/>
          </w:tcPr>
          <w:p w:rsidR="007B45D5" w:rsidRPr="00E27419" w:rsidRDefault="007B45D5" w:rsidP="007B45D5">
            <w:pPr>
              <w:spacing w:after="0" w:line="240" w:lineRule="auto"/>
              <w:jc w:val="center"/>
              <w:rPr>
                <w:rFonts w:eastAsia="Times New Roman" w:cstheme="minorHAnsi"/>
                <w:lang w:eastAsia="en-AU"/>
              </w:rPr>
            </w:pPr>
            <w:r w:rsidRPr="00E27419">
              <w:rPr>
                <w:rFonts w:eastAsia="Times New Roman" w:cstheme="minorHAnsi"/>
                <w:lang w:eastAsia="en-AU"/>
              </w:rPr>
              <w:t>65%</w:t>
            </w:r>
          </w:p>
        </w:tc>
        <w:tc>
          <w:tcPr>
            <w:tcW w:w="980" w:type="dxa"/>
            <w:tcBorders>
              <w:top w:val="nil"/>
              <w:left w:val="single" w:sz="8" w:space="0" w:color="auto"/>
              <w:bottom w:val="single" w:sz="4" w:space="0" w:color="auto"/>
              <w:right w:val="single" w:sz="8" w:space="0" w:color="auto"/>
            </w:tcBorders>
            <w:shd w:val="clear" w:color="auto" w:fill="auto"/>
            <w:noWrap/>
            <w:vAlign w:val="bottom"/>
            <w:hideMark/>
          </w:tcPr>
          <w:p w:rsidR="007B45D5" w:rsidRPr="00E27419" w:rsidRDefault="007B45D5" w:rsidP="007B45D5">
            <w:pPr>
              <w:spacing w:after="0" w:line="240" w:lineRule="auto"/>
              <w:jc w:val="right"/>
              <w:rPr>
                <w:rFonts w:eastAsia="Times New Roman" w:cstheme="minorHAnsi"/>
                <w:lang w:eastAsia="en-AU"/>
              </w:rPr>
            </w:pPr>
            <w:r w:rsidRPr="00E27419">
              <w:rPr>
                <w:rFonts w:eastAsia="Times New Roman" w:cstheme="minorHAnsi"/>
                <w:lang w:eastAsia="en-AU"/>
              </w:rPr>
              <w:t>64%</w:t>
            </w:r>
          </w:p>
        </w:tc>
      </w:tr>
      <w:tr w:rsidR="007B45D5" w:rsidRPr="00E27419" w:rsidTr="00E27419">
        <w:trPr>
          <w:trHeight w:val="270"/>
        </w:trPr>
        <w:tc>
          <w:tcPr>
            <w:tcW w:w="3392" w:type="dxa"/>
            <w:tcBorders>
              <w:top w:val="nil"/>
              <w:left w:val="single" w:sz="8" w:space="0" w:color="auto"/>
              <w:bottom w:val="single" w:sz="4" w:space="0" w:color="auto"/>
              <w:right w:val="nil"/>
            </w:tcBorders>
            <w:shd w:val="clear" w:color="auto" w:fill="auto"/>
            <w:noWrap/>
            <w:vAlign w:val="bottom"/>
            <w:hideMark/>
          </w:tcPr>
          <w:p w:rsidR="007B45D5" w:rsidRPr="00E27419" w:rsidRDefault="007B45D5" w:rsidP="007B45D5">
            <w:pPr>
              <w:spacing w:after="0" w:line="240" w:lineRule="auto"/>
              <w:rPr>
                <w:rFonts w:eastAsia="Times New Roman" w:cstheme="minorHAnsi"/>
                <w:lang w:eastAsia="en-AU"/>
              </w:rPr>
            </w:pPr>
            <w:r w:rsidRPr="00E27419">
              <w:rPr>
                <w:rFonts w:eastAsia="Times New Roman" w:cstheme="minorHAnsi"/>
                <w:lang w:eastAsia="en-AU"/>
              </w:rPr>
              <w:t>Daily Living</w:t>
            </w:r>
          </w:p>
        </w:tc>
        <w:tc>
          <w:tcPr>
            <w:tcW w:w="1418" w:type="dxa"/>
            <w:tcBorders>
              <w:top w:val="nil"/>
              <w:left w:val="single" w:sz="8" w:space="0" w:color="auto"/>
              <w:bottom w:val="single" w:sz="4" w:space="0" w:color="auto"/>
              <w:right w:val="single" w:sz="8" w:space="0" w:color="auto"/>
            </w:tcBorders>
            <w:shd w:val="clear" w:color="auto" w:fill="auto"/>
            <w:noWrap/>
            <w:vAlign w:val="bottom"/>
            <w:hideMark/>
          </w:tcPr>
          <w:p w:rsidR="007B45D5" w:rsidRPr="00E27419" w:rsidRDefault="007B45D5" w:rsidP="007B45D5">
            <w:pPr>
              <w:spacing w:after="0" w:line="240" w:lineRule="auto"/>
              <w:jc w:val="center"/>
              <w:rPr>
                <w:rFonts w:eastAsia="Times New Roman" w:cstheme="minorHAnsi"/>
                <w:lang w:eastAsia="en-AU"/>
              </w:rPr>
            </w:pPr>
            <w:r w:rsidRPr="00E27419">
              <w:rPr>
                <w:rFonts w:eastAsia="Times New Roman" w:cstheme="minorHAnsi"/>
                <w:lang w:eastAsia="en-AU"/>
              </w:rPr>
              <w:t>46%</w:t>
            </w:r>
          </w:p>
        </w:tc>
        <w:tc>
          <w:tcPr>
            <w:tcW w:w="1417" w:type="dxa"/>
            <w:tcBorders>
              <w:top w:val="nil"/>
              <w:left w:val="nil"/>
              <w:bottom w:val="single" w:sz="4" w:space="0" w:color="auto"/>
              <w:right w:val="nil"/>
            </w:tcBorders>
            <w:shd w:val="clear" w:color="auto" w:fill="auto"/>
            <w:noWrap/>
            <w:vAlign w:val="bottom"/>
            <w:hideMark/>
          </w:tcPr>
          <w:p w:rsidR="007B45D5" w:rsidRPr="00E27419" w:rsidRDefault="007B45D5" w:rsidP="007B45D5">
            <w:pPr>
              <w:spacing w:after="0" w:line="240" w:lineRule="auto"/>
              <w:jc w:val="center"/>
              <w:rPr>
                <w:rFonts w:eastAsia="Times New Roman" w:cstheme="minorHAnsi"/>
                <w:lang w:eastAsia="en-AU"/>
              </w:rPr>
            </w:pPr>
            <w:r w:rsidRPr="00E27419">
              <w:rPr>
                <w:rFonts w:eastAsia="Times New Roman" w:cstheme="minorHAnsi"/>
                <w:lang w:eastAsia="en-AU"/>
              </w:rPr>
              <w:t>70%</w:t>
            </w:r>
          </w:p>
        </w:tc>
        <w:tc>
          <w:tcPr>
            <w:tcW w:w="1418" w:type="dxa"/>
            <w:tcBorders>
              <w:top w:val="nil"/>
              <w:left w:val="single" w:sz="8" w:space="0" w:color="auto"/>
              <w:bottom w:val="single" w:sz="4" w:space="0" w:color="auto"/>
              <w:right w:val="single" w:sz="8" w:space="0" w:color="auto"/>
            </w:tcBorders>
            <w:shd w:val="clear" w:color="auto" w:fill="auto"/>
            <w:noWrap/>
            <w:vAlign w:val="bottom"/>
            <w:hideMark/>
          </w:tcPr>
          <w:p w:rsidR="007B45D5" w:rsidRPr="00E27419" w:rsidRDefault="007B45D5" w:rsidP="007B45D5">
            <w:pPr>
              <w:spacing w:after="0" w:line="240" w:lineRule="auto"/>
              <w:jc w:val="center"/>
              <w:rPr>
                <w:rFonts w:eastAsia="Times New Roman" w:cstheme="minorHAnsi"/>
                <w:lang w:eastAsia="en-AU"/>
              </w:rPr>
            </w:pPr>
            <w:r w:rsidRPr="00E27419">
              <w:rPr>
                <w:rFonts w:eastAsia="Times New Roman" w:cstheme="minorHAnsi"/>
                <w:lang w:eastAsia="en-AU"/>
              </w:rPr>
              <w:t>76%</w:t>
            </w:r>
          </w:p>
        </w:tc>
        <w:tc>
          <w:tcPr>
            <w:tcW w:w="1435" w:type="dxa"/>
            <w:tcBorders>
              <w:top w:val="nil"/>
              <w:left w:val="nil"/>
              <w:bottom w:val="single" w:sz="4" w:space="0" w:color="auto"/>
              <w:right w:val="nil"/>
            </w:tcBorders>
            <w:shd w:val="clear" w:color="auto" w:fill="auto"/>
            <w:noWrap/>
            <w:vAlign w:val="bottom"/>
            <w:hideMark/>
          </w:tcPr>
          <w:p w:rsidR="007B45D5" w:rsidRPr="00E27419" w:rsidRDefault="007B45D5" w:rsidP="007B45D5">
            <w:pPr>
              <w:spacing w:after="0" w:line="240" w:lineRule="auto"/>
              <w:jc w:val="center"/>
              <w:rPr>
                <w:rFonts w:eastAsia="Times New Roman" w:cstheme="minorHAnsi"/>
                <w:lang w:eastAsia="en-AU"/>
              </w:rPr>
            </w:pPr>
            <w:r w:rsidRPr="00E27419">
              <w:rPr>
                <w:rFonts w:eastAsia="Times New Roman" w:cstheme="minorHAnsi"/>
                <w:lang w:eastAsia="en-AU"/>
              </w:rPr>
              <w:t>78%</w:t>
            </w:r>
          </w:p>
        </w:tc>
        <w:tc>
          <w:tcPr>
            <w:tcW w:w="980" w:type="dxa"/>
            <w:tcBorders>
              <w:top w:val="nil"/>
              <w:left w:val="single" w:sz="8" w:space="0" w:color="auto"/>
              <w:bottom w:val="single" w:sz="4" w:space="0" w:color="auto"/>
              <w:right w:val="single" w:sz="8" w:space="0" w:color="auto"/>
            </w:tcBorders>
            <w:shd w:val="clear" w:color="auto" w:fill="auto"/>
            <w:noWrap/>
            <w:vAlign w:val="bottom"/>
            <w:hideMark/>
          </w:tcPr>
          <w:p w:rsidR="007B45D5" w:rsidRPr="00E27419" w:rsidRDefault="007B45D5" w:rsidP="007B45D5">
            <w:pPr>
              <w:spacing w:after="0" w:line="240" w:lineRule="auto"/>
              <w:jc w:val="right"/>
              <w:rPr>
                <w:rFonts w:eastAsia="Times New Roman" w:cstheme="minorHAnsi"/>
                <w:lang w:eastAsia="en-AU"/>
              </w:rPr>
            </w:pPr>
            <w:r w:rsidRPr="00E27419">
              <w:rPr>
                <w:rFonts w:eastAsia="Times New Roman" w:cstheme="minorHAnsi"/>
                <w:lang w:eastAsia="en-AU"/>
              </w:rPr>
              <w:t>80%</w:t>
            </w:r>
          </w:p>
        </w:tc>
      </w:tr>
      <w:tr w:rsidR="007B45D5" w:rsidRPr="00E27419" w:rsidTr="00E27419">
        <w:trPr>
          <w:trHeight w:val="278"/>
        </w:trPr>
        <w:tc>
          <w:tcPr>
            <w:tcW w:w="3392" w:type="dxa"/>
            <w:tcBorders>
              <w:top w:val="nil"/>
              <w:left w:val="single" w:sz="8" w:space="0" w:color="auto"/>
              <w:bottom w:val="single" w:sz="8" w:space="0" w:color="auto"/>
              <w:right w:val="nil"/>
            </w:tcBorders>
            <w:shd w:val="clear" w:color="auto" w:fill="auto"/>
            <w:noWrap/>
            <w:vAlign w:val="bottom"/>
            <w:hideMark/>
          </w:tcPr>
          <w:p w:rsidR="007B45D5" w:rsidRPr="00E27419" w:rsidRDefault="007B45D5" w:rsidP="007B45D5">
            <w:pPr>
              <w:spacing w:after="0" w:line="240" w:lineRule="auto"/>
              <w:rPr>
                <w:rFonts w:eastAsia="Times New Roman" w:cstheme="minorHAnsi"/>
                <w:lang w:eastAsia="en-AU"/>
              </w:rPr>
            </w:pPr>
            <w:r w:rsidRPr="00E27419">
              <w:rPr>
                <w:rFonts w:eastAsia="Times New Roman" w:cstheme="minorHAnsi"/>
                <w:lang w:eastAsia="en-AU"/>
              </w:rPr>
              <w:t>Choice and Control</w:t>
            </w:r>
          </w:p>
        </w:tc>
        <w:tc>
          <w:tcPr>
            <w:tcW w:w="1418" w:type="dxa"/>
            <w:tcBorders>
              <w:top w:val="nil"/>
              <w:left w:val="single" w:sz="8" w:space="0" w:color="auto"/>
              <w:bottom w:val="single" w:sz="8" w:space="0" w:color="auto"/>
              <w:right w:val="single" w:sz="8" w:space="0" w:color="auto"/>
            </w:tcBorders>
            <w:shd w:val="clear" w:color="auto" w:fill="auto"/>
            <w:noWrap/>
            <w:vAlign w:val="bottom"/>
            <w:hideMark/>
          </w:tcPr>
          <w:p w:rsidR="007B45D5" w:rsidRPr="00E27419" w:rsidRDefault="007B45D5" w:rsidP="007B45D5">
            <w:pPr>
              <w:spacing w:after="0" w:line="240" w:lineRule="auto"/>
              <w:jc w:val="center"/>
              <w:rPr>
                <w:rFonts w:eastAsia="Times New Roman" w:cstheme="minorHAnsi"/>
                <w:lang w:eastAsia="en-AU"/>
              </w:rPr>
            </w:pPr>
            <w:r w:rsidRPr="00E27419">
              <w:rPr>
                <w:rFonts w:eastAsia="Times New Roman" w:cstheme="minorHAnsi"/>
                <w:lang w:eastAsia="en-AU"/>
              </w:rPr>
              <w:t>48%</w:t>
            </w:r>
          </w:p>
        </w:tc>
        <w:tc>
          <w:tcPr>
            <w:tcW w:w="1417" w:type="dxa"/>
            <w:tcBorders>
              <w:top w:val="nil"/>
              <w:left w:val="nil"/>
              <w:bottom w:val="single" w:sz="8" w:space="0" w:color="auto"/>
              <w:right w:val="nil"/>
            </w:tcBorders>
            <w:shd w:val="clear" w:color="auto" w:fill="auto"/>
            <w:noWrap/>
            <w:vAlign w:val="bottom"/>
            <w:hideMark/>
          </w:tcPr>
          <w:p w:rsidR="007B45D5" w:rsidRPr="00E27419" w:rsidRDefault="007B45D5" w:rsidP="007B45D5">
            <w:pPr>
              <w:spacing w:after="0" w:line="240" w:lineRule="auto"/>
              <w:jc w:val="center"/>
              <w:rPr>
                <w:rFonts w:eastAsia="Times New Roman" w:cstheme="minorHAnsi"/>
                <w:lang w:eastAsia="en-AU"/>
              </w:rPr>
            </w:pPr>
            <w:r w:rsidRPr="00E27419">
              <w:rPr>
                <w:rFonts w:eastAsia="Times New Roman" w:cstheme="minorHAnsi"/>
                <w:lang w:eastAsia="en-AU"/>
              </w:rPr>
              <w:t>69%</w:t>
            </w:r>
          </w:p>
        </w:tc>
        <w:tc>
          <w:tcPr>
            <w:tcW w:w="1418" w:type="dxa"/>
            <w:tcBorders>
              <w:top w:val="nil"/>
              <w:left w:val="single" w:sz="8" w:space="0" w:color="auto"/>
              <w:bottom w:val="single" w:sz="8" w:space="0" w:color="auto"/>
              <w:right w:val="single" w:sz="8" w:space="0" w:color="auto"/>
            </w:tcBorders>
            <w:shd w:val="clear" w:color="auto" w:fill="auto"/>
            <w:noWrap/>
            <w:vAlign w:val="bottom"/>
            <w:hideMark/>
          </w:tcPr>
          <w:p w:rsidR="007B45D5" w:rsidRPr="00E27419" w:rsidRDefault="007B45D5" w:rsidP="007B45D5">
            <w:pPr>
              <w:spacing w:after="0" w:line="240" w:lineRule="auto"/>
              <w:jc w:val="center"/>
              <w:rPr>
                <w:rFonts w:eastAsia="Times New Roman" w:cstheme="minorHAnsi"/>
                <w:lang w:eastAsia="en-AU"/>
              </w:rPr>
            </w:pPr>
            <w:r w:rsidRPr="00E27419">
              <w:rPr>
                <w:rFonts w:eastAsia="Times New Roman" w:cstheme="minorHAnsi"/>
                <w:lang w:eastAsia="en-AU"/>
              </w:rPr>
              <w:t>74%</w:t>
            </w:r>
          </w:p>
        </w:tc>
        <w:tc>
          <w:tcPr>
            <w:tcW w:w="1435" w:type="dxa"/>
            <w:tcBorders>
              <w:top w:val="nil"/>
              <w:left w:val="nil"/>
              <w:bottom w:val="single" w:sz="8" w:space="0" w:color="auto"/>
              <w:right w:val="nil"/>
            </w:tcBorders>
            <w:shd w:val="clear" w:color="auto" w:fill="auto"/>
            <w:noWrap/>
            <w:vAlign w:val="bottom"/>
            <w:hideMark/>
          </w:tcPr>
          <w:p w:rsidR="007B45D5" w:rsidRPr="00E27419" w:rsidRDefault="007B45D5" w:rsidP="007B45D5">
            <w:pPr>
              <w:spacing w:after="0" w:line="240" w:lineRule="auto"/>
              <w:jc w:val="center"/>
              <w:rPr>
                <w:rFonts w:eastAsia="Times New Roman" w:cstheme="minorHAnsi"/>
                <w:lang w:eastAsia="en-AU"/>
              </w:rPr>
            </w:pPr>
            <w:r w:rsidRPr="00E27419">
              <w:rPr>
                <w:rFonts w:eastAsia="Times New Roman" w:cstheme="minorHAnsi"/>
                <w:lang w:eastAsia="en-AU"/>
              </w:rPr>
              <w:t>76%</w:t>
            </w:r>
          </w:p>
        </w:tc>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7B45D5" w:rsidRPr="00E27419" w:rsidRDefault="007B45D5" w:rsidP="007B45D5">
            <w:pPr>
              <w:spacing w:after="0" w:line="240" w:lineRule="auto"/>
              <w:jc w:val="right"/>
              <w:rPr>
                <w:rFonts w:eastAsia="Times New Roman" w:cstheme="minorHAnsi"/>
                <w:lang w:eastAsia="en-AU"/>
              </w:rPr>
            </w:pPr>
            <w:r w:rsidRPr="00E27419">
              <w:rPr>
                <w:rFonts w:eastAsia="Times New Roman" w:cstheme="minorHAnsi"/>
                <w:lang w:eastAsia="en-AU"/>
              </w:rPr>
              <w:t>77%</w:t>
            </w:r>
          </w:p>
        </w:tc>
      </w:tr>
    </w:tbl>
    <w:p w:rsidR="00E27419" w:rsidRDefault="00E27419" w:rsidP="00E27419"/>
    <w:p w:rsidR="006F4C8C" w:rsidRDefault="006F4C8C" w:rsidP="006F4C8C">
      <w:pPr>
        <w:pStyle w:val="Heading2"/>
      </w:pPr>
      <w:bookmarkStart w:id="89" w:name="_Toc121151461"/>
      <w:r>
        <w:t>Slide 79: Participants aged 25 and over</w:t>
      </w:r>
      <w:bookmarkEnd w:id="89"/>
    </w:p>
    <w:p w:rsidR="006F4C8C" w:rsidRDefault="006F4C8C" w:rsidP="004168FC">
      <w:pPr>
        <w:pStyle w:val="Heading5"/>
      </w:pPr>
      <w:r>
        <w:t>Has the NDIS helped?</w:t>
      </w:r>
    </w:p>
    <w:p w:rsidR="006F4C8C" w:rsidRPr="004168FC" w:rsidRDefault="006F4C8C" w:rsidP="004168FC">
      <w:pPr>
        <w:pStyle w:val="Heading5"/>
        <w:rPr>
          <w:i/>
        </w:rPr>
      </w:pPr>
      <w:r w:rsidRPr="004168FC">
        <w:rPr>
          <w:i/>
        </w:rPr>
        <w:t>Percentage of positive responses</w:t>
      </w:r>
    </w:p>
    <w:p w:rsidR="006F4C8C" w:rsidRPr="009B241D" w:rsidRDefault="006F4C8C" w:rsidP="006F4C8C">
      <w:pPr>
        <w:autoSpaceDE w:val="0"/>
        <w:autoSpaceDN w:val="0"/>
        <w:adjustRightInd w:val="0"/>
        <w:spacing w:after="0" w:line="240" w:lineRule="auto"/>
        <w:rPr>
          <w:rFonts w:cstheme="minorHAnsi"/>
          <w:sz w:val="21"/>
          <w:szCs w:val="21"/>
        </w:rPr>
      </w:pPr>
      <w:r w:rsidRPr="009B241D">
        <w:rPr>
          <w:rFonts w:cstheme="minorHAnsi"/>
          <w:sz w:val="21"/>
          <w:szCs w:val="21"/>
        </w:rPr>
        <w:t xml:space="preserve">The percentage who think the NDIS has helped is highest for daily living (74.4% after </w:t>
      </w:r>
      <w:r w:rsidR="005A7C7C" w:rsidRPr="009B241D">
        <w:rPr>
          <w:rFonts w:cstheme="minorHAnsi"/>
          <w:sz w:val="21"/>
          <w:szCs w:val="21"/>
        </w:rPr>
        <w:t>One year in the Scheme</w:t>
      </w:r>
      <w:r w:rsidRPr="009B241D">
        <w:rPr>
          <w:rFonts w:cstheme="minorHAnsi"/>
          <w:sz w:val="21"/>
          <w:szCs w:val="21"/>
        </w:rPr>
        <w:t xml:space="preserve">, increasing to 80.2%, 83.4%, 85.0%, and 87.0% after two, three, four and </w:t>
      </w:r>
      <w:r w:rsidR="005A7C7C" w:rsidRPr="009B241D">
        <w:rPr>
          <w:rFonts w:cstheme="minorHAnsi"/>
          <w:sz w:val="21"/>
          <w:szCs w:val="21"/>
        </w:rPr>
        <w:t>Five years in the Scheme</w:t>
      </w:r>
      <w:r w:rsidRPr="009B241D">
        <w:rPr>
          <w:rFonts w:cstheme="minorHAnsi"/>
          <w:sz w:val="21"/>
          <w:szCs w:val="21"/>
        </w:rPr>
        <w:t xml:space="preserve">, respectively). This is followed by choice and control, which had a 10.0 percentage-point increase between first and fifth reviews (71.4% after </w:t>
      </w:r>
      <w:r w:rsidR="005A7C7C" w:rsidRPr="009B241D">
        <w:rPr>
          <w:rFonts w:cstheme="minorHAnsi"/>
          <w:sz w:val="21"/>
          <w:szCs w:val="21"/>
        </w:rPr>
        <w:t>One year in the Scheme</w:t>
      </w:r>
      <w:r w:rsidRPr="009B241D">
        <w:rPr>
          <w:rFonts w:cstheme="minorHAnsi"/>
          <w:sz w:val="21"/>
          <w:szCs w:val="21"/>
        </w:rPr>
        <w:t xml:space="preserve">, increasing to 81.4% after </w:t>
      </w:r>
      <w:r w:rsidR="005A7C7C" w:rsidRPr="009B241D">
        <w:rPr>
          <w:rFonts w:cstheme="minorHAnsi"/>
          <w:sz w:val="21"/>
          <w:szCs w:val="21"/>
        </w:rPr>
        <w:t>Five years in the Scheme</w:t>
      </w:r>
      <w:r w:rsidRPr="009B241D">
        <w:rPr>
          <w:rFonts w:cstheme="minorHAnsi"/>
          <w:sz w:val="21"/>
          <w:szCs w:val="21"/>
        </w:rPr>
        <w:t>).</w:t>
      </w:r>
    </w:p>
    <w:p w:rsidR="006F4C8C" w:rsidRPr="009B241D" w:rsidRDefault="006F4C8C" w:rsidP="006F4C8C">
      <w:pPr>
        <w:autoSpaceDE w:val="0"/>
        <w:autoSpaceDN w:val="0"/>
        <w:adjustRightInd w:val="0"/>
        <w:spacing w:after="0" w:line="240" w:lineRule="auto"/>
        <w:rPr>
          <w:rFonts w:cstheme="minorHAnsi"/>
          <w:sz w:val="21"/>
          <w:szCs w:val="21"/>
        </w:rPr>
      </w:pPr>
      <w:r w:rsidRPr="009B241D">
        <w:rPr>
          <w:rFonts w:cstheme="minorHAnsi"/>
          <w:sz w:val="21"/>
          <w:szCs w:val="21"/>
        </w:rPr>
        <w:t>Percentages are lowest for lifelong learning (30.2% after one year, increasing to 35.0% after five years) and work (</w:t>
      </w:r>
      <w:r w:rsidR="0080201D">
        <w:rPr>
          <w:rFonts w:cstheme="minorHAnsi"/>
          <w:sz w:val="21"/>
          <w:szCs w:val="21"/>
        </w:rPr>
        <w:t>Footnote 1</w:t>
      </w:r>
      <w:r w:rsidRPr="009B241D">
        <w:rPr>
          <w:rFonts w:cstheme="minorHAnsi"/>
          <w:sz w:val="21"/>
          <w:szCs w:val="21"/>
        </w:rPr>
        <w:t>) (19.2% after one year, and 21.5% after five years).</w:t>
      </w:r>
    </w:p>
    <w:p w:rsidR="00E821A9" w:rsidRPr="009B241D" w:rsidRDefault="006F4C8C" w:rsidP="006F4C8C">
      <w:pPr>
        <w:rPr>
          <w:rFonts w:cstheme="minorHAnsi"/>
          <w:sz w:val="21"/>
          <w:szCs w:val="21"/>
        </w:rPr>
      </w:pPr>
      <w:r w:rsidRPr="009B241D">
        <w:rPr>
          <w:rFonts w:cstheme="minorHAnsi"/>
          <w:sz w:val="21"/>
          <w:szCs w:val="21"/>
        </w:rPr>
        <w:t>Nevertheless, all domains have shown overall positive increases between first and fifth reviews.</w:t>
      </w:r>
    </w:p>
    <w:tbl>
      <w:tblPr>
        <w:tblW w:w="9918" w:type="dxa"/>
        <w:tblLook w:val="04A0" w:firstRow="1" w:lastRow="0" w:firstColumn="1" w:lastColumn="0" w:noHBand="0" w:noVBand="1"/>
      </w:tblPr>
      <w:tblGrid>
        <w:gridCol w:w="3676"/>
        <w:gridCol w:w="1417"/>
        <w:gridCol w:w="1276"/>
        <w:gridCol w:w="1139"/>
        <w:gridCol w:w="1276"/>
        <w:gridCol w:w="1134"/>
      </w:tblGrid>
      <w:tr w:rsidR="007B45D5" w:rsidRPr="00460595" w:rsidTr="007B45D5">
        <w:trPr>
          <w:trHeight w:val="548"/>
        </w:trPr>
        <w:tc>
          <w:tcPr>
            <w:tcW w:w="36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B45D5" w:rsidRPr="002F661A" w:rsidRDefault="007B45D5" w:rsidP="007B45D5">
            <w:pPr>
              <w:spacing w:after="0" w:line="240" w:lineRule="auto"/>
              <w:rPr>
                <w:rFonts w:eastAsia="Times New Roman" w:cstheme="minorHAnsi"/>
                <w:b/>
                <w:lang w:eastAsia="en-AU"/>
              </w:rPr>
            </w:pPr>
            <w:r>
              <w:rPr>
                <w:rFonts w:eastAsia="Times New Roman" w:cstheme="minorHAnsi"/>
                <w:b/>
                <w:lang w:eastAsia="en-AU"/>
              </w:rPr>
              <w:t>Domain</w:t>
            </w:r>
          </w:p>
        </w:tc>
        <w:tc>
          <w:tcPr>
            <w:tcW w:w="1417" w:type="dxa"/>
            <w:tcBorders>
              <w:top w:val="single" w:sz="8" w:space="0" w:color="auto"/>
              <w:left w:val="nil"/>
              <w:bottom w:val="single" w:sz="8" w:space="0" w:color="auto"/>
              <w:right w:val="single" w:sz="4" w:space="0" w:color="auto"/>
            </w:tcBorders>
            <w:shd w:val="clear" w:color="auto" w:fill="auto"/>
            <w:vAlign w:val="bottom"/>
            <w:hideMark/>
          </w:tcPr>
          <w:p w:rsidR="007B45D5" w:rsidRPr="006F4C8C" w:rsidRDefault="007B45D5" w:rsidP="007B45D5">
            <w:pPr>
              <w:spacing w:after="0" w:line="240" w:lineRule="auto"/>
              <w:jc w:val="center"/>
              <w:rPr>
                <w:rFonts w:eastAsia="Times New Roman" w:cstheme="minorHAnsi"/>
                <w:b/>
                <w:lang w:eastAsia="en-AU"/>
              </w:rPr>
            </w:pPr>
            <w:r w:rsidRPr="006F4C8C">
              <w:rPr>
                <w:rFonts w:eastAsia="Times New Roman" w:cstheme="minorHAnsi"/>
                <w:b/>
                <w:lang w:eastAsia="en-AU"/>
              </w:rPr>
              <w:t>Review 1 (n=114679)</w:t>
            </w:r>
          </w:p>
        </w:tc>
        <w:tc>
          <w:tcPr>
            <w:tcW w:w="1276" w:type="dxa"/>
            <w:tcBorders>
              <w:top w:val="single" w:sz="8" w:space="0" w:color="auto"/>
              <w:left w:val="nil"/>
              <w:bottom w:val="single" w:sz="8" w:space="0" w:color="auto"/>
              <w:right w:val="nil"/>
            </w:tcBorders>
            <w:shd w:val="clear" w:color="auto" w:fill="auto"/>
            <w:vAlign w:val="bottom"/>
            <w:hideMark/>
          </w:tcPr>
          <w:p w:rsidR="007B45D5" w:rsidRPr="006F4C8C" w:rsidRDefault="007B45D5" w:rsidP="007B45D5">
            <w:pPr>
              <w:spacing w:after="0" w:line="240" w:lineRule="auto"/>
              <w:jc w:val="center"/>
              <w:rPr>
                <w:rFonts w:eastAsia="Times New Roman" w:cstheme="minorHAnsi"/>
                <w:b/>
                <w:lang w:eastAsia="en-AU"/>
              </w:rPr>
            </w:pPr>
            <w:r w:rsidRPr="006F4C8C">
              <w:rPr>
                <w:rFonts w:eastAsia="Times New Roman" w:cstheme="minorHAnsi"/>
                <w:b/>
                <w:lang w:eastAsia="en-AU"/>
              </w:rPr>
              <w:t>Review 2 (n=69568)</w:t>
            </w:r>
          </w:p>
        </w:tc>
        <w:tc>
          <w:tcPr>
            <w:tcW w:w="11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B45D5" w:rsidRPr="006F4C8C" w:rsidRDefault="007B45D5" w:rsidP="007B45D5">
            <w:pPr>
              <w:spacing w:after="0" w:line="240" w:lineRule="auto"/>
              <w:jc w:val="center"/>
              <w:rPr>
                <w:rFonts w:eastAsia="Times New Roman" w:cstheme="minorHAnsi"/>
                <w:b/>
                <w:lang w:eastAsia="en-AU"/>
              </w:rPr>
            </w:pPr>
            <w:r w:rsidRPr="006F4C8C">
              <w:rPr>
                <w:rFonts w:eastAsia="Times New Roman" w:cstheme="minorHAnsi"/>
                <w:b/>
                <w:lang w:eastAsia="en-AU"/>
              </w:rPr>
              <w:t>Review 3 (n=42617)</w:t>
            </w:r>
          </w:p>
        </w:tc>
        <w:tc>
          <w:tcPr>
            <w:tcW w:w="1276" w:type="dxa"/>
            <w:tcBorders>
              <w:top w:val="single" w:sz="8" w:space="0" w:color="auto"/>
              <w:left w:val="nil"/>
              <w:bottom w:val="single" w:sz="8" w:space="0" w:color="auto"/>
              <w:right w:val="nil"/>
            </w:tcBorders>
            <w:shd w:val="clear" w:color="auto" w:fill="auto"/>
            <w:vAlign w:val="bottom"/>
            <w:hideMark/>
          </w:tcPr>
          <w:p w:rsidR="007B45D5" w:rsidRPr="006F4C8C" w:rsidRDefault="007B45D5" w:rsidP="007B45D5">
            <w:pPr>
              <w:spacing w:after="0" w:line="240" w:lineRule="auto"/>
              <w:jc w:val="center"/>
              <w:rPr>
                <w:rFonts w:eastAsia="Times New Roman" w:cstheme="minorHAnsi"/>
                <w:b/>
                <w:lang w:eastAsia="en-AU"/>
              </w:rPr>
            </w:pPr>
            <w:r w:rsidRPr="006F4C8C">
              <w:rPr>
                <w:rFonts w:eastAsia="Times New Roman" w:cstheme="minorHAnsi"/>
                <w:b/>
                <w:lang w:eastAsia="en-AU"/>
              </w:rPr>
              <w:t>Review 4 (n=20526)</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B45D5" w:rsidRPr="006F4C8C" w:rsidRDefault="007B45D5" w:rsidP="007B45D5">
            <w:pPr>
              <w:spacing w:after="0" w:line="240" w:lineRule="auto"/>
              <w:jc w:val="center"/>
              <w:rPr>
                <w:rFonts w:eastAsia="Times New Roman" w:cstheme="minorHAnsi"/>
                <w:b/>
                <w:lang w:eastAsia="en-AU"/>
              </w:rPr>
            </w:pPr>
            <w:r w:rsidRPr="006F4C8C">
              <w:rPr>
                <w:rFonts w:eastAsia="Times New Roman" w:cstheme="minorHAnsi"/>
                <w:b/>
                <w:lang w:eastAsia="en-AU"/>
              </w:rPr>
              <w:t>Review 5 (n=7957)</w:t>
            </w:r>
          </w:p>
        </w:tc>
      </w:tr>
      <w:tr w:rsidR="007B45D5" w:rsidRPr="006F4C8C" w:rsidTr="007B45D5">
        <w:trPr>
          <w:trHeight w:val="270"/>
        </w:trPr>
        <w:tc>
          <w:tcPr>
            <w:tcW w:w="3676" w:type="dxa"/>
            <w:tcBorders>
              <w:top w:val="nil"/>
              <w:left w:val="single" w:sz="8" w:space="0" w:color="auto"/>
              <w:bottom w:val="single" w:sz="4" w:space="0" w:color="auto"/>
              <w:right w:val="single" w:sz="8" w:space="0" w:color="auto"/>
            </w:tcBorders>
            <w:shd w:val="clear" w:color="auto" w:fill="auto"/>
            <w:noWrap/>
            <w:vAlign w:val="bottom"/>
            <w:hideMark/>
          </w:tcPr>
          <w:p w:rsidR="007B45D5" w:rsidRPr="006F4C8C" w:rsidRDefault="007B45D5" w:rsidP="007B45D5">
            <w:pPr>
              <w:spacing w:after="0" w:line="240" w:lineRule="auto"/>
              <w:rPr>
                <w:rFonts w:eastAsia="Times New Roman" w:cstheme="minorHAnsi"/>
                <w:lang w:eastAsia="en-AU"/>
              </w:rPr>
            </w:pPr>
            <w:r w:rsidRPr="006F4C8C">
              <w:rPr>
                <w:rFonts w:eastAsia="Times New Roman" w:cstheme="minorHAnsi"/>
                <w:lang w:eastAsia="en-AU"/>
              </w:rPr>
              <w:t>Social, Community and Civic Participation</w:t>
            </w:r>
          </w:p>
        </w:tc>
        <w:tc>
          <w:tcPr>
            <w:tcW w:w="1417" w:type="dxa"/>
            <w:tcBorders>
              <w:top w:val="nil"/>
              <w:left w:val="nil"/>
              <w:bottom w:val="single" w:sz="4" w:space="0" w:color="auto"/>
              <w:right w:val="single" w:sz="4" w:space="0" w:color="auto"/>
            </w:tcBorders>
            <w:shd w:val="clear" w:color="auto" w:fill="auto"/>
            <w:noWrap/>
            <w:vAlign w:val="bottom"/>
            <w:hideMark/>
          </w:tcPr>
          <w:p w:rsidR="007B45D5" w:rsidRPr="006F4C8C" w:rsidRDefault="007B45D5" w:rsidP="007B45D5">
            <w:pPr>
              <w:spacing w:after="0" w:line="240" w:lineRule="auto"/>
              <w:jc w:val="center"/>
              <w:rPr>
                <w:rFonts w:eastAsia="Times New Roman" w:cstheme="minorHAnsi"/>
                <w:lang w:eastAsia="en-AU"/>
              </w:rPr>
            </w:pPr>
            <w:r w:rsidRPr="006F4C8C">
              <w:rPr>
                <w:rFonts w:eastAsia="Times New Roman" w:cstheme="minorHAnsi"/>
                <w:lang w:eastAsia="en-AU"/>
              </w:rPr>
              <w:t>60.4%</w:t>
            </w:r>
          </w:p>
        </w:tc>
        <w:tc>
          <w:tcPr>
            <w:tcW w:w="1276" w:type="dxa"/>
            <w:tcBorders>
              <w:top w:val="nil"/>
              <w:left w:val="nil"/>
              <w:bottom w:val="single" w:sz="4" w:space="0" w:color="auto"/>
              <w:right w:val="nil"/>
            </w:tcBorders>
            <w:shd w:val="clear" w:color="auto" w:fill="auto"/>
            <w:noWrap/>
            <w:vAlign w:val="bottom"/>
            <w:hideMark/>
          </w:tcPr>
          <w:p w:rsidR="007B45D5" w:rsidRPr="006F4C8C" w:rsidRDefault="007B45D5" w:rsidP="007B45D5">
            <w:pPr>
              <w:spacing w:after="0" w:line="240" w:lineRule="auto"/>
              <w:jc w:val="center"/>
              <w:rPr>
                <w:rFonts w:eastAsia="Times New Roman" w:cstheme="minorHAnsi"/>
                <w:lang w:eastAsia="en-AU"/>
              </w:rPr>
            </w:pPr>
            <w:r w:rsidRPr="006F4C8C">
              <w:rPr>
                <w:rFonts w:eastAsia="Times New Roman" w:cstheme="minorHAnsi"/>
                <w:lang w:eastAsia="en-AU"/>
              </w:rPr>
              <w:t>65.5%</w:t>
            </w:r>
          </w:p>
        </w:tc>
        <w:tc>
          <w:tcPr>
            <w:tcW w:w="1139" w:type="dxa"/>
            <w:tcBorders>
              <w:top w:val="nil"/>
              <w:left w:val="single" w:sz="8" w:space="0" w:color="auto"/>
              <w:bottom w:val="single" w:sz="4" w:space="0" w:color="auto"/>
              <w:right w:val="single" w:sz="8" w:space="0" w:color="auto"/>
            </w:tcBorders>
            <w:shd w:val="clear" w:color="auto" w:fill="auto"/>
            <w:noWrap/>
            <w:vAlign w:val="bottom"/>
            <w:hideMark/>
          </w:tcPr>
          <w:p w:rsidR="007B45D5" w:rsidRPr="006F4C8C" w:rsidRDefault="007B45D5" w:rsidP="007B45D5">
            <w:pPr>
              <w:spacing w:after="0" w:line="240" w:lineRule="auto"/>
              <w:jc w:val="center"/>
              <w:rPr>
                <w:rFonts w:eastAsia="Times New Roman" w:cstheme="minorHAnsi"/>
                <w:lang w:eastAsia="en-AU"/>
              </w:rPr>
            </w:pPr>
            <w:r w:rsidRPr="006F4C8C">
              <w:rPr>
                <w:rFonts w:eastAsia="Times New Roman" w:cstheme="minorHAnsi"/>
                <w:lang w:eastAsia="en-AU"/>
              </w:rPr>
              <w:t>69.5%</w:t>
            </w:r>
          </w:p>
        </w:tc>
        <w:tc>
          <w:tcPr>
            <w:tcW w:w="1276" w:type="dxa"/>
            <w:tcBorders>
              <w:top w:val="nil"/>
              <w:left w:val="nil"/>
              <w:bottom w:val="single" w:sz="4" w:space="0" w:color="auto"/>
              <w:right w:val="nil"/>
            </w:tcBorders>
            <w:shd w:val="clear" w:color="auto" w:fill="auto"/>
            <w:noWrap/>
            <w:vAlign w:val="bottom"/>
            <w:hideMark/>
          </w:tcPr>
          <w:p w:rsidR="007B45D5" w:rsidRPr="006F4C8C" w:rsidRDefault="007B45D5" w:rsidP="007B45D5">
            <w:pPr>
              <w:spacing w:after="0" w:line="240" w:lineRule="auto"/>
              <w:jc w:val="center"/>
              <w:rPr>
                <w:rFonts w:eastAsia="Times New Roman" w:cstheme="minorHAnsi"/>
                <w:lang w:eastAsia="en-AU"/>
              </w:rPr>
            </w:pPr>
            <w:r w:rsidRPr="006F4C8C">
              <w:rPr>
                <w:rFonts w:eastAsia="Times New Roman" w:cstheme="minorHAnsi"/>
                <w:lang w:eastAsia="en-AU"/>
              </w:rPr>
              <w:t>71.7%</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7B45D5" w:rsidRPr="006F4C8C" w:rsidRDefault="007B45D5" w:rsidP="007B45D5">
            <w:pPr>
              <w:spacing w:after="0" w:line="240" w:lineRule="auto"/>
              <w:jc w:val="center"/>
              <w:rPr>
                <w:rFonts w:eastAsia="Times New Roman" w:cstheme="minorHAnsi"/>
                <w:lang w:eastAsia="en-AU"/>
              </w:rPr>
            </w:pPr>
            <w:r w:rsidRPr="006F4C8C">
              <w:rPr>
                <w:rFonts w:eastAsia="Times New Roman" w:cstheme="minorHAnsi"/>
                <w:lang w:eastAsia="en-AU"/>
              </w:rPr>
              <w:t>74.8%</w:t>
            </w:r>
          </w:p>
        </w:tc>
      </w:tr>
      <w:tr w:rsidR="007B45D5" w:rsidRPr="006F4C8C" w:rsidTr="007B45D5">
        <w:trPr>
          <w:trHeight w:val="270"/>
        </w:trPr>
        <w:tc>
          <w:tcPr>
            <w:tcW w:w="3676" w:type="dxa"/>
            <w:tcBorders>
              <w:top w:val="nil"/>
              <w:left w:val="single" w:sz="8" w:space="0" w:color="auto"/>
              <w:bottom w:val="single" w:sz="4" w:space="0" w:color="auto"/>
              <w:right w:val="single" w:sz="8" w:space="0" w:color="auto"/>
            </w:tcBorders>
            <w:shd w:val="clear" w:color="auto" w:fill="auto"/>
            <w:noWrap/>
            <w:vAlign w:val="bottom"/>
            <w:hideMark/>
          </w:tcPr>
          <w:p w:rsidR="007B45D5" w:rsidRPr="006F4C8C" w:rsidRDefault="007B45D5" w:rsidP="007B45D5">
            <w:pPr>
              <w:spacing w:after="0" w:line="240" w:lineRule="auto"/>
              <w:rPr>
                <w:rFonts w:eastAsia="Times New Roman" w:cstheme="minorHAnsi"/>
                <w:lang w:eastAsia="en-AU"/>
              </w:rPr>
            </w:pPr>
            <w:r w:rsidRPr="006F4C8C">
              <w:rPr>
                <w:rFonts w:eastAsia="Times New Roman" w:cstheme="minorHAnsi"/>
                <w:lang w:eastAsia="en-AU"/>
              </w:rPr>
              <w:t>Work</w:t>
            </w:r>
          </w:p>
        </w:tc>
        <w:tc>
          <w:tcPr>
            <w:tcW w:w="1417" w:type="dxa"/>
            <w:tcBorders>
              <w:top w:val="nil"/>
              <w:left w:val="nil"/>
              <w:bottom w:val="single" w:sz="4" w:space="0" w:color="auto"/>
              <w:right w:val="single" w:sz="4" w:space="0" w:color="auto"/>
            </w:tcBorders>
            <w:shd w:val="clear" w:color="auto" w:fill="auto"/>
            <w:noWrap/>
            <w:vAlign w:val="bottom"/>
            <w:hideMark/>
          </w:tcPr>
          <w:p w:rsidR="007B45D5" w:rsidRPr="006F4C8C" w:rsidRDefault="007B45D5" w:rsidP="007B45D5">
            <w:pPr>
              <w:spacing w:after="0" w:line="240" w:lineRule="auto"/>
              <w:jc w:val="center"/>
              <w:rPr>
                <w:rFonts w:eastAsia="Times New Roman" w:cstheme="minorHAnsi"/>
                <w:lang w:eastAsia="en-AU"/>
              </w:rPr>
            </w:pPr>
            <w:r w:rsidRPr="006F4C8C">
              <w:rPr>
                <w:rFonts w:eastAsia="Times New Roman" w:cstheme="minorHAnsi"/>
                <w:lang w:eastAsia="en-AU"/>
              </w:rPr>
              <w:t>19.2%</w:t>
            </w:r>
          </w:p>
        </w:tc>
        <w:tc>
          <w:tcPr>
            <w:tcW w:w="1276" w:type="dxa"/>
            <w:tcBorders>
              <w:top w:val="nil"/>
              <w:left w:val="nil"/>
              <w:bottom w:val="single" w:sz="4" w:space="0" w:color="auto"/>
              <w:right w:val="nil"/>
            </w:tcBorders>
            <w:shd w:val="clear" w:color="auto" w:fill="auto"/>
            <w:noWrap/>
            <w:vAlign w:val="bottom"/>
            <w:hideMark/>
          </w:tcPr>
          <w:p w:rsidR="007B45D5" w:rsidRPr="006F4C8C" w:rsidRDefault="007B45D5" w:rsidP="007B45D5">
            <w:pPr>
              <w:spacing w:after="0" w:line="240" w:lineRule="auto"/>
              <w:jc w:val="center"/>
              <w:rPr>
                <w:rFonts w:eastAsia="Times New Roman" w:cstheme="minorHAnsi"/>
                <w:lang w:eastAsia="en-AU"/>
              </w:rPr>
            </w:pPr>
            <w:r w:rsidRPr="006F4C8C">
              <w:rPr>
                <w:rFonts w:eastAsia="Times New Roman" w:cstheme="minorHAnsi"/>
                <w:lang w:eastAsia="en-AU"/>
              </w:rPr>
              <w:t>17.9%</w:t>
            </w:r>
          </w:p>
        </w:tc>
        <w:tc>
          <w:tcPr>
            <w:tcW w:w="1139" w:type="dxa"/>
            <w:tcBorders>
              <w:top w:val="nil"/>
              <w:left w:val="single" w:sz="8" w:space="0" w:color="auto"/>
              <w:bottom w:val="single" w:sz="4" w:space="0" w:color="auto"/>
              <w:right w:val="single" w:sz="8" w:space="0" w:color="auto"/>
            </w:tcBorders>
            <w:shd w:val="clear" w:color="auto" w:fill="auto"/>
            <w:noWrap/>
            <w:vAlign w:val="bottom"/>
            <w:hideMark/>
          </w:tcPr>
          <w:p w:rsidR="007B45D5" w:rsidRPr="006F4C8C" w:rsidRDefault="007B45D5" w:rsidP="007B45D5">
            <w:pPr>
              <w:spacing w:after="0" w:line="240" w:lineRule="auto"/>
              <w:jc w:val="center"/>
              <w:rPr>
                <w:rFonts w:eastAsia="Times New Roman" w:cstheme="minorHAnsi"/>
                <w:lang w:eastAsia="en-AU"/>
              </w:rPr>
            </w:pPr>
            <w:r w:rsidRPr="006F4C8C">
              <w:rPr>
                <w:rFonts w:eastAsia="Times New Roman" w:cstheme="minorHAnsi"/>
                <w:lang w:eastAsia="en-AU"/>
              </w:rPr>
              <w:t>18.5%</w:t>
            </w:r>
          </w:p>
        </w:tc>
        <w:tc>
          <w:tcPr>
            <w:tcW w:w="1276" w:type="dxa"/>
            <w:tcBorders>
              <w:top w:val="nil"/>
              <w:left w:val="nil"/>
              <w:bottom w:val="single" w:sz="4" w:space="0" w:color="auto"/>
              <w:right w:val="nil"/>
            </w:tcBorders>
            <w:shd w:val="clear" w:color="auto" w:fill="auto"/>
            <w:noWrap/>
            <w:vAlign w:val="bottom"/>
            <w:hideMark/>
          </w:tcPr>
          <w:p w:rsidR="007B45D5" w:rsidRPr="006F4C8C" w:rsidRDefault="007B45D5" w:rsidP="007B45D5">
            <w:pPr>
              <w:spacing w:after="0" w:line="240" w:lineRule="auto"/>
              <w:jc w:val="center"/>
              <w:rPr>
                <w:rFonts w:eastAsia="Times New Roman" w:cstheme="minorHAnsi"/>
                <w:lang w:eastAsia="en-AU"/>
              </w:rPr>
            </w:pPr>
            <w:r w:rsidRPr="006F4C8C">
              <w:rPr>
                <w:rFonts w:eastAsia="Times New Roman" w:cstheme="minorHAnsi"/>
                <w:lang w:eastAsia="en-AU"/>
              </w:rPr>
              <w:t>20.1%</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7B45D5" w:rsidRPr="006F4C8C" w:rsidRDefault="007B45D5" w:rsidP="007B45D5">
            <w:pPr>
              <w:spacing w:after="0" w:line="240" w:lineRule="auto"/>
              <w:jc w:val="center"/>
              <w:rPr>
                <w:rFonts w:eastAsia="Times New Roman" w:cstheme="minorHAnsi"/>
                <w:lang w:eastAsia="en-AU"/>
              </w:rPr>
            </w:pPr>
            <w:r w:rsidRPr="006F4C8C">
              <w:rPr>
                <w:rFonts w:eastAsia="Times New Roman" w:cstheme="minorHAnsi"/>
                <w:lang w:eastAsia="en-AU"/>
              </w:rPr>
              <w:t>21.5%</w:t>
            </w:r>
          </w:p>
        </w:tc>
      </w:tr>
      <w:tr w:rsidR="007B45D5" w:rsidRPr="006F4C8C" w:rsidTr="007B45D5">
        <w:trPr>
          <w:trHeight w:val="270"/>
        </w:trPr>
        <w:tc>
          <w:tcPr>
            <w:tcW w:w="3676" w:type="dxa"/>
            <w:tcBorders>
              <w:top w:val="nil"/>
              <w:left w:val="single" w:sz="8" w:space="0" w:color="auto"/>
              <w:bottom w:val="single" w:sz="4" w:space="0" w:color="auto"/>
              <w:right w:val="single" w:sz="8" w:space="0" w:color="auto"/>
            </w:tcBorders>
            <w:shd w:val="clear" w:color="auto" w:fill="auto"/>
            <w:noWrap/>
            <w:vAlign w:val="bottom"/>
            <w:hideMark/>
          </w:tcPr>
          <w:p w:rsidR="007B45D5" w:rsidRPr="006F4C8C" w:rsidRDefault="007B45D5" w:rsidP="007B45D5">
            <w:pPr>
              <w:spacing w:after="0" w:line="240" w:lineRule="auto"/>
              <w:rPr>
                <w:rFonts w:eastAsia="Times New Roman" w:cstheme="minorHAnsi"/>
                <w:lang w:eastAsia="en-AU"/>
              </w:rPr>
            </w:pPr>
            <w:r w:rsidRPr="006F4C8C">
              <w:rPr>
                <w:rFonts w:eastAsia="Times New Roman" w:cstheme="minorHAnsi"/>
                <w:lang w:eastAsia="en-AU"/>
              </w:rPr>
              <w:t>Lifelong Learning</w:t>
            </w:r>
          </w:p>
        </w:tc>
        <w:tc>
          <w:tcPr>
            <w:tcW w:w="1417" w:type="dxa"/>
            <w:tcBorders>
              <w:top w:val="nil"/>
              <w:left w:val="nil"/>
              <w:bottom w:val="single" w:sz="4" w:space="0" w:color="auto"/>
              <w:right w:val="single" w:sz="4" w:space="0" w:color="auto"/>
            </w:tcBorders>
            <w:shd w:val="clear" w:color="auto" w:fill="auto"/>
            <w:noWrap/>
            <w:vAlign w:val="bottom"/>
            <w:hideMark/>
          </w:tcPr>
          <w:p w:rsidR="007B45D5" w:rsidRPr="006F4C8C" w:rsidRDefault="007B45D5" w:rsidP="007B45D5">
            <w:pPr>
              <w:spacing w:after="0" w:line="240" w:lineRule="auto"/>
              <w:jc w:val="center"/>
              <w:rPr>
                <w:rFonts w:eastAsia="Times New Roman" w:cstheme="minorHAnsi"/>
                <w:lang w:eastAsia="en-AU"/>
              </w:rPr>
            </w:pPr>
            <w:r w:rsidRPr="006F4C8C">
              <w:rPr>
                <w:rFonts w:eastAsia="Times New Roman" w:cstheme="minorHAnsi"/>
                <w:lang w:eastAsia="en-AU"/>
              </w:rPr>
              <w:t>30.2%</w:t>
            </w:r>
          </w:p>
        </w:tc>
        <w:tc>
          <w:tcPr>
            <w:tcW w:w="1276" w:type="dxa"/>
            <w:tcBorders>
              <w:top w:val="nil"/>
              <w:left w:val="nil"/>
              <w:bottom w:val="single" w:sz="4" w:space="0" w:color="auto"/>
              <w:right w:val="nil"/>
            </w:tcBorders>
            <w:shd w:val="clear" w:color="auto" w:fill="auto"/>
            <w:noWrap/>
            <w:vAlign w:val="bottom"/>
            <w:hideMark/>
          </w:tcPr>
          <w:p w:rsidR="007B45D5" w:rsidRPr="006F4C8C" w:rsidRDefault="007B45D5" w:rsidP="007B45D5">
            <w:pPr>
              <w:spacing w:after="0" w:line="240" w:lineRule="auto"/>
              <w:jc w:val="center"/>
              <w:rPr>
                <w:rFonts w:eastAsia="Times New Roman" w:cstheme="minorHAnsi"/>
                <w:lang w:eastAsia="en-AU"/>
              </w:rPr>
            </w:pPr>
            <w:r w:rsidRPr="006F4C8C">
              <w:rPr>
                <w:rFonts w:eastAsia="Times New Roman" w:cstheme="minorHAnsi"/>
                <w:lang w:eastAsia="en-AU"/>
              </w:rPr>
              <w:t>30.8%</w:t>
            </w:r>
          </w:p>
        </w:tc>
        <w:tc>
          <w:tcPr>
            <w:tcW w:w="1139" w:type="dxa"/>
            <w:tcBorders>
              <w:top w:val="nil"/>
              <w:left w:val="single" w:sz="8" w:space="0" w:color="auto"/>
              <w:bottom w:val="single" w:sz="4" w:space="0" w:color="auto"/>
              <w:right w:val="single" w:sz="8" w:space="0" w:color="auto"/>
            </w:tcBorders>
            <w:shd w:val="clear" w:color="auto" w:fill="auto"/>
            <w:noWrap/>
            <w:vAlign w:val="bottom"/>
            <w:hideMark/>
          </w:tcPr>
          <w:p w:rsidR="007B45D5" w:rsidRPr="006F4C8C" w:rsidRDefault="007B45D5" w:rsidP="007B45D5">
            <w:pPr>
              <w:spacing w:after="0" w:line="240" w:lineRule="auto"/>
              <w:jc w:val="center"/>
              <w:rPr>
                <w:rFonts w:eastAsia="Times New Roman" w:cstheme="minorHAnsi"/>
                <w:lang w:eastAsia="en-AU"/>
              </w:rPr>
            </w:pPr>
            <w:r w:rsidRPr="006F4C8C">
              <w:rPr>
                <w:rFonts w:eastAsia="Times New Roman" w:cstheme="minorHAnsi"/>
                <w:lang w:eastAsia="en-AU"/>
              </w:rPr>
              <w:t>32.1%</w:t>
            </w:r>
          </w:p>
        </w:tc>
        <w:tc>
          <w:tcPr>
            <w:tcW w:w="1276" w:type="dxa"/>
            <w:tcBorders>
              <w:top w:val="nil"/>
              <w:left w:val="nil"/>
              <w:bottom w:val="single" w:sz="4" w:space="0" w:color="auto"/>
              <w:right w:val="nil"/>
            </w:tcBorders>
            <w:shd w:val="clear" w:color="auto" w:fill="auto"/>
            <w:noWrap/>
            <w:vAlign w:val="bottom"/>
            <w:hideMark/>
          </w:tcPr>
          <w:p w:rsidR="007B45D5" w:rsidRPr="006F4C8C" w:rsidRDefault="007B45D5" w:rsidP="007B45D5">
            <w:pPr>
              <w:spacing w:after="0" w:line="240" w:lineRule="auto"/>
              <w:jc w:val="center"/>
              <w:rPr>
                <w:rFonts w:eastAsia="Times New Roman" w:cstheme="minorHAnsi"/>
                <w:lang w:eastAsia="en-AU"/>
              </w:rPr>
            </w:pPr>
            <w:r w:rsidRPr="006F4C8C">
              <w:rPr>
                <w:rFonts w:eastAsia="Times New Roman" w:cstheme="minorHAnsi"/>
                <w:lang w:eastAsia="en-AU"/>
              </w:rPr>
              <w:t>32.6%</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7B45D5" w:rsidRPr="006F4C8C" w:rsidRDefault="007B45D5" w:rsidP="007B45D5">
            <w:pPr>
              <w:spacing w:after="0" w:line="240" w:lineRule="auto"/>
              <w:jc w:val="center"/>
              <w:rPr>
                <w:rFonts w:eastAsia="Times New Roman" w:cstheme="minorHAnsi"/>
                <w:lang w:eastAsia="en-AU"/>
              </w:rPr>
            </w:pPr>
            <w:r w:rsidRPr="006F4C8C">
              <w:rPr>
                <w:rFonts w:eastAsia="Times New Roman" w:cstheme="minorHAnsi"/>
                <w:lang w:eastAsia="en-AU"/>
              </w:rPr>
              <w:t>35.0%</w:t>
            </w:r>
          </w:p>
        </w:tc>
      </w:tr>
      <w:tr w:rsidR="007B45D5" w:rsidRPr="006F4C8C" w:rsidTr="007B45D5">
        <w:trPr>
          <w:trHeight w:val="278"/>
        </w:trPr>
        <w:tc>
          <w:tcPr>
            <w:tcW w:w="3676" w:type="dxa"/>
            <w:tcBorders>
              <w:top w:val="nil"/>
              <w:left w:val="single" w:sz="8" w:space="0" w:color="auto"/>
              <w:bottom w:val="single" w:sz="4" w:space="0" w:color="auto"/>
              <w:right w:val="single" w:sz="8" w:space="0" w:color="auto"/>
            </w:tcBorders>
            <w:shd w:val="clear" w:color="auto" w:fill="auto"/>
            <w:noWrap/>
            <w:vAlign w:val="bottom"/>
            <w:hideMark/>
          </w:tcPr>
          <w:p w:rsidR="007B45D5" w:rsidRPr="006F4C8C" w:rsidRDefault="007B45D5" w:rsidP="007B45D5">
            <w:pPr>
              <w:spacing w:after="0" w:line="240" w:lineRule="auto"/>
              <w:rPr>
                <w:rFonts w:eastAsia="Times New Roman" w:cstheme="minorHAnsi"/>
                <w:lang w:eastAsia="en-AU"/>
              </w:rPr>
            </w:pPr>
            <w:r w:rsidRPr="006F4C8C">
              <w:rPr>
                <w:rFonts w:eastAsia="Times New Roman" w:cstheme="minorHAnsi"/>
                <w:lang w:eastAsia="en-AU"/>
              </w:rPr>
              <w:t>Health and wellbeing</w:t>
            </w:r>
          </w:p>
        </w:tc>
        <w:tc>
          <w:tcPr>
            <w:tcW w:w="1417" w:type="dxa"/>
            <w:tcBorders>
              <w:top w:val="nil"/>
              <w:left w:val="nil"/>
              <w:bottom w:val="single" w:sz="4" w:space="0" w:color="auto"/>
              <w:right w:val="single" w:sz="4" w:space="0" w:color="auto"/>
            </w:tcBorders>
            <w:shd w:val="clear" w:color="auto" w:fill="auto"/>
            <w:noWrap/>
            <w:vAlign w:val="bottom"/>
            <w:hideMark/>
          </w:tcPr>
          <w:p w:rsidR="007B45D5" w:rsidRPr="006F4C8C" w:rsidRDefault="007B45D5" w:rsidP="007B45D5">
            <w:pPr>
              <w:spacing w:after="0" w:line="240" w:lineRule="auto"/>
              <w:jc w:val="center"/>
              <w:rPr>
                <w:rFonts w:eastAsia="Times New Roman" w:cstheme="minorHAnsi"/>
                <w:lang w:eastAsia="en-AU"/>
              </w:rPr>
            </w:pPr>
            <w:r w:rsidRPr="006F4C8C">
              <w:rPr>
                <w:rFonts w:eastAsia="Times New Roman" w:cstheme="minorHAnsi"/>
                <w:lang w:eastAsia="en-AU"/>
              </w:rPr>
              <w:t>53.8%</w:t>
            </w:r>
          </w:p>
        </w:tc>
        <w:tc>
          <w:tcPr>
            <w:tcW w:w="1276" w:type="dxa"/>
            <w:tcBorders>
              <w:top w:val="nil"/>
              <w:left w:val="nil"/>
              <w:bottom w:val="single" w:sz="4" w:space="0" w:color="auto"/>
              <w:right w:val="nil"/>
            </w:tcBorders>
            <w:shd w:val="clear" w:color="auto" w:fill="auto"/>
            <w:noWrap/>
            <w:vAlign w:val="bottom"/>
            <w:hideMark/>
          </w:tcPr>
          <w:p w:rsidR="007B45D5" w:rsidRPr="006F4C8C" w:rsidRDefault="007B45D5" w:rsidP="007B45D5">
            <w:pPr>
              <w:spacing w:after="0" w:line="240" w:lineRule="auto"/>
              <w:jc w:val="center"/>
              <w:rPr>
                <w:rFonts w:eastAsia="Times New Roman" w:cstheme="minorHAnsi"/>
                <w:lang w:eastAsia="en-AU"/>
              </w:rPr>
            </w:pPr>
            <w:r w:rsidRPr="006F4C8C">
              <w:rPr>
                <w:rFonts w:eastAsia="Times New Roman" w:cstheme="minorHAnsi"/>
                <w:lang w:eastAsia="en-AU"/>
              </w:rPr>
              <w:t>57.3%</w:t>
            </w:r>
          </w:p>
        </w:tc>
        <w:tc>
          <w:tcPr>
            <w:tcW w:w="1139" w:type="dxa"/>
            <w:tcBorders>
              <w:top w:val="nil"/>
              <w:left w:val="single" w:sz="8" w:space="0" w:color="auto"/>
              <w:bottom w:val="single" w:sz="4" w:space="0" w:color="auto"/>
              <w:right w:val="single" w:sz="8" w:space="0" w:color="auto"/>
            </w:tcBorders>
            <w:shd w:val="clear" w:color="auto" w:fill="auto"/>
            <w:noWrap/>
            <w:vAlign w:val="bottom"/>
            <w:hideMark/>
          </w:tcPr>
          <w:p w:rsidR="007B45D5" w:rsidRPr="006F4C8C" w:rsidRDefault="007B45D5" w:rsidP="007B45D5">
            <w:pPr>
              <w:spacing w:after="0" w:line="240" w:lineRule="auto"/>
              <w:jc w:val="center"/>
              <w:rPr>
                <w:rFonts w:eastAsia="Times New Roman" w:cstheme="minorHAnsi"/>
                <w:lang w:eastAsia="en-AU"/>
              </w:rPr>
            </w:pPr>
            <w:r w:rsidRPr="006F4C8C">
              <w:rPr>
                <w:rFonts w:eastAsia="Times New Roman" w:cstheme="minorHAnsi"/>
                <w:lang w:eastAsia="en-AU"/>
              </w:rPr>
              <w:t>60.0%</w:t>
            </w:r>
          </w:p>
        </w:tc>
        <w:tc>
          <w:tcPr>
            <w:tcW w:w="1276" w:type="dxa"/>
            <w:tcBorders>
              <w:top w:val="nil"/>
              <w:left w:val="nil"/>
              <w:bottom w:val="single" w:sz="4" w:space="0" w:color="auto"/>
              <w:right w:val="nil"/>
            </w:tcBorders>
            <w:shd w:val="clear" w:color="auto" w:fill="auto"/>
            <w:noWrap/>
            <w:vAlign w:val="bottom"/>
            <w:hideMark/>
          </w:tcPr>
          <w:p w:rsidR="007B45D5" w:rsidRPr="006F4C8C" w:rsidRDefault="007B45D5" w:rsidP="007B45D5">
            <w:pPr>
              <w:spacing w:after="0" w:line="240" w:lineRule="auto"/>
              <w:jc w:val="center"/>
              <w:rPr>
                <w:rFonts w:eastAsia="Times New Roman" w:cstheme="minorHAnsi"/>
                <w:lang w:eastAsia="en-AU"/>
              </w:rPr>
            </w:pPr>
            <w:r w:rsidRPr="006F4C8C">
              <w:rPr>
                <w:rFonts w:eastAsia="Times New Roman" w:cstheme="minorHAnsi"/>
                <w:lang w:eastAsia="en-AU"/>
              </w:rPr>
              <w:t>60.8%</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7B45D5" w:rsidRPr="006F4C8C" w:rsidRDefault="007B45D5" w:rsidP="007B45D5">
            <w:pPr>
              <w:spacing w:after="0" w:line="240" w:lineRule="auto"/>
              <w:jc w:val="center"/>
              <w:rPr>
                <w:rFonts w:eastAsia="Times New Roman" w:cstheme="minorHAnsi"/>
                <w:lang w:eastAsia="en-AU"/>
              </w:rPr>
            </w:pPr>
            <w:r w:rsidRPr="006F4C8C">
              <w:rPr>
                <w:rFonts w:eastAsia="Times New Roman" w:cstheme="minorHAnsi"/>
                <w:lang w:eastAsia="en-AU"/>
              </w:rPr>
              <w:t>63.7%</w:t>
            </w:r>
          </w:p>
        </w:tc>
      </w:tr>
      <w:tr w:rsidR="007B45D5" w:rsidRPr="006F4C8C" w:rsidTr="007B45D5">
        <w:trPr>
          <w:trHeight w:val="270"/>
        </w:trPr>
        <w:tc>
          <w:tcPr>
            <w:tcW w:w="3676" w:type="dxa"/>
            <w:tcBorders>
              <w:top w:val="nil"/>
              <w:left w:val="single" w:sz="8" w:space="0" w:color="auto"/>
              <w:bottom w:val="single" w:sz="4" w:space="0" w:color="auto"/>
              <w:right w:val="single" w:sz="8" w:space="0" w:color="auto"/>
            </w:tcBorders>
            <w:shd w:val="clear" w:color="auto" w:fill="auto"/>
            <w:noWrap/>
            <w:vAlign w:val="bottom"/>
            <w:hideMark/>
          </w:tcPr>
          <w:p w:rsidR="007B45D5" w:rsidRPr="006F4C8C" w:rsidRDefault="007B45D5" w:rsidP="007B45D5">
            <w:pPr>
              <w:spacing w:after="0" w:line="240" w:lineRule="auto"/>
              <w:rPr>
                <w:rFonts w:eastAsia="Times New Roman" w:cstheme="minorHAnsi"/>
                <w:lang w:eastAsia="en-AU"/>
              </w:rPr>
            </w:pPr>
            <w:r w:rsidRPr="006F4C8C">
              <w:rPr>
                <w:rFonts w:eastAsia="Times New Roman" w:cstheme="minorHAnsi"/>
                <w:lang w:eastAsia="en-AU"/>
              </w:rPr>
              <w:t>Home</w:t>
            </w:r>
          </w:p>
        </w:tc>
        <w:tc>
          <w:tcPr>
            <w:tcW w:w="1417" w:type="dxa"/>
            <w:tcBorders>
              <w:top w:val="nil"/>
              <w:left w:val="nil"/>
              <w:bottom w:val="single" w:sz="4" w:space="0" w:color="auto"/>
              <w:right w:val="single" w:sz="4" w:space="0" w:color="auto"/>
            </w:tcBorders>
            <w:shd w:val="clear" w:color="auto" w:fill="auto"/>
            <w:noWrap/>
            <w:vAlign w:val="bottom"/>
            <w:hideMark/>
          </w:tcPr>
          <w:p w:rsidR="007B45D5" w:rsidRPr="006F4C8C" w:rsidRDefault="007B45D5" w:rsidP="007B45D5">
            <w:pPr>
              <w:spacing w:after="0" w:line="240" w:lineRule="auto"/>
              <w:jc w:val="center"/>
              <w:rPr>
                <w:rFonts w:eastAsia="Times New Roman" w:cstheme="minorHAnsi"/>
                <w:lang w:eastAsia="en-AU"/>
              </w:rPr>
            </w:pPr>
            <w:r w:rsidRPr="006F4C8C">
              <w:rPr>
                <w:rFonts w:eastAsia="Times New Roman" w:cstheme="minorHAnsi"/>
                <w:lang w:eastAsia="en-AU"/>
              </w:rPr>
              <w:t>31.6%</w:t>
            </w:r>
          </w:p>
        </w:tc>
        <w:tc>
          <w:tcPr>
            <w:tcW w:w="1276" w:type="dxa"/>
            <w:tcBorders>
              <w:top w:val="nil"/>
              <w:left w:val="nil"/>
              <w:bottom w:val="single" w:sz="4" w:space="0" w:color="auto"/>
              <w:right w:val="nil"/>
            </w:tcBorders>
            <w:shd w:val="clear" w:color="auto" w:fill="auto"/>
            <w:noWrap/>
            <w:vAlign w:val="bottom"/>
            <w:hideMark/>
          </w:tcPr>
          <w:p w:rsidR="007B45D5" w:rsidRPr="006F4C8C" w:rsidRDefault="007B45D5" w:rsidP="007B45D5">
            <w:pPr>
              <w:spacing w:after="0" w:line="240" w:lineRule="auto"/>
              <w:jc w:val="center"/>
              <w:rPr>
                <w:rFonts w:eastAsia="Times New Roman" w:cstheme="minorHAnsi"/>
                <w:lang w:eastAsia="en-AU"/>
              </w:rPr>
            </w:pPr>
            <w:r w:rsidRPr="006F4C8C">
              <w:rPr>
                <w:rFonts w:eastAsia="Times New Roman" w:cstheme="minorHAnsi"/>
                <w:lang w:eastAsia="en-AU"/>
              </w:rPr>
              <w:t>32.5%</w:t>
            </w:r>
          </w:p>
        </w:tc>
        <w:tc>
          <w:tcPr>
            <w:tcW w:w="1139" w:type="dxa"/>
            <w:tcBorders>
              <w:top w:val="nil"/>
              <w:left w:val="single" w:sz="8" w:space="0" w:color="auto"/>
              <w:bottom w:val="single" w:sz="4" w:space="0" w:color="auto"/>
              <w:right w:val="single" w:sz="8" w:space="0" w:color="auto"/>
            </w:tcBorders>
            <w:shd w:val="clear" w:color="auto" w:fill="auto"/>
            <w:noWrap/>
            <w:vAlign w:val="bottom"/>
            <w:hideMark/>
          </w:tcPr>
          <w:p w:rsidR="007B45D5" w:rsidRPr="006F4C8C" w:rsidRDefault="007B45D5" w:rsidP="007B45D5">
            <w:pPr>
              <w:spacing w:after="0" w:line="240" w:lineRule="auto"/>
              <w:jc w:val="center"/>
              <w:rPr>
                <w:rFonts w:eastAsia="Times New Roman" w:cstheme="minorHAnsi"/>
                <w:lang w:eastAsia="en-AU"/>
              </w:rPr>
            </w:pPr>
            <w:r w:rsidRPr="006F4C8C">
              <w:rPr>
                <w:rFonts w:eastAsia="Times New Roman" w:cstheme="minorHAnsi"/>
                <w:lang w:eastAsia="en-AU"/>
              </w:rPr>
              <w:t>33.5%</w:t>
            </w:r>
          </w:p>
        </w:tc>
        <w:tc>
          <w:tcPr>
            <w:tcW w:w="1276" w:type="dxa"/>
            <w:tcBorders>
              <w:top w:val="nil"/>
              <w:left w:val="nil"/>
              <w:bottom w:val="single" w:sz="4" w:space="0" w:color="auto"/>
              <w:right w:val="nil"/>
            </w:tcBorders>
            <w:shd w:val="clear" w:color="auto" w:fill="auto"/>
            <w:noWrap/>
            <w:vAlign w:val="bottom"/>
            <w:hideMark/>
          </w:tcPr>
          <w:p w:rsidR="007B45D5" w:rsidRPr="006F4C8C" w:rsidRDefault="007B45D5" w:rsidP="007B45D5">
            <w:pPr>
              <w:spacing w:after="0" w:line="240" w:lineRule="auto"/>
              <w:jc w:val="center"/>
              <w:rPr>
                <w:rFonts w:eastAsia="Times New Roman" w:cstheme="minorHAnsi"/>
                <w:lang w:eastAsia="en-AU"/>
              </w:rPr>
            </w:pPr>
            <w:r w:rsidRPr="006F4C8C">
              <w:rPr>
                <w:rFonts w:eastAsia="Times New Roman" w:cstheme="minorHAnsi"/>
                <w:lang w:eastAsia="en-AU"/>
              </w:rPr>
              <w:t>33.4%</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7B45D5" w:rsidRPr="006F4C8C" w:rsidRDefault="007B45D5" w:rsidP="007B45D5">
            <w:pPr>
              <w:spacing w:after="0" w:line="240" w:lineRule="auto"/>
              <w:jc w:val="center"/>
              <w:rPr>
                <w:rFonts w:eastAsia="Times New Roman" w:cstheme="minorHAnsi"/>
                <w:lang w:eastAsia="en-AU"/>
              </w:rPr>
            </w:pPr>
            <w:r w:rsidRPr="006F4C8C">
              <w:rPr>
                <w:rFonts w:eastAsia="Times New Roman" w:cstheme="minorHAnsi"/>
                <w:lang w:eastAsia="en-AU"/>
              </w:rPr>
              <w:t>35.3%</w:t>
            </w:r>
          </w:p>
        </w:tc>
      </w:tr>
      <w:tr w:rsidR="007B45D5" w:rsidRPr="006F4C8C" w:rsidTr="007B45D5">
        <w:trPr>
          <w:trHeight w:val="270"/>
        </w:trPr>
        <w:tc>
          <w:tcPr>
            <w:tcW w:w="3676" w:type="dxa"/>
            <w:tcBorders>
              <w:top w:val="nil"/>
              <w:left w:val="single" w:sz="8" w:space="0" w:color="auto"/>
              <w:bottom w:val="single" w:sz="4" w:space="0" w:color="auto"/>
              <w:right w:val="single" w:sz="8" w:space="0" w:color="auto"/>
            </w:tcBorders>
            <w:shd w:val="clear" w:color="auto" w:fill="auto"/>
            <w:noWrap/>
            <w:vAlign w:val="bottom"/>
            <w:hideMark/>
          </w:tcPr>
          <w:p w:rsidR="007B45D5" w:rsidRPr="006F4C8C" w:rsidRDefault="007B45D5" w:rsidP="007B45D5">
            <w:pPr>
              <w:spacing w:after="0" w:line="240" w:lineRule="auto"/>
              <w:rPr>
                <w:rFonts w:eastAsia="Times New Roman" w:cstheme="minorHAnsi"/>
                <w:lang w:eastAsia="en-AU"/>
              </w:rPr>
            </w:pPr>
            <w:r w:rsidRPr="006F4C8C">
              <w:rPr>
                <w:rFonts w:eastAsia="Times New Roman" w:cstheme="minorHAnsi"/>
                <w:lang w:eastAsia="en-AU"/>
              </w:rPr>
              <w:t>Relationships</w:t>
            </w:r>
          </w:p>
        </w:tc>
        <w:tc>
          <w:tcPr>
            <w:tcW w:w="1417" w:type="dxa"/>
            <w:tcBorders>
              <w:top w:val="nil"/>
              <w:left w:val="nil"/>
              <w:bottom w:val="single" w:sz="4" w:space="0" w:color="auto"/>
              <w:right w:val="single" w:sz="4" w:space="0" w:color="auto"/>
            </w:tcBorders>
            <w:shd w:val="clear" w:color="auto" w:fill="auto"/>
            <w:noWrap/>
            <w:vAlign w:val="bottom"/>
            <w:hideMark/>
          </w:tcPr>
          <w:p w:rsidR="007B45D5" w:rsidRPr="006F4C8C" w:rsidRDefault="007B45D5" w:rsidP="007B45D5">
            <w:pPr>
              <w:spacing w:after="0" w:line="240" w:lineRule="auto"/>
              <w:jc w:val="center"/>
              <w:rPr>
                <w:rFonts w:eastAsia="Times New Roman" w:cstheme="minorHAnsi"/>
                <w:lang w:eastAsia="en-AU"/>
              </w:rPr>
            </w:pPr>
            <w:r w:rsidRPr="006F4C8C">
              <w:rPr>
                <w:rFonts w:eastAsia="Times New Roman" w:cstheme="minorHAnsi"/>
                <w:lang w:eastAsia="en-AU"/>
              </w:rPr>
              <w:t>53.3%</w:t>
            </w:r>
          </w:p>
        </w:tc>
        <w:tc>
          <w:tcPr>
            <w:tcW w:w="1276" w:type="dxa"/>
            <w:tcBorders>
              <w:top w:val="nil"/>
              <w:left w:val="nil"/>
              <w:bottom w:val="single" w:sz="4" w:space="0" w:color="auto"/>
              <w:right w:val="nil"/>
            </w:tcBorders>
            <w:shd w:val="clear" w:color="auto" w:fill="auto"/>
            <w:noWrap/>
            <w:vAlign w:val="bottom"/>
            <w:hideMark/>
          </w:tcPr>
          <w:p w:rsidR="007B45D5" w:rsidRPr="006F4C8C" w:rsidRDefault="007B45D5" w:rsidP="007B45D5">
            <w:pPr>
              <w:spacing w:after="0" w:line="240" w:lineRule="auto"/>
              <w:jc w:val="center"/>
              <w:rPr>
                <w:rFonts w:eastAsia="Times New Roman" w:cstheme="minorHAnsi"/>
                <w:lang w:eastAsia="en-AU"/>
              </w:rPr>
            </w:pPr>
            <w:r w:rsidRPr="006F4C8C">
              <w:rPr>
                <w:rFonts w:eastAsia="Times New Roman" w:cstheme="minorHAnsi"/>
                <w:lang w:eastAsia="en-AU"/>
              </w:rPr>
              <w:t>58.1%</w:t>
            </w:r>
          </w:p>
        </w:tc>
        <w:tc>
          <w:tcPr>
            <w:tcW w:w="1139" w:type="dxa"/>
            <w:tcBorders>
              <w:top w:val="nil"/>
              <w:left w:val="single" w:sz="8" w:space="0" w:color="auto"/>
              <w:bottom w:val="single" w:sz="4" w:space="0" w:color="auto"/>
              <w:right w:val="single" w:sz="8" w:space="0" w:color="auto"/>
            </w:tcBorders>
            <w:shd w:val="clear" w:color="auto" w:fill="auto"/>
            <w:noWrap/>
            <w:vAlign w:val="bottom"/>
            <w:hideMark/>
          </w:tcPr>
          <w:p w:rsidR="007B45D5" w:rsidRPr="006F4C8C" w:rsidRDefault="007B45D5" w:rsidP="007B45D5">
            <w:pPr>
              <w:spacing w:after="0" w:line="240" w:lineRule="auto"/>
              <w:jc w:val="center"/>
              <w:rPr>
                <w:rFonts w:eastAsia="Times New Roman" w:cstheme="minorHAnsi"/>
                <w:lang w:eastAsia="en-AU"/>
              </w:rPr>
            </w:pPr>
            <w:r w:rsidRPr="006F4C8C">
              <w:rPr>
                <w:rFonts w:eastAsia="Times New Roman" w:cstheme="minorHAnsi"/>
                <w:lang w:eastAsia="en-AU"/>
              </w:rPr>
              <w:t>62.0%</w:t>
            </w:r>
          </w:p>
        </w:tc>
        <w:tc>
          <w:tcPr>
            <w:tcW w:w="1276" w:type="dxa"/>
            <w:tcBorders>
              <w:top w:val="nil"/>
              <w:left w:val="nil"/>
              <w:bottom w:val="single" w:sz="4" w:space="0" w:color="auto"/>
              <w:right w:val="nil"/>
            </w:tcBorders>
            <w:shd w:val="clear" w:color="auto" w:fill="auto"/>
            <w:noWrap/>
            <w:vAlign w:val="bottom"/>
            <w:hideMark/>
          </w:tcPr>
          <w:p w:rsidR="007B45D5" w:rsidRPr="006F4C8C" w:rsidRDefault="007B45D5" w:rsidP="007B45D5">
            <w:pPr>
              <w:spacing w:after="0" w:line="240" w:lineRule="auto"/>
              <w:jc w:val="center"/>
              <w:rPr>
                <w:rFonts w:eastAsia="Times New Roman" w:cstheme="minorHAnsi"/>
                <w:lang w:eastAsia="en-AU"/>
              </w:rPr>
            </w:pPr>
            <w:r w:rsidRPr="006F4C8C">
              <w:rPr>
                <w:rFonts w:eastAsia="Times New Roman" w:cstheme="minorHAnsi"/>
                <w:lang w:eastAsia="en-AU"/>
              </w:rPr>
              <w:t>64.0%</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7B45D5" w:rsidRPr="006F4C8C" w:rsidRDefault="007B45D5" w:rsidP="007B45D5">
            <w:pPr>
              <w:spacing w:after="0" w:line="240" w:lineRule="auto"/>
              <w:jc w:val="center"/>
              <w:rPr>
                <w:rFonts w:eastAsia="Times New Roman" w:cstheme="minorHAnsi"/>
                <w:lang w:eastAsia="en-AU"/>
              </w:rPr>
            </w:pPr>
            <w:r w:rsidRPr="006F4C8C">
              <w:rPr>
                <w:rFonts w:eastAsia="Times New Roman" w:cstheme="minorHAnsi"/>
                <w:lang w:eastAsia="en-AU"/>
              </w:rPr>
              <w:t>67.9%</w:t>
            </w:r>
          </w:p>
        </w:tc>
      </w:tr>
      <w:tr w:rsidR="007B45D5" w:rsidRPr="006F4C8C" w:rsidTr="007B45D5">
        <w:trPr>
          <w:trHeight w:val="270"/>
        </w:trPr>
        <w:tc>
          <w:tcPr>
            <w:tcW w:w="3676" w:type="dxa"/>
            <w:tcBorders>
              <w:top w:val="nil"/>
              <w:left w:val="single" w:sz="8" w:space="0" w:color="auto"/>
              <w:bottom w:val="single" w:sz="4" w:space="0" w:color="auto"/>
              <w:right w:val="single" w:sz="8" w:space="0" w:color="auto"/>
            </w:tcBorders>
            <w:shd w:val="clear" w:color="auto" w:fill="auto"/>
            <w:noWrap/>
            <w:vAlign w:val="bottom"/>
            <w:hideMark/>
          </w:tcPr>
          <w:p w:rsidR="007B45D5" w:rsidRPr="006F4C8C" w:rsidRDefault="007B45D5" w:rsidP="007B45D5">
            <w:pPr>
              <w:spacing w:after="0" w:line="240" w:lineRule="auto"/>
              <w:rPr>
                <w:rFonts w:eastAsia="Times New Roman" w:cstheme="minorHAnsi"/>
                <w:lang w:eastAsia="en-AU"/>
              </w:rPr>
            </w:pPr>
            <w:r w:rsidRPr="006F4C8C">
              <w:rPr>
                <w:rFonts w:eastAsia="Times New Roman" w:cstheme="minorHAnsi"/>
                <w:lang w:eastAsia="en-AU"/>
              </w:rPr>
              <w:t>Daily Living</w:t>
            </w:r>
          </w:p>
        </w:tc>
        <w:tc>
          <w:tcPr>
            <w:tcW w:w="1417" w:type="dxa"/>
            <w:tcBorders>
              <w:top w:val="nil"/>
              <w:left w:val="nil"/>
              <w:bottom w:val="single" w:sz="4" w:space="0" w:color="auto"/>
              <w:right w:val="single" w:sz="4" w:space="0" w:color="auto"/>
            </w:tcBorders>
            <w:shd w:val="clear" w:color="auto" w:fill="auto"/>
            <w:noWrap/>
            <w:vAlign w:val="bottom"/>
            <w:hideMark/>
          </w:tcPr>
          <w:p w:rsidR="007B45D5" w:rsidRPr="006F4C8C" w:rsidRDefault="007B45D5" w:rsidP="007B45D5">
            <w:pPr>
              <w:spacing w:after="0" w:line="240" w:lineRule="auto"/>
              <w:jc w:val="center"/>
              <w:rPr>
                <w:rFonts w:eastAsia="Times New Roman" w:cstheme="minorHAnsi"/>
                <w:lang w:eastAsia="en-AU"/>
              </w:rPr>
            </w:pPr>
            <w:r w:rsidRPr="006F4C8C">
              <w:rPr>
                <w:rFonts w:eastAsia="Times New Roman" w:cstheme="minorHAnsi"/>
                <w:lang w:eastAsia="en-AU"/>
              </w:rPr>
              <w:t>74.4%</w:t>
            </w:r>
          </w:p>
        </w:tc>
        <w:tc>
          <w:tcPr>
            <w:tcW w:w="1276" w:type="dxa"/>
            <w:tcBorders>
              <w:top w:val="nil"/>
              <w:left w:val="nil"/>
              <w:bottom w:val="single" w:sz="4" w:space="0" w:color="auto"/>
              <w:right w:val="nil"/>
            </w:tcBorders>
            <w:shd w:val="clear" w:color="auto" w:fill="auto"/>
            <w:noWrap/>
            <w:vAlign w:val="bottom"/>
            <w:hideMark/>
          </w:tcPr>
          <w:p w:rsidR="007B45D5" w:rsidRPr="006F4C8C" w:rsidRDefault="007B45D5" w:rsidP="007B45D5">
            <w:pPr>
              <w:spacing w:after="0" w:line="240" w:lineRule="auto"/>
              <w:jc w:val="center"/>
              <w:rPr>
                <w:rFonts w:eastAsia="Times New Roman" w:cstheme="minorHAnsi"/>
                <w:lang w:eastAsia="en-AU"/>
              </w:rPr>
            </w:pPr>
            <w:r w:rsidRPr="006F4C8C">
              <w:rPr>
                <w:rFonts w:eastAsia="Times New Roman" w:cstheme="minorHAnsi"/>
                <w:lang w:eastAsia="en-AU"/>
              </w:rPr>
              <w:t>80.2%</w:t>
            </w:r>
          </w:p>
        </w:tc>
        <w:tc>
          <w:tcPr>
            <w:tcW w:w="1139" w:type="dxa"/>
            <w:tcBorders>
              <w:top w:val="nil"/>
              <w:left w:val="single" w:sz="8" w:space="0" w:color="auto"/>
              <w:bottom w:val="single" w:sz="4" w:space="0" w:color="auto"/>
              <w:right w:val="single" w:sz="8" w:space="0" w:color="auto"/>
            </w:tcBorders>
            <w:shd w:val="clear" w:color="auto" w:fill="auto"/>
            <w:noWrap/>
            <w:vAlign w:val="bottom"/>
            <w:hideMark/>
          </w:tcPr>
          <w:p w:rsidR="007B45D5" w:rsidRPr="006F4C8C" w:rsidRDefault="007B45D5" w:rsidP="007B45D5">
            <w:pPr>
              <w:spacing w:after="0" w:line="240" w:lineRule="auto"/>
              <w:jc w:val="center"/>
              <w:rPr>
                <w:rFonts w:eastAsia="Times New Roman" w:cstheme="minorHAnsi"/>
                <w:lang w:eastAsia="en-AU"/>
              </w:rPr>
            </w:pPr>
            <w:r w:rsidRPr="006F4C8C">
              <w:rPr>
                <w:rFonts w:eastAsia="Times New Roman" w:cstheme="minorHAnsi"/>
                <w:lang w:eastAsia="en-AU"/>
              </w:rPr>
              <w:t>83.4%</w:t>
            </w:r>
          </w:p>
        </w:tc>
        <w:tc>
          <w:tcPr>
            <w:tcW w:w="1276" w:type="dxa"/>
            <w:tcBorders>
              <w:top w:val="nil"/>
              <w:left w:val="nil"/>
              <w:bottom w:val="single" w:sz="4" w:space="0" w:color="auto"/>
              <w:right w:val="nil"/>
            </w:tcBorders>
            <w:shd w:val="clear" w:color="auto" w:fill="auto"/>
            <w:noWrap/>
            <w:vAlign w:val="bottom"/>
            <w:hideMark/>
          </w:tcPr>
          <w:p w:rsidR="007B45D5" w:rsidRPr="006F4C8C" w:rsidRDefault="007B45D5" w:rsidP="007B45D5">
            <w:pPr>
              <w:spacing w:after="0" w:line="240" w:lineRule="auto"/>
              <w:jc w:val="center"/>
              <w:rPr>
                <w:rFonts w:eastAsia="Times New Roman" w:cstheme="minorHAnsi"/>
                <w:lang w:eastAsia="en-AU"/>
              </w:rPr>
            </w:pPr>
            <w:r w:rsidRPr="006F4C8C">
              <w:rPr>
                <w:rFonts w:eastAsia="Times New Roman" w:cstheme="minorHAnsi"/>
                <w:lang w:eastAsia="en-AU"/>
              </w:rPr>
              <w:t>85.0%</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7B45D5" w:rsidRPr="006F4C8C" w:rsidRDefault="007B45D5" w:rsidP="007B45D5">
            <w:pPr>
              <w:spacing w:after="0" w:line="240" w:lineRule="auto"/>
              <w:jc w:val="center"/>
              <w:rPr>
                <w:rFonts w:eastAsia="Times New Roman" w:cstheme="minorHAnsi"/>
                <w:lang w:eastAsia="en-AU"/>
              </w:rPr>
            </w:pPr>
            <w:r w:rsidRPr="006F4C8C">
              <w:rPr>
                <w:rFonts w:eastAsia="Times New Roman" w:cstheme="minorHAnsi"/>
                <w:lang w:eastAsia="en-AU"/>
              </w:rPr>
              <w:t>87.0%</w:t>
            </w:r>
          </w:p>
        </w:tc>
      </w:tr>
      <w:tr w:rsidR="007B45D5" w:rsidRPr="006F4C8C" w:rsidTr="007B45D5">
        <w:trPr>
          <w:trHeight w:val="278"/>
        </w:trPr>
        <w:tc>
          <w:tcPr>
            <w:tcW w:w="3676" w:type="dxa"/>
            <w:tcBorders>
              <w:top w:val="nil"/>
              <w:left w:val="single" w:sz="8" w:space="0" w:color="auto"/>
              <w:bottom w:val="single" w:sz="8" w:space="0" w:color="auto"/>
              <w:right w:val="single" w:sz="8" w:space="0" w:color="auto"/>
            </w:tcBorders>
            <w:shd w:val="clear" w:color="auto" w:fill="auto"/>
            <w:noWrap/>
            <w:vAlign w:val="bottom"/>
            <w:hideMark/>
          </w:tcPr>
          <w:p w:rsidR="007B45D5" w:rsidRPr="006F4C8C" w:rsidRDefault="007B45D5" w:rsidP="007B45D5">
            <w:pPr>
              <w:spacing w:after="0" w:line="240" w:lineRule="auto"/>
              <w:rPr>
                <w:rFonts w:eastAsia="Times New Roman" w:cstheme="minorHAnsi"/>
                <w:lang w:eastAsia="en-AU"/>
              </w:rPr>
            </w:pPr>
            <w:r w:rsidRPr="006F4C8C">
              <w:rPr>
                <w:rFonts w:eastAsia="Times New Roman" w:cstheme="minorHAnsi"/>
                <w:lang w:eastAsia="en-AU"/>
              </w:rPr>
              <w:t>Choice and Control</w:t>
            </w:r>
          </w:p>
        </w:tc>
        <w:tc>
          <w:tcPr>
            <w:tcW w:w="1417" w:type="dxa"/>
            <w:tcBorders>
              <w:top w:val="nil"/>
              <w:left w:val="nil"/>
              <w:bottom w:val="single" w:sz="8" w:space="0" w:color="auto"/>
              <w:right w:val="single" w:sz="4" w:space="0" w:color="auto"/>
            </w:tcBorders>
            <w:shd w:val="clear" w:color="auto" w:fill="auto"/>
            <w:noWrap/>
            <w:vAlign w:val="bottom"/>
            <w:hideMark/>
          </w:tcPr>
          <w:p w:rsidR="007B45D5" w:rsidRPr="006F4C8C" w:rsidRDefault="007B45D5" w:rsidP="007B45D5">
            <w:pPr>
              <w:spacing w:after="0" w:line="240" w:lineRule="auto"/>
              <w:jc w:val="center"/>
              <w:rPr>
                <w:rFonts w:eastAsia="Times New Roman" w:cstheme="minorHAnsi"/>
                <w:lang w:eastAsia="en-AU"/>
              </w:rPr>
            </w:pPr>
            <w:r w:rsidRPr="006F4C8C">
              <w:rPr>
                <w:rFonts w:eastAsia="Times New Roman" w:cstheme="minorHAnsi"/>
                <w:lang w:eastAsia="en-AU"/>
              </w:rPr>
              <w:t>71.4%</w:t>
            </w:r>
          </w:p>
        </w:tc>
        <w:tc>
          <w:tcPr>
            <w:tcW w:w="1276" w:type="dxa"/>
            <w:tcBorders>
              <w:top w:val="nil"/>
              <w:left w:val="nil"/>
              <w:bottom w:val="single" w:sz="8" w:space="0" w:color="auto"/>
              <w:right w:val="nil"/>
            </w:tcBorders>
            <w:shd w:val="clear" w:color="auto" w:fill="auto"/>
            <w:noWrap/>
            <w:vAlign w:val="bottom"/>
            <w:hideMark/>
          </w:tcPr>
          <w:p w:rsidR="007B45D5" w:rsidRPr="006F4C8C" w:rsidRDefault="007B45D5" w:rsidP="007B45D5">
            <w:pPr>
              <w:spacing w:after="0" w:line="240" w:lineRule="auto"/>
              <w:jc w:val="center"/>
              <w:rPr>
                <w:rFonts w:eastAsia="Times New Roman" w:cstheme="minorHAnsi"/>
                <w:lang w:eastAsia="en-AU"/>
              </w:rPr>
            </w:pPr>
            <w:r w:rsidRPr="006F4C8C">
              <w:rPr>
                <w:rFonts w:eastAsia="Times New Roman" w:cstheme="minorHAnsi"/>
                <w:lang w:eastAsia="en-AU"/>
              </w:rPr>
              <w:t>76.0%</w:t>
            </w:r>
          </w:p>
        </w:tc>
        <w:tc>
          <w:tcPr>
            <w:tcW w:w="1139" w:type="dxa"/>
            <w:tcBorders>
              <w:top w:val="nil"/>
              <w:left w:val="single" w:sz="8" w:space="0" w:color="auto"/>
              <w:bottom w:val="single" w:sz="8" w:space="0" w:color="auto"/>
              <w:right w:val="single" w:sz="8" w:space="0" w:color="auto"/>
            </w:tcBorders>
            <w:shd w:val="clear" w:color="auto" w:fill="auto"/>
            <w:noWrap/>
            <w:vAlign w:val="bottom"/>
            <w:hideMark/>
          </w:tcPr>
          <w:p w:rsidR="007B45D5" w:rsidRPr="006F4C8C" w:rsidRDefault="007B45D5" w:rsidP="007B45D5">
            <w:pPr>
              <w:spacing w:after="0" w:line="240" w:lineRule="auto"/>
              <w:jc w:val="center"/>
              <w:rPr>
                <w:rFonts w:eastAsia="Times New Roman" w:cstheme="minorHAnsi"/>
                <w:lang w:eastAsia="en-AU"/>
              </w:rPr>
            </w:pPr>
            <w:r w:rsidRPr="006F4C8C">
              <w:rPr>
                <w:rFonts w:eastAsia="Times New Roman" w:cstheme="minorHAnsi"/>
                <w:lang w:eastAsia="en-AU"/>
              </w:rPr>
              <w:t>78.8%</w:t>
            </w:r>
          </w:p>
        </w:tc>
        <w:tc>
          <w:tcPr>
            <w:tcW w:w="1276" w:type="dxa"/>
            <w:tcBorders>
              <w:top w:val="nil"/>
              <w:left w:val="nil"/>
              <w:bottom w:val="single" w:sz="8" w:space="0" w:color="auto"/>
              <w:right w:val="nil"/>
            </w:tcBorders>
            <w:shd w:val="clear" w:color="auto" w:fill="auto"/>
            <w:noWrap/>
            <w:vAlign w:val="bottom"/>
            <w:hideMark/>
          </w:tcPr>
          <w:p w:rsidR="007B45D5" w:rsidRPr="006F4C8C" w:rsidRDefault="007B45D5" w:rsidP="007B45D5">
            <w:pPr>
              <w:spacing w:after="0" w:line="240" w:lineRule="auto"/>
              <w:jc w:val="center"/>
              <w:rPr>
                <w:rFonts w:eastAsia="Times New Roman" w:cstheme="minorHAnsi"/>
                <w:lang w:eastAsia="en-AU"/>
              </w:rPr>
            </w:pPr>
            <w:r w:rsidRPr="006F4C8C">
              <w:rPr>
                <w:rFonts w:eastAsia="Times New Roman" w:cstheme="minorHAnsi"/>
                <w:lang w:eastAsia="en-AU"/>
              </w:rPr>
              <w:t>80.1%</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7B45D5" w:rsidRPr="006F4C8C" w:rsidRDefault="007B45D5" w:rsidP="007B45D5">
            <w:pPr>
              <w:spacing w:after="0" w:line="240" w:lineRule="auto"/>
              <w:jc w:val="center"/>
              <w:rPr>
                <w:rFonts w:eastAsia="Times New Roman" w:cstheme="minorHAnsi"/>
                <w:lang w:eastAsia="en-AU"/>
              </w:rPr>
            </w:pPr>
            <w:r w:rsidRPr="006F4C8C">
              <w:rPr>
                <w:rFonts w:eastAsia="Times New Roman" w:cstheme="minorHAnsi"/>
                <w:lang w:eastAsia="en-AU"/>
              </w:rPr>
              <w:t>81.4%</w:t>
            </w:r>
          </w:p>
        </w:tc>
      </w:tr>
    </w:tbl>
    <w:p w:rsidR="006F4C8C" w:rsidRDefault="006F4C8C" w:rsidP="006F4C8C">
      <w:pPr>
        <w:rPr>
          <w:rFonts w:ascii="FSMePro-Light" w:hAnsi="FSMePro-Light" w:cs="FSMePro-Light"/>
          <w:sz w:val="21"/>
          <w:szCs w:val="21"/>
        </w:rPr>
      </w:pPr>
    </w:p>
    <w:p w:rsidR="006F4C8C" w:rsidRDefault="0080201D" w:rsidP="006F4C8C">
      <w:pPr>
        <w:rPr>
          <w:rFonts w:ascii="FSMePro-Light" w:hAnsi="FSMePro-Light" w:cs="FSMePro-Light"/>
          <w:sz w:val="21"/>
          <w:szCs w:val="21"/>
        </w:rPr>
      </w:pPr>
      <w:r>
        <w:rPr>
          <w:rFonts w:ascii="FSMePro-Light" w:hAnsi="FSMePro-Light" w:cs="FSMePro-Light"/>
          <w:sz w:val="21"/>
          <w:szCs w:val="21"/>
        </w:rPr>
        <w:t>Footnote 1</w:t>
      </w:r>
      <w:r w:rsidR="006F4C8C">
        <w:rPr>
          <w:rFonts w:ascii="FSMePro-Light" w:hAnsi="FSMePro-Light" w:cs="FSMePro-Light"/>
          <w:sz w:val="21"/>
          <w:szCs w:val="21"/>
        </w:rPr>
        <w:t xml:space="preserve">: </w:t>
      </w:r>
      <w:r w:rsidR="006F4C8C" w:rsidRPr="006F4C8C">
        <w:rPr>
          <w:rFonts w:ascii="FSMePro-Light" w:hAnsi="FSMePro-Light" w:cs="FSMePro-Light"/>
          <w:sz w:val="21"/>
          <w:szCs w:val="21"/>
        </w:rPr>
        <w:t>Note, however, that this includes participants who are not actively job seeking, for example because they have retired.</w:t>
      </w:r>
    </w:p>
    <w:p w:rsidR="00C51589" w:rsidRDefault="00C51589" w:rsidP="006F4C8C">
      <w:pPr>
        <w:rPr>
          <w:rFonts w:ascii="FSMePro-Light" w:hAnsi="FSMePro-Light" w:cs="FSMePro-Light"/>
          <w:sz w:val="21"/>
          <w:szCs w:val="21"/>
        </w:rPr>
      </w:pPr>
    </w:p>
    <w:p w:rsidR="00C51589" w:rsidRDefault="00C51589" w:rsidP="00C51589">
      <w:pPr>
        <w:pStyle w:val="Heading2"/>
      </w:pPr>
      <w:bookmarkStart w:id="90" w:name="_Toc121151462"/>
      <w:r>
        <w:t>Slide 80: Participants aged 25 and over</w:t>
      </w:r>
      <w:bookmarkEnd w:id="90"/>
    </w:p>
    <w:p w:rsidR="00C51589" w:rsidRDefault="00C51589" w:rsidP="004168FC">
      <w:pPr>
        <w:pStyle w:val="Heading5"/>
      </w:pPr>
      <w:r>
        <w:t>Has the NDIS helped after one year?</w:t>
      </w:r>
    </w:p>
    <w:p w:rsidR="00C51589" w:rsidRPr="004168FC" w:rsidRDefault="00C51589" w:rsidP="004168FC">
      <w:pPr>
        <w:pStyle w:val="Heading5"/>
        <w:rPr>
          <w:i/>
        </w:rPr>
      </w:pPr>
      <w:r w:rsidRPr="004168FC">
        <w:rPr>
          <w:i/>
        </w:rPr>
        <w:t>By baseline utilisation</w:t>
      </w:r>
    </w:p>
    <w:p w:rsidR="00C51589" w:rsidRPr="009B241D" w:rsidRDefault="00C51589" w:rsidP="00C51589">
      <w:pPr>
        <w:autoSpaceDE w:val="0"/>
        <w:autoSpaceDN w:val="0"/>
        <w:adjustRightInd w:val="0"/>
        <w:spacing w:after="0" w:line="240" w:lineRule="auto"/>
        <w:rPr>
          <w:rFonts w:cstheme="minorHAnsi"/>
          <w:sz w:val="21"/>
          <w:szCs w:val="21"/>
        </w:rPr>
      </w:pPr>
      <w:r w:rsidRPr="009B241D">
        <w:rPr>
          <w:rFonts w:cstheme="minorHAnsi"/>
          <w:sz w:val="21"/>
          <w:szCs w:val="21"/>
        </w:rPr>
        <w:t xml:space="preserve">Higher plan utilisation is strongly associated with a positive response across all eight domains, after </w:t>
      </w:r>
      <w:r w:rsidR="005A7C7C" w:rsidRPr="009B241D">
        <w:rPr>
          <w:rFonts w:cstheme="minorHAnsi"/>
          <w:sz w:val="21"/>
          <w:szCs w:val="21"/>
        </w:rPr>
        <w:t>One year in the Scheme</w:t>
      </w:r>
      <w:r w:rsidRPr="009B241D">
        <w:rPr>
          <w:rFonts w:cstheme="minorHAnsi"/>
          <w:sz w:val="21"/>
          <w:szCs w:val="21"/>
        </w:rPr>
        <w:t>.</w:t>
      </w:r>
    </w:p>
    <w:p w:rsidR="00C51589" w:rsidRPr="009B241D" w:rsidRDefault="00C51589" w:rsidP="00C51589">
      <w:pPr>
        <w:autoSpaceDE w:val="0"/>
        <w:autoSpaceDN w:val="0"/>
        <w:adjustRightInd w:val="0"/>
        <w:spacing w:after="0" w:line="240" w:lineRule="auto"/>
        <w:rPr>
          <w:rFonts w:cstheme="minorHAnsi"/>
          <w:sz w:val="21"/>
          <w:szCs w:val="21"/>
        </w:rPr>
      </w:pPr>
      <w:r w:rsidRPr="009B241D">
        <w:rPr>
          <w:rFonts w:cstheme="minorHAnsi"/>
          <w:sz w:val="21"/>
          <w:szCs w:val="21"/>
        </w:rPr>
        <w:t>In all domains except work, the percentage saying the NDIS helped has increased consistently for higher baseline plan utilisation categories. Across all domains except home, the increase is the greatest between utilisation bands 0-20% and 20-40%. The percentage saying the NDIS helped them find the right home increased by 6.6 percentage points between utilisation bands 60-80% and 80%+.</w:t>
      </w:r>
    </w:p>
    <w:p w:rsidR="00C51589" w:rsidRPr="009B241D" w:rsidRDefault="00C51589" w:rsidP="00C51589">
      <w:pPr>
        <w:rPr>
          <w:rFonts w:cstheme="minorHAnsi"/>
          <w:sz w:val="21"/>
          <w:szCs w:val="21"/>
        </w:rPr>
      </w:pPr>
      <w:r w:rsidRPr="009B241D">
        <w:rPr>
          <w:rFonts w:cstheme="minorHAnsi"/>
          <w:sz w:val="21"/>
          <w:szCs w:val="21"/>
        </w:rPr>
        <w:t>In the work domain, there is a slight decrease by 1.1 percentage point in the percentage saying the NDIS helped between utilisation bands 60-80% and 80%+.</w:t>
      </w:r>
    </w:p>
    <w:tbl>
      <w:tblPr>
        <w:tblW w:w="9780" w:type="dxa"/>
        <w:tblLook w:val="04A0" w:firstRow="1" w:lastRow="0" w:firstColumn="1" w:lastColumn="0" w:noHBand="0" w:noVBand="1"/>
      </w:tblPr>
      <w:tblGrid>
        <w:gridCol w:w="3400"/>
        <w:gridCol w:w="1180"/>
        <w:gridCol w:w="1480"/>
        <w:gridCol w:w="1340"/>
        <w:gridCol w:w="1360"/>
        <w:gridCol w:w="1020"/>
      </w:tblGrid>
      <w:tr w:rsidR="007B45D5" w:rsidRPr="00460595" w:rsidTr="00C51589">
        <w:trPr>
          <w:trHeight w:val="390"/>
        </w:trPr>
        <w:tc>
          <w:tcPr>
            <w:tcW w:w="340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7B45D5" w:rsidRPr="002F661A" w:rsidRDefault="007B45D5" w:rsidP="007B45D5">
            <w:pPr>
              <w:spacing w:after="0" w:line="240" w:lineRule="auto"/>
              <w:rPr>
                <w:rFonts w:eastAsia="Times New Roman" w:cstheme="minorHAnsi"/>
                <w:b/>
                <w:lang w:eastAsia="en-AU"/>
              </w:rPr>
            </w:pPr>
            <w:r>
              <w:rPr>
                <w:rFonts w:eastAsia="Times New Roman" w:cstheme="minorHAnsi"/>
                <w:b/>
                <w:lang w:eastAsia="en-AU"/>
              </w:rPr>
              <w:t>Domain</w:t>
            </w:r>
          </w:p>
        </w:tc>
        <w:tc>
          <w:tcPr>
            <w:tcW w:w="1180" w:type="dxa"/>
            <w:tcBorders>
              <w:top w:val="single" w:sz="8" w:space="0" w:color="auto"/>
              <w:left w:val="nil"/>
              <w:bottom w:val="single" w:sz="4" w:space="0" w:color="auto"/>
              <w:right w:val="nil"/>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b/>
                <w:lang w:eastAsia="en-AU"/>
              </w:rPr>
            </w:pPr>
            <w:r w:rsidRPr="00C51589">
              <w:rPr>
                <w:rFonts w:eastAsia="Times New Roman" w:cstheme="minorHAnsi"/>
                <w:b/>
                <w:lang w:eastAsia="en-AU"/>
              </w:rPr>
              <w:t>0% to 20%</w:t>
            </w:r>
          </w:p>
        </w:tc>
        <w:tc>
          <w:tcPr>
            <w:tcW w:w="148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b/>
                <w:lang w:eastAsia="en-AU"/>
              </w:rPr>
            </w:pPr>
            <w:r w:rsidRPr="00C51589">
              <w:rPr>
                <w:rFonts w:eastAsia="Times New Roman" w:cstheme="minorHAnsi"/>
                <w:b/>
                <w:lang w:eastAsia="en-AU"/>
              </w:rPr>
              <w:t>20% to 40%</w:t>
            </w:r>
          </w:p>
        </w:tc>
        <w:tc>
          <w:tcPr>
            <w:tcW w:w="1340" w:type="dxa"/>
            <w:tcBorders>
              <w:top w:val="single" w:sz="8" w:space="0" w:color="auto"/>
              <w:left w:val="nil"/>
              <w:bottom w:val="single" w:sz="4" w:space="0" w:color="auto"/>
              <w:right w:val="nil"/>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b/>
                <w:lang w:eastAsia="en-AU"/>
              </w:rPr>
            </w:pPr>
            <w:r w:rsidRPr="00C51589">
              <w:rPr>
                <w:rFonts w:eastAsia="Times New Roman" w:cstheme="minorHAnsi"/>
                <w:b/>
                <w:lang w:eastAsia="en-AU"/>
              </w:rPr>
              <w:t>40% to 60%</w:t>
            </w:r>
          </w:p>
        </w:tc>
        <w:tc>
          <w:tcPr>
            <w:tcW w:w="136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b/>
                <w:lang w:eastAsia="en-AU"/>
              </w:rPr>
            </w:pPr>
            <w:r w:rsidRPr="00C51589">
              <w:rPr>
                <w:rFonts w:eastAsia="Times New Roman" w:cstheme="minorHAnsi"/>
                <w:b/>
                <w:lang w:eastAsia="en-AU"/>
              </w:rPr>
              <w:t>60% to 80%</w:t>
            </w:r>
          </w:p>
        </w:tc>
        <w:tc>
          <w:tcPr>
            <w:tcW w:w="1020" w:type="dxa"/>
            <w:tcBorders>
              <w:top w:val="single" w:sz="8" w:space="0" w:color="auto"/>
              <w:left w:val="nil"/>
              <w:bottom w:val="single" w:sz="4" w:space="0" w:color="auto"/>
              <w:right w:val="single" w:sz="8" w:space="0" w:color="auto"/>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b/>
                <w:lang w:eastAsia="en-AU"/>
              </w:rPr>
            </w:pPr>
            <w:r w:rsidRPr="00C51589">
              <w:rPr>
                <w:rFonts w:eastAsia="Times New Roman" w:cstheme="minorHAnsi"/>
                <w:b/>
                <w:lang w:eastAsia="en-AU"/>
              </w:rPr>
              <w:t>Over 80%</w:t>
            </w:r>
          </w:p>
        </w:tc>
      </w:tr>
      <w:tr w:rsidR="007B45D5" w:rsidRPr="00C51589" w:rsidTr="00C51589">
        <w:trPr>
          <w:trHeight w:val="345"/>
        </w:trPr>
        <w:tc>
          <w:tcPr>
            <w:tcW w:w="3400" w:type="dxa"/>
            <w:tcBorders>
              <w:top w:val="nil"/>
              <w:left w:val="single" w:sz="8" w:space="0" w:color="auto"/>
              <w:bottom w:val="single" w:sz="4" w:space="0" w:color="auto"/>
              <w:right w:val="single" w:sz="8" w:space="0" w:color="auto"/>
            </w:tcBorders>
            <w:shd w:val="clear" w:color="auto" w:fill="auto"/>
            <w:noWrap/>
            <w:vAlign w:val="bottom"/>
            <w:hideMark/>
          </w:tcPr>
          <w:p w:rsidR="007B45D5" w:rsidRPr="00C51589" w:rsidRDefault="007B45D5" w:rsidP="007B45D5">
            <w:pPr>
              <w:spacing w:after="0" w:line="240" w:lineRule="auto"/>
              <w:rPr>
                <w:rFonts w:eastAsia="Times New Roman" w:cstheme="minorHAnsi"/>
                <w:lang w:eastAsia="en-AU"/>
              </w:rPr>
            </w:pPr>
            <w:r w:rsidRPr="00C51589">
              <w:rPr>
                <w:rFonts w:eastAsia="Times New Roman" w:cstheme="minorHAnsi"/>
                <w:lang w:eastAsia="en-AU"/>
              </w:rPr>
              <w:lastRenderedPageBreak/>
              <w:t>Choice and Control</w:t>
            </w:r>
          </w:p>
        </w:tc>
        <w:tc>
          <w:tcPr>
            <w:tcW w:w="1180" w:type="dxa"/>
            <w:tcBorders>
              <w:top w:val="nil"/>
              <w:left w:val="nil"/>
              <w:bottom w:val="single" w:sz="4" w:space="0" w:color="auto"/>
              <w:right w:val="nil"/>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lang w:eastAsia="en-AU"/>
              </w:rPr>
            </w:pPr>
            <w:r w:rsidRPr="00C51589">
              <w:rPr>
                <w:rFonts w:eastAsia="Times New Roman" w:cstheme="minorHAnsi"/>
                <w:lang w:eastAsia="en-AU"/>
              </w:rPr>
              <w:t>59.8%</w:t>
            </w:r>
          </w:p>
        </w:tc>
        <w:tc>
          <w:tcPr>
            <w:tcW w:w="1480" w:type="dxa"/>
            <w:tcBorders>
              <w:top w:val="nil"/>
              <w:left w:val="single" w:sz="8" w:space="0" w:color="auto"/>
              <w:bottom w:val="single" w:sz="4" w:space="0" w:color="auto"/>
              <w:right w:val="single" w:sz="8" w:space="0" w:color="auto"/>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lang w:eastAsia="en-AU"/>
              </w:rPr>
            </w:pPr>
            <w:r w:rsidRPr="00C51589">
              <w:rPr>
                <w:rFonts w:eastAsia="Times New Roman" w:cstheme="minorHAnsi"/>
                <w:lang w:eastAsia="en-AU"/>
              </w:rPr>
              <w:t>76.1%</w:t>
            </w:r>
          </w:p>
        </w:tc>
        <w:tc>
          <w:tcPr>
            <w:tcW w:w="1340" w:type="dxa"/>
            <w:tcBorders>
              <w:top w:val="nil"/>
              <w:left w:val="nil"/>
              <w:bottom w:val="single" w:sz="4" w:space="0" w:color="auto"/>
              <w:right w:val="nil"/>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lang w:eastAsia="en-AU"/>
              </w:rPr>
            </w:pPr>
            <w:r w:rsidRPr="00C51589">
              <w:rPr>
                <w:rFonts w:eastAsia="Times New Roman" w:cstheme="minorHAnsi"/>
                <w:lang w:eastAsia="en-AU"/>
              </w:rPr>
              <w:t>79.6%</w:t>
            </w:r>
          </w:p>
        </w:tc>
        <w:tc>
          <w:tcPr>
            <w:tcW w:w="1360" w:type="dxa"/>
            <w:tcBorders>
              <w:top w:val="nil"/>
              <w:left w:val="single" w:sz="8" w:space="0" w:color="auto"/>
              <w:bottom w:val="single" w:sz="4" w:space="0" w:color="auto"/>
              <w:right w:val="single" w:sz="8" w:space="0" w:color="auto"/>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lang w:eastAsia="en-AU"/>
              </w:rPr>
            </w:pPr>
            <w:r w:rsidRPr="00C51589">
              <w:rPr>
                <w:rFonts w:eastAsia="Times New Roman" w:cstheme="minorHAnsi"/>
                <w:lang w:eastAsia="en-AU"/>
              </w:rPr>
              <w:t>80.5%</w:t>
            </w:r>
          </w:p>
        </w:tc>
        <w:tc>
          <w:tcPr>
            <w:tcW w:w="1020" w:type="dxa"/>
            <w:tcBorders>
              <w:top w:val="nil"/>
              <w:left w:val="nil"/>
              <w:bottom w:val="single" w:sz="4" w:space="0" w:color="auto"/>
              <w:right w:val="single" w:sz="8" w:space="0" w:color="auto"/>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lang w:eastAsia="en-AU"/>
              </w:rPr>
            </w:pPr>
            <w:r w:rsidRPr="00C51589">
              <w:rPr>
                <w:rFonts w:eastAsia="Times New Roman" w:cstheme="minorHAnsi"/>
                <w:lang w:eastAsia="en-AU"/>
              </w:rPr>
              <w:t>80.7%</w:t>
            </w:r>
          </w:p>
        </w:tc>
      </w:tr>
      <w:tr w:rsidR="007B45D5" w:rsidRPr="00C51589" w:rsidTr="00C51589">
        <w:trPr>
          <w:trHeight w:val="308"/>
        </w:trPr>
        <w:tc>
          <w:tcPr>
            <w:tcW w:w="3400" w:type="dxa"/>
            <w:tcBorders>
              <w:top w:val="nil"/>
              <w:left w:val="single" w:sz="8" w:space="0" w:color="auto"/>
              <w:bottom w:val="single" w:sz="4" w:space="0" w:color="auto"/>
              <w:right w:val="single" w:sz="8" w:space="0" w:color="auto"/>
            </w:tcBorders>
            <w:shd w:val="clear" w:color="auto" w:fill="auto"/>
            <w:noWrap/>
            <w:vAlign w:val="bottom"/>
            <w:hideMark/>
          </w:tcPr>
          <w:p w:rsidR="007B45D5" w:rsidRPr="00C51589" w:rsidRDefault="007B45D5" w:rsidP="007B45D5">
            <w:pPr>
              <w:spacing w:after="0" w:line="240" w:lineRule="auto"/>
              <w:rPr>
                <w:rFonts w:eastAsia="Times New Roman" w:cstheme="minorHAnsi"/>
                <w:lang w:eastAsia="en-AU"/>
              </w:rPr>
            </w:pPr>
            <w:r w:rsidRPr="00C51589">
              <w:rPr>
                <w:rFonts w:eastAsia="Times New Roman" w:cstheme="minorHAnsi"/>
                <w:lang w:eastAsia="en-AU"/>
              </w:rPr>
              <w:t>Daily Living</w:t>
            </w:r>
          </w:p>
        </w:tc>
        <w:tc>
          <w:tcPr>
            <w:tcW w:w="1180" w:type="dxa"/>
            <w:tcBorders>
              <w:top w:val="nil"/>
              <w:left w:val="nil"/>
              <w:bottom w:val="single" w:sz="4" w:space="0" w:color="auto"/>
              <w:right w:val="nil"/>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lang w:eastAsia="en-AU"/>
              </w:rPr>
            </w:pPr>
            <w:r w:rsidRPr="00C51589">
              <w:rPr>
                <w:rFonts w:eastAsia="Times New Roman" w:cstheme="minorHAnsi"/>
                <w:lang w:eastAsia="en-AU"/>
              </w:rPr>
              <w:t>62.2%</w:t>
            </w:r>
          </w:p>
        </w:tc>
        <w:tc>
          <w:tcPr>
            <w:tcW w:w="1480" w:type="dxa"/>
            <w:tcBorders>
              <w:top w:val="nil"/>
              <w:left w:val="single" w:sz="8" w:space="0" w:color="auto"/>
              <w:bottom w:val="single" w:sz="4" w:space="0" w:color="auto"/>
              <w:right w:val="single" w:sz="8" w:space="0" w:color="auto"/>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lang w:eastAsia="en-AU"/>
              </w:rPr>
            </w:pPr>
            <w:r w:rsidRPr="00C51589">
              <w:rPr>
                <w:rFonts w:eastAsia="Times New Roman" w:cstheme="minorHAnsi"/>
                <w:lang w:eastAsia="en-AU"/>
              </w:rPr>
              <w:t>79.7%</w:t>
            </w:r>
          </w:p>
        </w:tc>
        <w:tc>
          <w:tcPr>
            <w:tcW w:w="1340" w:type="dxa"/>
            <w:tcBorders>
              <w:top w:val="nil"/>
              <w:left w:val="nil"/>
              <w:bottom w:val="single" w:sz="4" w:space="0" w:color="auto"/>
              <w:right w:val="nil"/>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lang w:eastAsia="en-AU"/>
              </w:rPr>
            </w:pPr>
            <w:r w:rsidRPr="00C51589">
              <w:rPr>
                <w:rFonts w:eastAsia="Times New Roman" w:cstheme="minorHAnsi"/>
                <w:lang w:eastAsia="en-AU"/>
              </w:rPr>
              <w:t>83.0%</w:t>
            </w:r>
          </w:p>
        </w:tc>
        <w:tc>
          <w:tcPr>
            <w:tcW w:w="1360" w:type="dxa"/>
            <w:tcBorders>
              <w:top w:val="nil"/>
              <w:left w:val="single" w:sz="8" w:space="0" w:color="auto"/>
              <w:bottom w:val="single" w:sz="4" w:space="0" w:color="auto"/>
              <w:right w:val="single" w:sz="8" w:space="0" w:color="auto"/>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lang w:eastAsia="en-AU"/>
              </w:rPr>
            </w:pPr>
            <w:r w:rsidRPr="00C51589">
              <w:rPr>
                <w:rFonts w:eastAsia="Times New Roman" w:cstheme="minorHAnsi"/>
                <w:lang w:eastAsia="en-AU"/>
              </w:rPr>
              <w:t>84.7%</w:t>
            </w:r>
          </w:p>
        </w:tc>
        <w:tc>
          <w:tcPr>
            <w:tcW w:w="1020" w:type="dxa"/>
            <w:tcBorders>
              <w:top w:val="nil"/>
              <w:left w:val="nil"/>
              <w:bottom w:val="single" w:sz="4" w:space="0" w:color="auto"/>
              <w:right w:val="single" w:sz="8" w:space="0" w:color="auto"/>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lang w:eastAsia="en-AU"/>
              </w:rPr>
            </w:pPr>
            <w:r w:rsidRPr="00C51589">
              <w:rPr>
                <w:rFonts w:eastAsia="Times New Roman" w:cstheme="minorHAnsi"/>
                <w:lang w:eastAsia="en-AU"/>
              </w:rPr>
              <w:t>86.1%</w:t>
            </w:r>
          </w:p>
        </w:tc>
      </w:tr>
      <w:tr w:rsidR="007B45D5" w:rsidRPr="00C51589" w:rsidTr="00C51589">
        <w:trPr>
          <w:trHeight w:val="390"/>
        </w:trPr>
        <w:tc>
          <w:tcPr>
            <w:tcW w:w="3400" w:type="dxa"/>
            <w:tcBorders>
              <w:top w:val="nil"/>
              <w:left w:val="single" w:sz="8" w:space="0" w:color="auto"/>
              <w:bottom w:val="single" w:sz="4" w:space="0" w:color="auto"/>
              <w:right w:val="single" w:sz="8" w:space="0" w:color="auto"/>
            </w:tcBorders>
            <w:shd w:val="clear" w:color="auto" w:fill="auto"/>
            <w:noWrap/>
            <w:vAlign w:val="bottom"/>
            <w:hideMark/>
          </w:tcPr>
          <w:p w:rsidR="007B45D5" w:rsidRPr="00C51589" w:rsidRDefault="007B45D5" w:rsidP="007B45D5">
            <w:pPr>
              <w:spacing w:after="0" w:line="240" w:lineRule="auto"/>
              <w:rPr>
                <w:rFonts w:eastAsia="Times New Roman" w:cstheme="minorHAnsi"/>
                <w:lang w:eastAsia="en-AU"/>
              </w:rPr>
            </w:pPr>
            <w:r w:rsidRPr="00C51589">
              <w:rPr>
                <w:rFonts w:eastAsia="Times New Roman" w:cstheme="minorHAnsi"/>
                <w:lang w:eastAsia="en-AU"/>
              </w:rPr>
              <w:t>Relationships</w:t>
            </w:r>
          </w:p>
        </w:tc>
        <w:tc>
          <w:tcPr>
            <w:tcW w:w="1180" w:type="dxa"/>
            <w:tcBorders>
              <w:top w:val="nil"/>
              <w:left w:val="nil"/>
              <w:bottom w:val="single" w:sz="4" w:space="0" w:color="auto"/>
              <w:right w:val="nil"/>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lang w:eastAsia="en-AU"/>
              </w:rPr>
            </w:pPr>
            <w:r w:rsidRPr="00C51589">
              <w:rPr>
                <w:rFonts w:eastAsia="Times New Roman" w:cstheme="minorHAnsi"/>
                <w:lang w:eastAsia="en-AU"/>
              </w:rPr>
              <w:t>40.5%</w:t>
            </w:r>
          </w:p>
        </w:tc>
        <w:tc>
          <w:tcPr>
            <w:tcW w:w="1480" w:type="dxa"/>
            <w:tcBorders>
              <w:top w:val="nil"/>
              <w:left w:val="single" w:sz="8" w:space="0" w:color="auto"/>
              <w:bottom w:val="single" w:sz="4" w:space="0" w:color="auto"/>
              <w:right w:val="single" w:sz="8" w:space="0" w:color="auto"/>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lang w:eastAsia="en-AU"/>
              </w:rPr>
            </w:pPr>
            <w:r w:rsidRPr="00C51589">
              <w:rPr>
                <w:rFonts w:eastAsia="Times New Roman" w:cstheme="minorHAnsi"/>
                <w:lang w:eastAsia="en-AU"/>
              </w:rPr>
              <w:t>55.9%</w:t>
            </w:r>
          </w:p>
        </w:tc>
        <w:tc>
          <w:tcPr>
            <w:tcW w:w="1340" w:type="dxa"/>
            <w:tcBorders>
              <w:top w:val="nil"/>
              <w:left w:val="nil"/>
              <w:bottom w:val="single" w:sz="4" w:space="0" w:color="auto"/>
              <w:right w:val="nil"/>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lang w:eastAsia="en-AU"/>
              </w:rPr>
            </w:pPr>
            <w:r w:rsidRPr="00C51589">
              <w:rPr>
                <w:rFonts w:eastAsia="Times New Roman" w:cstheme="minorHAnsi"/>
                <w:lang w:eastAsia="en-AU"/>
              </w:rPr>
              <w:t>62.4%</w:t>
            </w:r>
          </w:p>
        </w:tc>
        <w:tc>
          <w:tcPr>
            <w:tcW w:w="1360" w:type="dxa"/>
            <w:tcBorders>
              <w:top w:val="nil"/>
              <w:left w:val="single" w:sz="8" w:space="0" w:color="auto"/>
              <w:bottom w:val="single" w:sz="4" w:space="0" w:color="auto"/>
              <w:right w:val="single" w:sz="8" w:space="0" w:color="auto"/>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lang w:eastAsia="en-AU"/>
              </w:rPr>
            </w:pPr>
            <w:r w:rsidRPr="00C51589">
              <w:rPr>
                <w:rFonts w:eastAsia="Times New Roman" w:cstheme="minorHAnsi"/>
                <w:lang w:eastAsia="en-AU"/>
              </w:rPr>
              <w:t>65.3%</w:t>
            </w:r>
          </w:p>
        </w:tc>
        <w:tc>
          <w:tcPr>
            <w:tcW w:w="1020" w:type="dxa"/>
            <w:tcBorders>
              <w:top w:val="nil"/>
              <w:left w:val="nil"/>
              <w:bottom w:val="single" w:sz="4" w:space="0" w:color="auto"/>
              <w:right w:val="single" w:sz="8" w:space="0" w:color="auto"/>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lang w:eastAsia="en-AU"/>
              </w:rPr>
            </w:pPr>
            <w:r w:rsidRPr="00C51589">
              <w:rPr>
                <w:rFonts w:eastAsia="Times New Roman" w:cstheme="minorHAnsi"/>
                <w:lang w:eastAsia="en-AU"/>
              </w:rPr>
              <w:t>66.3%</w:t>
            </w:r>
          </w:p>
        </w:tc>
      </w:tr>
      <w:tr w:rsidR="007B45D5" w:rsidRPr="00C51589" w:rsidTr="00C51589">
        <w:trPr>
          <w:trHeight w:val="405"/>
        </w:trPr>
        <w:tc>
          <w:tcPr>
            <w:tcW w:w="3400" w:type="dxa"/>
            <w:tcBorders>
              <w:top w:val="nil"/>
              <w:left w:val="single" w:sz="8" w:space="0" w:color="auto"/>
              <w:bottom w:val="single" w:sz="4" w:space="0" w:color="auto"/>
              <w:right w:val="single" w:sz="8" w:space="0" w:color="auto"/>
            </w:tcBorders>
            <w:shd w:val="clear" w:color="auto" w:fill="auto"/>
            <w:noWrap/>
            <w:vAlign w:val="bottom"/>
            <w:hideMark/>
          </w:tcPr>
          <w:p w:rsidR="007B45D5" w:rsidRPr="00C51589" w:rsidRDefault="007B45D5" w:rsidP="007B45D5">
            <w:pPr>
              <w:spacing w:after="0" w:line="240" w:lineRule="auto"/>
              <w:rPr>
                <w:rFonts w:eastAsia="Times New Roman" w:cstheme="minorHAnsi"/>
                <w:lang w:eastAsia="en-AU"/>
              </w:rPr>
            </w:pPr>
            <w:r w:rsidRPr="00C51589">
              <w:rPr>
                <w:rFonts w:eastAsia="Times New Roman" w:cstheme="minorHAnsi"/>
                <w:lang w:eastAsia="en-AU"/>
              </w:rPr>
              <w:t>Home</w:t>
            </w:r>
          </w:p>
        </w:tc>
        <w:tc>
          <w:tcPr>
            <w:tcW w:w="1180" w:type="dxa"/>
            <w:tcBorders>
              <w:top w:val="nil"/>
              <w:left w:val="nil"/>
              <w:bottom w:val="single" w:sz="4" w:space="0" w:color="auto"/>
              <w:right w:val="nil"/>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lang w:eastAsia="en-AU"/>
              </w:rPr>
            </w:pPr>
            <w:r w:rsidRPr="00C51589">
              <w:rPr>
                <w:rFonts w:eastAsia="Times New Roman" w:cstheme="minorHAnsi"/>
                <w:lang w:eastAsia="en-AU"/>
              </w:rPr>
              <w:t>24.9%</w:t>
            </w:r>
          </w:p>
        </w:tc>
        <w:tc>
          <w:tcPr>
            <w:tcW w:w="1480" w:type="dxa"/>
            <w:tcBorders>
              <w:top w:val="nil"/>
              <w:left w:val="single" w:sz="8" w:space="0" w:color="auto"/>
              <w:bottom w:val="single" w:sz="4" w:space="0" w:color="auto"/>
              <w:right w:val="single" w:sz="8" w:space="0" w:color="auto"/>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lang w:eastAsia="en-AU"/>
              </w:rPr>
            </w:pPr>
            <w:r w:rsidRPr="00C51589">
              <w:rPr>
                <w:rFonts w:eastAsia="Times New Roman" w:cstheme="minorHAnsi"/>
                <w:lang w:eastAsia="en-AU"/>
              </w:rPr>
              <w:t>30.1%</w:t>
            </w:r>
          </w:p>
        </w:tc>
        <w:tc>
          <w:tcPr>
            <w:tcW w:w="1340" w:type="dxa"/>
            <w:tcBorders>
              <w:top w:val="nil"/>
              <w:left w:val="nil"/>
              <w:bottom w:val="single" w:sz="4" w:space="0" w:color="auto"/>
              <w:right w:val="nil"/>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lang w:eastAsia="en-AU"/>
              </w:rPr>
            </w:pPr>
            <w:r w:rsidRPr="00C51589">
              <w:rPr>
                <w:rFonts w:eastAsia="Times New Roman" w:cstheme="minorHAnsi"/>
                <w:lang w:eastAsia="en-AU"/>
              </w:rPr>
              <w:t>32.7%</w:t>
            </w:r>
          </w:p>
        </w:tc>
        <w:tc>
          <w:tcPr>
            <w:tcW w:w="1360" w:type="dxa"/>
            <w:tcBorders>
              <w:top w:val="nil"/>
              <w:left w:val="single" w:sz="8" w:space="0" w:color="auto"/>
              <w:bottom w:val="single" w:sz="4" w:space="0" w:color="auto"/>
              <w:right w:val="single" w:sz="8" w:space="0" w:color="auto"/>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lang w:eastAsia="en-AU"/>
              </w:rPr>
            </w:pPr>
            <w:r w:rsidRPr="00C51589">
              <w:rPr>
                <w:rFonts w:eastAsia="Times New Roman" w:cstheme="minorHAnsi"/>
                <w:lang w:eastAsia="en-AU"/>
              </w:rPr>
              <w:t>34.1%</w:t>
            </w:r>
          </w:p>
        </w:tc>
        <w:tc>
          <w:tcPr>
            <w:tcW w:w="1020" w:type="dxa"/>
            <w:tcBorders>
              <w:top w:val="nil"/>
              <w:left w:val="nil"/>
              <w:bottom w:val="single" w:sz="4" w:space="0" w:color="auto"/>
              <w:right w:val="single" w:sz="8" w:space="0" w:color="auto"/>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lang w:eastAsia="en-AU"/>
              </w:rPr>
            </w:pPr>
            <w:r w:rsidRPr="00C51589">
              <w:rPr>
                <w:rFonts w:eastAsia="Times New Roman" w:cstheme="minorHAnsi"/>
                <w:lang w:eastAsia="en-AU"/>
              </w:rPr>
              <w:t>40.7%</w:t>
            </w:r>
          </w:p>
        </w:tc>
      </w:tr>
      <w:tr w:rsidR="007B45D5" w:rsidRPr="00C51589" w:rsidTr="00C51589">
        <w:trPr>
          <w:trHeight w:val="293"/>
        </w:trPr>
        <w:tc>
          <w:tcPr>
            <w:tcW w:w="3400" w:type="dxa"/>
            <w:tcBorders>
              <w:top w:val="nil"/>
              <w:left w:val="single" w:sz="8" w:space="0" w:color="auto"/>
              <w:bottom w:val="single" w:sz="4" w:space="0" w:color="auto"/>
              <w:right w:val="single" w:sz="8" w:space="0" w:color="auto"/>
            </w:tcBorders>
            <w:shd w:val="clear" w:color="auto" w:fill="auto"/>
            <w:noWrap/>
            <w:vAlign w:val="bottom"/>
            <w:hideMark/>
          </w:tcPr>
          <w:p w:rsidR="007B45D5" w:rsidRPr="00C51589" w:rsidRDefault="007B45D5" w:rsidP="007B45D5">
            <w:pPr>
              <w:spacing w:after="0" w:line="240" w:lineRule="auto"/>
              <w:rPr>
                <w:rFonts w:eastAsia="Times New Roman" w:cstheme="minorHAnsi"/>
                <w:lang w:eastAsia="en-AU"/>
              </w:rPr>
            </w:pPr>
            <w:r w:rsidRPr="00C51589">
              <w:rPr>
                <w:rFonts w:eastAsia="Times New Roman" w:cstheme="minorHAnsi"/>
                <w:lang w:eastAsia="en-AU"/>
              </w:rPr>
              <w:t>Health and wellbeing</w:t>
            </w:r>
          </w:p>
        </w:tc>
        <w:tc>
          <w:tcPr>
            <w:tcW w:w="1180" w:type="dxa"/>
            <w:tcBorders>
              <w:top w:val="nil"/>
              <w:left w:val="nil"/>
              <w:bottom w:val="single" w:sz="4" w:space="0" w:color="auto"/>
              <w:right w:val="nil"/>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lang w:eastAsia="en-AU"/>
              </w:rPr>
            </w:pPr>
            <w:r w:rsidRPr="00C51589">
              <w:rPr>
                <w:rFonts w:eastAsia="Times New Roman" w:cstheme="minorHAnsi"/>
                <w:lang w:eastAsia="en-AU"/>
              </w:rPr>
              <w:t>43.9%</w:t>
            </w:r>
          </w:p>
        </w:tc>
        <w:tc>
          <w:tcPr>
            <w:tcW w:w="1480" w:type="dxa"/>
            <w:tcBorders>
              <w:top w:val="nil"/>
              <w:left w:val="single" w:sz="8" w:space="0" w:color="auto"/>
              <w:bottom w:val="single" w:sz="4" w:space="0" w:color="auto"/>
              <w:right w:val="single" w:sz="8" w:space="0" w:color="auto"/>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lang w:eastAsia="en-AU"/>
              </w:rPr>
            </w:pPr>
            <w:r w:rsidRPr="00C51589">
              <w:rPr>
                <w:rFonts w:eastAsia="Times New Roman" w:cstheme="minorHAnsi"/>
                <w:lang w:eastAsia="en-AU"/>
              </w:rPr>
              <w:t>57.2%</w:t>
            </w:r>
          </w:p>
        </w:tc>
        <w:tc>
          <w:tcPr>
            <w:tcW w:w="1340" w:type="dxa"/>
            <w:tcBorders>
              <w:top w:val="nil"/>
              <w:left w:val="nil"/>
              <w:bottom w:val="single" w:sz="4" w:space="0" w:color="auto"/>
              <w:right w:val="nil"/>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lang w:eastAsia="en-AU"/>
              </w:rPr>
            </w:pPr>
            <w:r w:rsidRPr="00C51589">
              <w:rPr>
                <w:rFonts w:eastAsia="Times New Roman" w:cstheme="minorHAnsi"/>
                <w:lang w:eastAsia="en-AU"/>
              </w:rPr>
              <w:t>59.8%</w:t>
            </w:r>
          </w:p>
        </w:tc>
        <w:tc>
          <w:tcPr>
            <w:tcW w:w="1360" w:type="dxa"/>
            <w:tcBorders>
              <w:top w:val="nil"/>
              <w:left w:val="single" w:sz="8" w:space="0" w:color="auto"/>
              <w:bottom w:val="single" w:sz="4" w:space="0" w:color="auto"/>
              <w:right w:val="single" w:sz="8" w:space="0" w:color="auto"/>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lang w:eastAsia="en-AU"/>
              </w:rPr>
            </w:pPr>
            <w:r w:rsidRPr="00C51589">
              <w:rPr>
                <w:rFonts w:eastAsia="Times New Roman" w:cstheme="minorHAnsi"/>
                <w:lang w:eastAsia="en-AU"/>
              </w:rPr>
              <w:t>60.8%</w:t>
            </w:r>
          </w:p>
        </w:tc>
        <w:tc>
          <w:tcPr>
            <w:tcW w:w="1020" w:type="dxa"/>
            <w:tcBorders>
              <w:top w:val="nil"/>
              <w:left w:val="nil"/>
              <w:bottom w:val="single" w:sz="4" w:space="0" w:color="auto"/>
              <w:right w:val="single" w:sz="8" w:space="0" w:color="auto"/>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lang w:eastAsia="en-AU"/>
              </w:rPr>
            </w:pPr>
            <w:r w:rsidRPr="00C51589">
              <w:rPr>
                <w:rFonts w:eastAsia="Times New Roman" w:cstheme="minorHAnsi"/>
                <w:lang w:eastAsia="en-AU"/>
              </w:rPr>
              <w:t>63.0%</w:t>
            </w:r>
          </w:p>
        </w:tc>
      </w:tr>
      <w:tr w:rsidR="007B45D5" w:rsidRPr="00C51589" w:rsidTr="00C51589">
        <w:trPr>
          <w:trHeight w:val="323"/>
        </w:trPr>
        <w:tc>
          <w:tcPr>
            <w:tcW w:w="3400" w:type="dxa"/>
            <w:tcBorders>
              <w:top w:val="nil"/>
              <w:left w:val="single" w:sz="8" w:space="0" w:color="auto"/>
              <w:bottom w:val="single" w:sz="4" w:space="0" w:color="auto"/>
              <w:right w:val="single" w:sz="8" w:space="0" w:color="auto"/>
            </w:tcBorders>
            <w:shd w:val="clear" w:color="auto" w:fill="auto"/>
            <w:noWrap/>
            <w:vAlign w:val="bottom"/>
            <w:hideMark/>
          </w:tcPr>
          <w:p w:rsidR="007B45D5" w:rsidRPr="00C51589" w:rsidRDefault="007B45D5" w:rsidP="007B45D5">
            <w:pPr>
              <w:spacing w:after="0" w:line="240" w:lineRule="auto"/>
              <w:rPr>
                <w:rFonts w:eastAsia="Times New Roman" w:cstheme="minorHAnsi"/>
                <w:lang w:eastAsia="en-AU"/>
              </w:rPr>
            </w:pPr>
            <w:r w:rsidRPr="00C51589">
              <w:rPr>
                <w:rFonts w:eastAsia="Times New Roman" w:cstheme="minorHAnsi"/>
                <w:lang w:eastAsia="en-AU"/>
              </w:rPr>
              <w:t>Lifelong Learning</w:t>
            </w:r>
          </w:p>
        </w:tc>
        <w:tc>
          <w:tcPr>
            <w:tcW w:w="1180" w:type="dxa"/>
            <w:tcBorders>
              <w:top w:val="nil"/>
              <w:left w:val="nil"/>
              <w:bottom w:val="single" w:sz="4" w:space="0" w:color="auto"/>
              <w:right w:val="nil"/>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lang w:eastAsia="en-AU"/>
              </w:rPr>
            </w:pPr>
            <w:r w:rsidRPr="00C51589">
              <w:rPr>
                <w:rFonts w:eastAsia="Times New Roman" w:cstheme="minorHAnsi"/>
                <w:lang w:eastAsia="en-AU"/>
              </w:rPr>
              <w:t>21.0%</w:t>
            </w:r>
          </w:p>
        </w:tc>
        <w:tc>
          <w:tcPr>
            <w:tcW w:w="1480" w:type="dxa"/>
            <w:tcBorders>
              <w:top w:val="nil"/>
              <w:left w:val="single" w:sz="8" w:space="0" w:color="auto"/>
              <w:bottom w:val="single" w:sz="4" w:space="0" w:color="auto"/>
              <w:right w:val="single" w:sz="8" w:space="0" w:color="auto"/>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lang w:eastAsia="en-AU"/>
              </w:rPr>
            </w:pPr>
            <w:r w:rsidRPr="00C51589">
              <w:rPr>
                <w:rFonts w:eastAsia="Times New Roman" w:cstheme="minorHAnsi"/>
                <w:lang w:eastAsia="en-AU"/>
              </w:rPr>
              <w:t>29.7%</w:t>
            </w:r>
          </w:p>
        </w:tc>
        <w:tc>
          <w:tcPr>
            <w:tcW w:w="1340" w:type="dxa"/>
            <w:tcBorders>
              <w:top w:val="nil"/>
              <w:left w:val="nil"/>
              <w:bottom w:val="single" w:sz="4" w:space="0" w:color="auto"/>
              <w:right w:val="nil"/>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lang w:eastAsia="en-AU"/>
              </w:rPr>
            </w:pPr>
            <w:r w:rsidRPr="00C51589">
              <w:rPr>
                <w:rFonts w:eastAsia="Times New Roman" w:cstheme="minorHAnsi"/>
                <w:lang w:eastAsia="en-AU"/>
              </w:rPr>
              <w:t>34.5%</w:t>
            </w:r>
          </w:p>
        </w:tc>
        <w:tc>
          <w:tcPr>
            <w:tcW w:w="1360" w:type="dxa"/>
            <w:tcBorders>
              <w:top w:val="nil"/>
              <w:left w:val="single" w:sz="8" w:space="0" w:color="auto"/>
              <w:bottom w:val="single" w:sz="4" w:space="0" w:color="auto"/>
              <w:right w:val="single" w:sz="8" w:space="0" w:color="auto"/>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lang w:eastAsia="en-AU"/>
              </w:rPr>
            </w:pPr>
            <w:r w:rsidRPr="00C51589">
              <w:rPr>
                <w:rFonts w:eastAsia="Times New Roman" w:cstheme="minorHAnsi"/>
                <w:lang w:eastAsia="en-AU"/>
              </w:rPr>
              <w:t>36.1%</w:t>
            </w:r>
          </w:p>
        </w:tc>
        <w:tc>
          <w:tcPr>
            <w:tcW w:w="1020" w:type="dxa"/>
            <w:tcBorders>
              <w:top w:val="nil"/>
              <w:left w:val="nil"/>
              <w:bottom w:val="single" w:sz="4" w:space="0" w:color="auto"/>
              <w:right w:val="single" w:sz="8" w:space="0" w:color="auto"/>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lang w:eastAsia="en-AU"/>
              </w:rPr>
            </w:pPr>
            <w:r w:rsidRPr="00C51589">
              <w:rPr>
                <w:rFonts w:eastAsia="Times New Roman" w:cstheme="minorHAnsi"/>
                <w:lang w:eastAsia="en-AU"/>
              </w:rPr>
              <w:t>36.5%</w:t>
            </w:r>
          </w:p>
        </w:tc>
      </w:tr>
      <w:tr w:rsidR="007B45D5" w:rsidRPr="00C51589" w:rsidTr="00C51589">
        <w:trPr>
          <w:trHeight w:val="443"/>
        </w:trPr>
        <w:tc>
          <w:tcPr>
            <w:tcW w:w="3400" w:type="dxa"/>
            <w:tcBorders>
              <w:top w:val="nil"/>
              <w:left w:val="single" w:sz="8" w:space="0" w:color="auto"/>
              <w:bottom w:val="single" w:sz="4" w:space="0" w:color="auto"/>
              <w:right w:val="single" w:sz="8" w:space="0" w:color="auto"/>
            </w:tcBorders>
            <w:shd w:val="clear" w:color="auto" w:fill="auto"/>
            <w:noWrap/>
            <w:vAlign w:val="bottom"/>
            <w:hideMark/>
          </w:tcPr>
          <w:p w:rsidR="007B45D5" w:rsidRPr="00C51589" w:rsidRDefault="007B45D5" w:rsidP="007B45D5">
            <w:pPr>
              <w:spacing w:after="0" w:line="240" w:lineRule="auto"/>
              <w:rPr>
                <w:rFonts w:eastAsia="Times New Roman" w:cstheme="minorHAnsi"/>
                <w:lang w:eastAsia="en-AU"/>
              </w:rPr>
            </w:pPr>
            <w:r w:rsidRPr="00C51589">
              <w:rPr>
                <w:rFonts w:eastAsia="Times New Roman" w:cstheme="minorHAnsi"/>
                <w:lang w:eastAsia="en-AU"/>
              </w:rPr>
              <w:t>Work</w:t>
            </w:r>
          </w:p>
        </w:tc>
        <w:tc>
          <w:tcPr>
            <w:tcW w:w="1180" w:type="dxa"/>
            <w:tcBorders>
              <w:top w:val="nil"/>
              <w:left w:val="nil"/>
              <w:bottom w:val="single" w:sz="4" w:space="0" w:color="auto"/>
              <w:right w:val="nil"/>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lang w:eastAsia="en-AU"/>
              </w:rPr>
            </w:pPr>
            <w:r w:rsidRPr="00C51589">
              <w:rPr>
                <w:rFonts w:eastAsia="Times New Roman" w:cstheme="minorHAnsi"/>
                <w:lang w:eastAsia="en-AU"/>
              </w:rPr>
              <w:t>12.1%</w:t>
            </w:r>
          </w:p>
        </w:tc>
        <w:tc>
          <w:tcPr>
            <w:tcW w:w="1480" w:type="dxa"/>
            <w:tcBorders>
              <w:top w:val="nil"/>
              <w:left w:val="single" w:sz="8" w:space="0" w:color="auto"/>
              <w:bottom w:val="single" w:sz="4" w:space="0" w:color="auto"/>
              <w:right w:val="single" w:sz="8" w:space="0" w:color="auto"/>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lang w:eastAsia="en-AU"/>
              </w:rPr>
            </w:pPr>
            <w:r w:rsidRPr="00C51589">
              <w:rPr>
                <w:rFonts w:eastAsia="Times New Roman" w:cstheme="minorHAnsi"/>
                <w:lang w:eastAsia="en-AU"/>
              </w:rPr>
              <w:t>18.1%</w:t>
            </w:r>
          </w:p>
        </w:tc>
        <w:tc>
          <w:tcPr>
            <w:tcW w:w="1340" w:type="dxa"/>
            <w:tcBorders>
              <w:top w:val="nil"/>
              <w:left w:val="nil"/>
              <w:bottom w:val="single" w:sz="4" w:space="0" w:color="auto"/>
              <w:right w:val="nil"/>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lang w:eastAsia="en-AU"/>
              </w:rPr>
            </w:pPr>
            <w:r w:rsidRPr="00C51589">
              <w:rPr>
                <w:rFonts w:eastAsia="Times New Roman" w:cstheme="minorHAnsi"/>
                <w:lang w:eastAsia="en-AU"/>
              </w:rPr>
              <w:t>21.5%</w:t>
            </w:r>
          </w:p>
        </w:tc>
        <w:tc>
          <w:tcPr>
            <w:tcW w:w="1360" w:type="dxa"/>
            <w:tcBorders>
              <w:top w:val="nil"/>
              <w:left w:val="single" w:sz="8" w:space="0" w:color="auto"/>
              <w:bottom w:val="single" w:sz="4" w:space="0" w:color="auto"/>
              <w:right w:val="single" w:sz="8" w:space="0" w:color="auto"/>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lang w:eastAsia="en-AU"/>
              </w:rPr>
            </w:pPr>
            <w:r w:rsidRPr="00C51589">
              <w:rPr>
                <w:rFonts w:eastAsia="Times New Roman" w:cstheme="minorHAnsi"/>
                <w:lang w:eastAsia="en-AU"/>
              </w:rPr>
              <w:t>22.5%</w:t>
            </w:r>
          </w:p>
        </w:tc>
        <w:tc>
          <w:tcPr>
            <w:tcW w:w="1020" w:type="dxa"/>
            <w:tcBorders>
              <w:top w:val="nil"/>
              <w:left w:val="nil"/>
              <w:bottom w:val="single" w:sz="4" w:space="0" w:color="auto"/>
              <w:right w:val="single" w:sz="8" w:space="0" w:color="auto"/>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lang w:eastAsia="en-AU"/>
              </w:rPr>
            </w:pPr>
            <w:r w:rsidRPr="00C51589">
              <w:rPr>
                <w:rFonts w:eastAsia="Times New Roman" w:cstheme="minorHAnsi"/>
                <w:lang w:eastAsia="en-AU"/>
              </w:rPr>
              <w:t>21.4%</w:t>
            </w:r>
          </w:p>
        </w:tc>
      </w:tr>
      <w:tr w:rsidR="007B45D5" w:rsidRPr="00C51589" w:rsidTr="00C51589">
        <w:trPr>
          <w:trHeight w:val="518"/>
        </w:trPr>
        <w:tc>
          <w:tcPr>
            <w:tcW w:w="3400" w:type="dxa"/>
            <w:tcBorders>
              <w:top w:val="nil"/>
              <w:left w:val="single" w:sz="8" w:space="0" w:color="auto"/>
              <w:bottom w:val="single" w:sz="8" w:space="0" w:color="auto"/>
              <w:right w:val="single" w:sz="8" w:space="0" w:color="auto"/>
            </w:tcBorders>
            <w:shd w:val="clear" w:color="auto" w:fill="auto"/>
            <w:vAlign w:val="bottom"/>
            <w:hideMark/>
          </w:tcPr>
          <w:p w:rsidR="007B45D5" w:rsidRPr="00C51589" w:rsidRDefault="007B45D5" w:rsidP="007B45D5">
            <w:pPr>
              <w:spacing w:after="0" w:line="240" w:lineRule="auto"/>
              <w:rPr>
                <w:rFonts w:eastAsia="Times New Roman" w:cstheme="minorHAnsi"/>
                <w:lang w:eastAsia="en-AU"/>
              </w:rPr>
            </w:pPr>
            <w:r w:rsidRPr="00C51589">
              <w:rPr>
                <w:rFonts w:eastAsia="Times New Roman" w:cstheme="minorHAnsi"/>
                <w:lang w:eastAsia="en-AU"/>
              </w:rPr>
              <w:t>Social, Community and Civic Participation</w:t>
            </w:r>
          </w:p>
        </w:tc>
        <w:tc>
          <w:tcPr>
            <w:tcW w:w="1180" w:type="dxa"/>
            <w:tcBorders>
              <w:top w:val="nil"/>
              <w:left w:val="nil"/>
              <w:bottom w:val="single" w:sz="8" w:space="0" w:color="auto"/>
              <w:right w:val="nil"/>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lang w:eastAsia="en-AU"/>
              </w:rPr>
            </w:pPr>
            <w:r w:rsidRPr="00C51589">
              <w:rPr>
                <w:rFonts w:eastAsia="Times New Roman" w:cstheme="minorHAnsi"/>
                <w:lang w:eastAsia="en-AU"/>
              </w:rPr>
              <w:t>46.8%</w:t>
            </w:r>
          </w:p>
        </w:tc>
        <w:tc>
          <w:tcPr>
            <w:tcW w:w="1480" w:type="dxa"/>
            <w:tcBorders>
              <w:top w:val="nil"/>
              <w:left w:val="single" w:sz="8" w:space="0" w:color="auto"/>
              <w:bottom w:val="single" w:sz="8" w:space="0" w:color="auto"/>
              <w:right w:val="single" w:sz="8" w:space="0" w:color="auto"/>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lang w:eastAsia="en-AU"/>
              </w:rPr>
            </w:pPr>
            <w:r w:rsidRPr="00C51589">
              <w:rPr>
                <w:rFonts w:eastAsia="Times New Roman" w:cstheme="minorHAnsi"/>
                <w:lang w:eastAsia="en-AU"/>
              </w:rPr>
              <w:t>64.1%</w:t>
            </w:r>
          </w:p>
        </w:tc>
        <w:tc>
          <w:tcPr>
            <w:tcW w:w="1340" w:type="dxa"/>
            <w:tcBorders>
              <w:top w:val="nil"/>
              <w:left w:val="nil"/>
              <w:bottom w:val="single" w:sz="8" w:space="0" w:color="auto"/>
              <w:right w:val="nil"/>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lang w:eastAsia="en-AU"/>
              </w:rPr>
            </w:pPr>
            <w:r w:rsidRPr="00C51589">
              <w:rPr>
                <w:rFonts w:eastAsia="Times New Roman" w:cstheme="minorHAnsi"/>
                <w:lang w:eastAsia="en-AU"/>
              </w:rPr>
              <w:t>69.8%</w:t>
            </w:r>
          </w:p>
        </w:tc>
        <w:tc>
          <w:tcPr>
            <w:tcW w:w="1360" w:type="dxa"/>
            <w:tcBorders>
              <w:top w:val="nil"/>
              <w:left w:val="single" w:sz="8" w:space="0" w:color="auto"/>
              <w:bottom w:val="single" w:sz="8" w:space="0" w:color="auto"/>
              <w:right w:val="single" w:sz="8" w:space="0" w:color="auto"/>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lang w:eastAsia="en-AU"/>
              </w:rPr>
            </w:pPr>
            <w:r w:rsidRPr="00C51589">
              <w:rPr>
                <w:rFonts w:eastAsia="Times New Roman" w:cstheme="minorHAnsi"/>
                <w:lang w:eastAsia="en-AU"/>
              </w:rPr>
              <w:t>72.8%</w:t>
            </w:r>
          </w:p>
        </w:tc>
        <w:tc>
          <w:tcPr>
            <w:tcW w:w="1020" w:type="dxa"/>
            <w:tcBorders>
              <w:top w:val="nil"/>
              <w:left w:val="nil"/>
              <w:bottom w:val="single" w:sz="8" w:space="0" w:color="auto"/>
              <w:right w:val="single" w:sz="8" w:space="0" w:color="auto"/>
            </w:tcBorders>
            <w:shd w:val="clear" w:color="auto" w:fill="auto"/>
            <w:noWrap/>
            <w:vAlign w:val="bottom"/>
            <w:hideMark/>
          </w:tcPr>
          <w:p w:rsidR="007B45D5" w:rsidRPr="00C51589" w:rsidRDefault="007B45D5" w:rsidP="007B45D5">
            <w:pPr>
              <w:spacing w:after="0" w:line="240" w:lineRule="auto"/>
              <w:jc w:val="center"/>
              <w:rPr>
                <w:rFonts w:eastAsia="Times New Roman" w:cstheme="minorHAnsi"/>
                <w:lang w:eastAsia="en-AU"/>
              </w:rPr>
            </w:pPr>
            <w:r w:rsidRPr="00C51589">
              <w:rPr>
                <w:rFonts w:eastAsia="Times New Roman" w:cstheme="minorHAnsi"/>
                <w:lang w:eastAsia="en-AU"/>
              </w:rPr>
              <w:t>74.0%</w:t>
            </w:r>
          </w:p>
        </w:tc>
      </w:tr>
    </w:tbl>
    <w:p w:rsidR="00C51589" w:rsidRDefault="00C51589" w:rsidP="00C51589">
      <w:pPr>
        <w:rPr>
          <w:rFonts w:ascii="FSMePro-Light" w:hAnsi="FSMePro-Light" w:cs="FSMePro-Light"/>
          <w:sz w:val="21"/>
          <w:szCs w:val="21"/>
        </w:rPr>
      </w:pPr>
    </w:p>
    <w:p w:rsidR="00460595" w:rsidRDefault="00460595" w:rsidP="00460595">
      <w:pPr>
        <w:pStyle w:val="Heading2"/>
      </w:pPr>
      <w:bookmarkStart w:id="91" w:name="_Toc121151463"/>
      <w:r>
        <w:t>Slide 81: Appendix</w:t>
      </w:r>
      <w:bookmarkEnd w:id="91"/>
    </w:p>
    <w:p w:rsidR="00460595" w:rsidRDefault="00460595" w:rsidP="00460595">
      <w:r>
        <w:t>This slide is the cover slide for the “Appendix” section.</w:t>
      </w:r>
    </w:p>
    <w:p w:rsidR="008E4C41" w:rsidRDefault="008E4C41" w:rsidP="008E4C41">
      <w:pPr>
        <w:pStyle w:val="Heading2"/>
      </w:pPr>
      <w:bookmarkStart w:id="92" w:name="_Toc121151464"/>
      <w:r>
        <w:t>Slide 82: Age group transitions</w:t>
      </w:r>
      <w:bookmarkEnd w:id="92"/>
    </w:p>
    <w:p w:rsidR="008E4C41" w:rsidRDefault="008E4C41" w:rsidP="004168FC">
      <w:pPr>
        <w:pStyle w:val="Heading5"/>
      </w:pPr>
      <w:r>
        <w:t>Moving up age groups, questions appearing in both survey forms</w:t>
      </w:r>
    </w:p>
    <w:p w:rsidR="008E4C41" w:rsidRPr="009B241D" w:rsidRDefault="008E4C41" w:rsidP="008E4C41">
      <w:pPr>
        <w:autoSpaceDE w:val="0"/>
        <w:autoSpaceDN w:val="0"/>
        <w:adjustRightInd w:val="0"/>
        <w:spacing w:after="0" w:line="240" w:lineRule="auto"/>
        <w:rPr>
          <w:rFonts w:cstheme="minorHAnsi"/>
          <w:sz w:val="21"/>
          <w:szCs w:val="21"/>
        </w:rPr>
      </w:pPr>
      <w:r w:rsidRPr="009B241D">
        <w:rPr>
          <w:rFonts w:cstheme="minorHAnsi"/>
          <w:sz w:val="21"/>
          <w:szCs w:val="21"/>
        </w:rPr>
        <w:t>If a participant moves up to an older age group, answers to the same question continue to be tracked across the different survey forms.</w:t>
      </w:r>
    </w:p>
    <w:p w:rsidR="008E4C41" w:rsidRPr="009B241D" w:rsidRDefault="008E4C41" w:rsidP="008E4C41">
      <w:pPr>
        <w:autoSpaceDE w:val="0"/>
        <w:autoSpaceDN w:val="0"/>
        <w:adjustRightInd w:val="0"/>
        <w:spacing w:after="0" w:line="240" w:lineRule="auto"/>
        <w:rPr>
          <w:rFonts w:cstheme="minorHAnsi"/>
          <w:sz w:val="21"/>
          <w:szCs w:val="21"/>
        </w:rPr>
      </w:pPr>
      <w:r w:rsidRPr="009B241D">
        <w:rPr>
          <w:rFonts w:cstheme="minorHAnsi"/>
          <w:sz w:val="21"/>
          <w:szCs w:val="21"/>
        </w:rPr>
        <w:t>For example, the question “Are you currently working in a paid job?” is asked in two survey forms:</w:t>
      </w:r>
      <w:r w:rsidR="009B241D" w:rsidRPr="009B241D">
        <w:rPr>
          <w:rFonts w:cstheme="minorHAnsi"/>
          <w:sz w:val="21"/>
          <w:szCs w:val="21"/>
        </w:rPr>
        <w:t xml:space="preserve"> </w:t>
      </w:r>
      <w:r w:rsidRPr="009B241D">
        <w:rPr>
          <w:rFonts w:cstheme="minorHAnsi"/>
          <w:sz w:val="21"/>
          <w:szCs w:val="21"/>
        </w:rPr>
        <w:t>age 15 to 24 and age 25+. Suppose a participant answered twice in the 15 to 24 form and three times in the 25+ form (below):</w:t>
      </w:r>
    </w:p>
    <w:p w:rsidR="008E4C41" w:rsidRPr="009B241D" w:rsidRDefault="008E4C41" w:rsidP="008E4C41">
      <w:pPr>
        <w:rPr>
          <w:rFonts w:cstheme="minorHAnsi"/>
          <w:sz w:val="21"/>
          <w:szCs w:val="21"/>
        </w:rPr>
      </w:pPr>
      <w:r w:rsidRPr="009B241D">
        <w:rPr>
          <w:rFonts w:cstheme="minorHAnsi"/>
          <w:sz w:val="21"/>
          <w:szCs w:val="21"/>
        </w:rPr>
        <w:t>Previous annual reports only tracked the participant’s answers in the first form (answers in the second form were not analysed, since the participant did not have a baseline in the second age group).</w:t>
      </w:r>
    </w:p>
    <w:p w:rsidR="008E4C41" w:rsidRPr="009B241D" w:rsidRDefault="008E4C41" w:rsidP="008E4C41">
      <w:pPr>
        <w:rPr>
          <w:rFonts w:cstheme="minorHAnsi"/>
          <w:sz w:val="21"/>
          <w:szCs w:val="21"/>
        </w:rPr>
      </w:pPr>
      <w:r w:rsidRPr="009B241D">
        <w:rPr>
          <w:rFonts w:cstheme="minorHAnsi"/>
          <w:sz w:val="21"/>
          <w:szCs w:val="21"/>
        </w:rPr>
        <w:t>This report tracks the participant’s answers to the same question across both forms. Analysis is by ‘time in Scheme’.</w:t>
      </w:r>
    </w:p>
    <w:p w:rsidR="008E4C41" w:rsidRDefault="008E4C41" w:rsidP="008E4C41">
      <w:pPr>
        <w:rPr>
          <w:rFonts w:ascii="FSMePro" w:hAnsi="FSMePro" w:cs="FSMePro"/>
          <w:sz w:val="21"/>
          <w:szCs w:val="21"/>
        </w:rPr>
      </w:pPr>
    </w:p>
    <w:p w:rsidR="008E4C41" w:rsidRDefault="008E4C41" w:rsidP="008E4C41">
      <w:pPr>
        <w:pStyle w:val="Heading2"/>
      </w:pPr>
      <w:bookmarkStart w:id="93" w:name="_Toc121151465"/>
      <w:r>
        <w:t>Slide 83: Age group transitions</w:t>
      </w:r>
      <w:bookmarkEnd w:id="93"/>
    </w:p>
    <w:p w:rsidR="008E4C41" w:rsidRDefault="008E4C41" w:rsidP="004168FC">
      <w:pPr>
        <w:pStyle w:val="Heading5"/>
      </w:pPr>
      <w:r>
        <w:t>Moving up age groups, questions appearing in older age group</w:t>
      </w:r>
    </w:p>
    <w:p w:rsidR="008E4C41" w:rsidRPr="009B241D" w:rsidRDefault="008E4C41" w:rsidP="007B45D5">
      <w:pPr>
        <w:autoSpaceDE w:val="0"/>
        <w:autoSpaceDN w:val="0"/>
        <w:adjustRightInd w:val="0"/>
        <w:spacing w:after="120" w:line="240" w:lineRule="auto"/>
        <w:rPr>
          <w:rFonts w:cstheme="minorHAnsi"/>
          <w:sz w:val="21"/>
          <w:szCs w:val="21"/>
        </w:rPr>
      </w:pPr>
      <w:r w:rsidRPr="009B241D">
        <w:rPr>
          <w:rFonts w:cstheme="minorHAnsi"/>
          <w:sz w:val="21"/>
          <w:szCs w:val="21"/>
        </w:rPr>
        <w:t xml:space="preserve">If a participant moves up to an older age group, answers to </w:t>
      </w:r>
      <w:r w:rsidRPr="009B241D">
        <w:rPr>
          <w:rFonts w:cstheme="minorHAnsi"/>
          <w:b/>
          <w:bCs/>
          <w:sz w:val="21"/>
          <w:szCs w:val="21"/>
        </w:rPr>
        <w:t xml:space="preserve">questions that are only asked in the older age group </w:t>
      </w:r>
      <w:r w:rsidRPr="009B241D">
        <w:rPr>
          <w:rFonts w:cstheme="minorHAnsi"/>
          <w:sz w:val="21"/>
          <w:szCs w:val="21"/>
        </w:rPr>
        <w:t>start to be tracked in the new survey form.</w:t>
      </w:r>
    </w:p>
    <w:p w:rsidR="008E4C41" w:rsidRPr="009B241D" w:rsidRDefault="008E4C41" w:rsidP="007B45D5">
      <w:pPr>
        <w:autoSpaceDE w:val="0"/>
        <w:autoSpaceDN w:val="0"/>
        <w:adjustRightInd w:val="0"/>
        <w:spacing w:after="120" w:line="240" w:lineRule="auto"/>
        <w:rPr>
          <w:rFonts w:cstheme="minorHAnsi"/>
          <w:sz w:val="21"/>
          <w:szCs w:val="21"/>
        </w:rPr>
      </w:pPr>
      <w:r w:rsidRPr="009B241D">
        <w:rPr>
          <w:rFonts w:cstheme="minorHAnsi"/>
          <w:sz w:val="21"/>
          <w:szCs w:val="21"/>
        </w:rPr>
        <w:t>For example, the question “Do you make more decisions in your life than you did two years ago?” is only asked in the age 15 to 24 survey form. Suppose a participant responded to a survey twice in the starting school to 14 form and three times in the 15 to 24 form (below):</w:t>
      </w:r>
    </w:p>
    <w:p w:rsidR="008E4C41" w:rsidRPr="009B241D" w:rsidRDefault="008E4C41" w:rsidP="007B45D5">
      <w:pPr>
        <w:autoSpaceDE w:val="0"/>
        <w:autoSpaceDN w:val="0"/>
        <w:adjustRightInd w:val="0"/>
        <w:spacing w:after="120" w:line="240" w:lineRule="auto"/>
        <w:rPr>
          <w:rFonts w:cstheme="minorHAnsi"/>
          <w:sz w:val="21"/>
          <w:szCs w:val="21"/>
        </w:rPr>
      </w:pPr>
      <w:r w:rsidRPr="009B241D">
        <w:rPr>
          <w:rFonts w:cstheme="minorHAnsi"/>
          <w:sz w:val="21"/>
          <w:szCs w:val="21"/>
        </w:rPr>
        <w:t>Previously, the participant’s answers to this question were not analysed (since the question is not asked in the first age group, and the participant did not have a baseline in the second age group).</w:t>
      </w:r>
    </w:p>
    <w:p w:rsidR="008E4C41" w:rsidRPr="009B241D" w:rsidRDefault="008E4C41" w:rsidP="007B45D5">
      <w:pPr>
        <w:autoSpaceDE w:val="0"/>
        <w:autoSpaceDN w:val="0"/>
        <w:adjustRightInd w:val="0"/>
        <w:spacing w:after="120" w:line="240" w:lineRule="auto"/>
        <w:rPr>
          <w:rFonts w:cstheme="minorHAnsi"/>
          <w:sz w:val="21"/>
          <w:szCs w:val="21"/>
        </w:rPr>
      </w:pPr>
      <w:r w:rsidRPr="009B241D">
        <w:rPr>
          <w:rFonts w:cstheme="minorHAnsi"/>
          <w:sz w:val="21"/>
          <w:szCs w:val="21"/>
        </w:rPr>
        <w:t>This report tracks the participant’s answers to the question from when they first answer the second form. This is done by “resetting” the baseline at this point, for the purposes of this question. Effectively, this means that the analysis is by “time in age group” rather than “time in Scheme”.</w:t>
      </w:r>
    </w:p>
    <w:p w:rsidR="008E4C41" w:rsidRPr="009B241D" w:rsidRDefault="008E4C41" w:rsidP="007B45D5">
      <w:pPr>
        <w:autoSpaceDE w:val="0"/>
        <w:autoSpaceDN w:val="0"/>
        <w:adjustRightInd w:val="0"/>
        <w:spacing w:after="120" w:line="240" w:lineRule="auto"/>
        <w:rPr>
          <w:rFonts w:cstheme="minorHAnsi"/>
          <w:sz w:val="21"/>
          <w:szCs w:val="21"/>
        </w:rPr>
      </w:pPr>
      <w:r w:rsidRPr="009B241D">
        <w:rPr>
          <w:rFonts w:cstheme="minorHAnsi"/>
          <w:sz w:val="21"/>
          <w:szCs w:val="21"/>
        </w:rPr>
        <w:t>The rationale for this approach is that the question was not relevant for participants in the younger age group, and so the Scheme was not focussed on improving this particular outcome until they moved to the older age group.</w:t>
      </w:r>
    </w:p>
    <w:p w:rsidR="008E4C41" w:rsidRDefault="008E4C41" w:rsidP="008E4C41">
      <w:pPr>
        <w:autoSpaceDE w:val="0"/>
        <w:autoSpaceDN w:val="0"/>
        <w:adjustRightInd w:val="0"/>
        <w:spacing w:after="0" w:line="240" w:lineRule="auto"/>
        <w:rPr>
          <w:rFonts w:ascii="FSMePro-Light" w:hAnsi="FSMePro-Light" w:cs="FSMePro-Light"/>
          <w:sz w:val="21"/>
          <w:szCs w:val="21"/>
        </w:rPr>
      </w:pPr>
    </w:p>
    <w:p w:rsidR="00315247" w:rsidRDefault="00315247" w:rsidP="00315247">
      <w:pPr>
        <w:pStyle w:val="Heading2"/>
      </w:pPr>
      <w:bookmarkStart w:id="94" w:name="_Toc121151466"/>
      <w:r>
        <w:lastRenderedPageBreak/>
        <w:t>Slide 84: Age group transitions</w:t>
      </w:r>
      <w:bookmarkEnd w:id="94"/>
    </w:p>
    <w:p w:rsidR="00315247" w:rsidRDefault="00315247" w:rsidP="004168FC">
      <w:pPr>
        <w:pStyle w:val="Heading5"/>
      </w:pPr>
      <w:r>
        <w:t>Summary by question type</w:t>
      </w:r>
    </w:p>
    <w:p w:rsidR="008E4C41" w:rsidRDefault="00873332" w:rsidP="008E4C41">
      <w:pPr>
        <w:autoSpaceDE w:val="0"/>
        <w:autoSpaceDN w:val="0"/>
        <w:adjustRightInd w:val="0"/>
        <w:spacing w:after="0" w:line="240" w:lineRule="auto"/>
      </w:pPr>
      <w:r w:rsidRPr="00873332">
        <w:t>The table below summarises the types of questions and how they are treated in the analysis.</w:t>
      </w:r>
    </w:p>
    <w:p w:rsidR="00873332" w:rsidRDefault="00873332" w:rsidP="008E4C41">
      <w:pPr>
        <w:autoSpaceDE w:val="0"/>
        <w:autoSpaceDN w:val="0"/>
        <w:adjustRightInd w:val="0"/>
        <w:spacing w:after="0" w:line="240" w:lineRule="auto"/>
      </w:pPr>
    </w:p>
    <w:tbl>
      <w:tblPr>
        <w:tblW w:w="9880" w:type="dxa"/>
        <w:tblLook w:val="04A0" w:firstRow="1" w:lastRow="0" w:firstColumn="1" w:lastColumn="0" w:noHBand="0" w:noVBand="1"/>
      </w:tblPr>
      <w:tblGrid>
        <w:gridCol w:w="1576"/>
        <w:gridCol w:w="890"/>
        <w:gridCol w:w="897"/>
        <w:gridCol w:w="1005"/>
        <w:gridCol w:w="969"/>
        <w:gridCol w:w="897"/>
        <w:gridCol w:w="1205"/>
        <w:gridCol w:w="1276"/>
        <w:gridCol w:w="1165"/>
      </w:tblGrid>
      <w:tr w:rsidR="009C3A4D" w:rsidRPr="009C3A4D" w:rsidTr="009C3A4D">
        <w:trPr>
          <w:trHeight w:val="1455"/>
        </w:trPr>
        <w:tc>
          <w:tcPr>
            <w:tcW w:w="2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3A4D" w:rsidRPr="009C3A4D" w:rsidRDefault="009C3A4D" w:rsidP="009C3A4D">
            <w:pPr>
              <w:spacing w:after="0" w:line="240" w:lineRule="auto"/>
              <w:rPr>
                <w:rFonts w:ascii="Calibri" w:eastAsia="Times New Roman" w:hAnsi="Calibri" w:cs="Calibri"/>
                <w:b/>
                <w:bCs/>
                <w:color w:val="000000"/>
                <w:sz w:val="20"/>
                <w:szCs w:val="20"/>
                <w:lang w:eastAsia="en-AU"/>
              </w:rPr>
            </w:pPr>
            <w:r w:rsidRPr="009C3A4D">
              <w:rPr>
                <w:rFonts w:ascii="Calibri" w:eastAsia="Times New Roman" w:hAnsi="Calibri" w:cs="Calibri"/>
                <w:b/>
                <w:bCs/>
                <w:color w:val="000000"/>
                <w:sz w:val="20"/>
                <w:szCs w:val="20"/>
                <w:lang w:eastAsia="en-AU"/>
              </w:rPr>
              <w:t>Example question</w:t>
            </w:r>
          </w:p>
        </w:tc>
        <w:tc>
          <w:tcPr>
            <w:tcW w:w="704" w:type="dxa"/>
            <w:tcBorders>
              <w:top w:val="single" w:sz="4" w:space="0" w:color="auto"/>
              <w:left w:val="nil"/>
              <w:bottom w:val="single" w:sz="4" w:space="0" w:color="auto"/>
              <w:right w:val="single" w:sz="4" w:space="0" w:color="auto"/>
            </w:tcBorders>
            <w:shd w:val="clear" w:color="auto" w:fill="auto"/>
            <w:vAlign w:val="bottom"/>
            <w:hideMark/>
          </w:tcPr>
          <w:p w:rsidR="009C3A4D" w:rsidRPr="009C3A4D" w:rsidRDefault="009C3A4D" w:rsidP="009C3A4D">
            <w:pPr>
              <w:spacing w:after="0" w:line="240" w:lineRule="auto"/>
              <w:jc w:val="center"/>
              <w:rPr>
                <w:rFonts w:ascii="Calibri" w:eastAsia="Times New Roman" w:hAnsi="Calibri" w:cs="Calibri"/>
                <w:b/>
                <w:bCs/>
                <w:color w:val="000000"/>
                <w:sz w:val="20"/>
                <w:szCs w:val="20"/>
                <w:lang w:eastAsia="en-AU"/>
              </w:rPr>
            </w:pPr>
            <w:r w:rsidRPr="009C3A4D">
              <w:rPr>
                <w:rFonts w:ascii="Calibri" w:eastAsia="Times New Roman" w:hAnsi="Calibri" w:cs="Calibri"/>
                <w:b/>
                <w:bCs/>
                <w:color w:val="000000"/>
                <w:sz w:val="20"/>
                <w:szCs w:val="20"/>
                <w:lang w:eastAsia="en-AU"/>
              </w:rPr>
              <w:t>P0toSS*</w:t>
            </w:r>
          </w:p>
        </w:tc>
        <w:tc>
          <w:tcPr>
            <w:tcW w:w="711" w:type="dxa"/>
            <w:tcBorders>
              <w:top w:val="single" w:sz="4" w:space="0" w:color="auto"/>
              <w:left w:val="nil"/>
              <w:bottom w:val="single" w:sz="4" w:space="0" w:color="auto"/>
              <w:right w:val="single" w:sz="4" w:space="0" w:color="auto"/>
            </w:tcBorders>
            <w:shd w:val="clear" w:color="auto" w:fill="auto"/>
            <w:vAlign w:val="bottom"/>
            <w:hideMark/>
          </w:tcPr>
          <w:p w:rsidR="009C3A4D" w:rsidRPr="009C3A4D" w:rsidRDefault="009C3A4D" w:rsidP="009C3A4D">
            <w:pPr>
              <w:spacing w:after="0" w:line="240" w:lineRule="auto"/>
              <w:jc w:val="center"/>
              <w:rPr>
                <w:rFonts w:ascii="Calibri" w:eastAsia="Times New Roman" w:hAnsi="Calibri" w:cs="Calibri"/>
                <w:b/>
                <w:bCs/>
                <w:color w:val="000000"/>
                <w:sz w:val="20"/>
                <w:szCs w:val="20"/>
                <w:lang w:eastAsia="en-AU"/>
              </w:rPr>
            </w:pPr>
            <w:r w:rsidRPr="009C3A4D">
              <w:rPr>
                <w:rFonts w:ascii="Calibri" w:eastAsia="Times New Roman" w:hAnsi="Calibri" w:cs="Calibri"/>
                <w:b/>
                <w:bCs/>
                <w:color w:val="000000"/>
                <w:sz w:val="20"/>
                <w:szCs w:val="20"/>
                <w:lang w:eastAsia="en-AU"/>
              </w:rPr>
              <w:t>PSto14*</w:t>
            </w:r>
          </w:p>
        </w:tc>
        <w:tc>
          <w:tcPr>
            <w:tcW w:w="819" w:type="dxa"/>
            <w:tcBorders>
              <w:top w:val="single" w:sz="4" w:space="0" w:color="auto"/>
              <w:left w:val="nil"/>
              <w:bottom w:val="single" w:sz="4" w:space="0" w:color="auto"/>
              <w:right w:val="single" w:sz="4" w:space="0" w:color="auto"/>
            </w:tcBorders>
            <w:shd w:val="clear" w:color="auto" w:fill="auto"/>
            <w:vAlign w:val="bottom"/>
            <w:hideMark/>
          </w:tcPr>
          <w:p w:rsidR="009C3A4D" w:rsidRPr="009C3A4D" w:rsidRDefault="009C3A4D" w:rsidP="009C3A4D">
            <w:pPr>
              <w:spacing w:after="0" w:line="240" w:lineRule="auto"/>
              <w:jc w:val="center"/>
              <w:rPr>
                <w:rFonts w:ascii="Calibri" w:eastAsia="Times New Roman" w:hAnsi="Calibri" w:cs="Calibri"/>
                <w:b/>
                <w:bCs/>
                <w:color w:val="000000"/>
                <w:sz w:val="20"/>
                <w:szCs w:val="20"/>
                <w:lang w:eastAsia="en-AU"/>
              </w:rPr>
            </w:pPr>
            <w:r w:rsidRPr="009C3A4D">
              <w:rPr>
                <w:rFonts w:ascii="Calibri" w:eastAsia="Times New Roman" w:hAnsi="Calibri" w:cs="Calibri"/>
                <w:b/>
                <w:bCs/>
                <w:color w:val="000000"/>
                <w:sz w:val="20"/>
                <w:szCs w:val="20"/>
                <w:lang w:eastAsia="en-AU"/>
              </w:rPr>
              <w:t>P15to24*</w:t>
            </w:r>
          </w:p>
        </w:tc>
        <w:tc>
          <w:tcPr>
            <w:tcW w:w="783" w:type="dxa"/>
            <w:tcBorders>
              <w:top w:val="single" w:sz="4" w:space="0" w:color="auto"/>
              <w:left w:val="nil"/>
              <w:bottom w:val="single" w:sz="4" w:space="0" w:color="auto"/>
              <w:right w:val="single" w:sz="4" w:space="0" w:color="auto"/>
            </w:tcBorders>
            <w:shd w:val="clear" w:color="auto" w:fill="auto"/>
            <w:vAlign w:val="bottom"/>
            <w:hideMark/>
          </w:tcPr>
          <w:p w:rsidR="009C3A4D" w:rsidRPr="009C3A4D" w:rsidRDefault="009C3A4D" w:rsidP="009C3A4D">
            <w:pPr>
              <w:spacing w:after="0" w:line="240" w:lineRule="auto"/>
              <w:jc w:val="center"/>
              <w:rPr>
                <w:rFonts w:ascii="Calibri" w:eastAsia="Times New Roman" w:hAnsi="Calibri" w:cs="Calibri"/>
                <w:b/>
                <w:bCs/>
                <w:color w:val="000000"/>
                <w:sz w:val="20"/>
                <w:szCs w:val="20"/>
                <w:lang w:eastAsia="en-AU"/>
              </w:rPr>
            </w:pPr>
            <w:r w:rsidRPr="009C3A4D">
              <w:rPr>
                <w:rFonts w:ascii="Calibri" w:eastAsia="Times New Roman" w:hAnsi="Calibri" w:cs="Calibri"/>
                <w:b/>
                <w:bCs/>
                <w:color w:val="000000"/>
                <w:sz w:val="20"/>
                <w:szCs w:val="20"/>
                <w:lang w:eastAsia="en-AU"/>
              </w:rPr>
              <w:t>P25plus*</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9C3A4D" w:rsidRPr="009C3A4D" w:rsidRDefault="009C3A4D" w:rsidP="009C3A4D">
            <w:pPr>
              <w:spacing w:after="0" w:line="240" w:lineRule="auto"/>
              <w:jc w:val="center"/>
              <w:rPr>
                <w:rFonts w:ascii="Calibri" w:eastAsia="Times New Roman" w:hAnsi="Calibri" w:cs="Calibri"/>
                <w:b/>
                <w:bCs/>
                <w:color w:val="000000"/>
                <w:sz w:val="20"/>
                <w:szCs w:val="20"/>
                <w:lang w:eastAsia="en-AU"/>
              </w:rPr>
            </w:pPr>
            <w:r w:rsidRPr="009C3A4D">
              <w:rPr>
                <w:rFonts w:ascii="Calibri" w:eastAsia="Times New Roman" w:hAnsi="Calibri" w:cs="Calibri"/>
                <w:b/>
                <w:bCs/>
                <w:color w:val="000000"/>
                <w:sz w:val="20"/>
                <w:szCs w:val="20"/>
                <w:lang w:eastAsia="en-AU"/>
              </w:rPr>
              <w:t>Number of age groups</w:t>
            </w:r>
          </w:p>
        </w:tc>
        <w:tc>
          <w:tcPr>
            <w:tcW w:w="1019" w:type="dxa"/>
            <w:tcBorders>
              <w:top w:val="single" w:sz="4" w:space="0" w:color="auto"/>
              <w:left w:val="nil"/>
              <w:bottom w:val="single" w:sz="4" w:space="0" w:color="auto"/>
              <w:right w:val="single" w:sz="4" w:space="0" w:color="auto"/>
            </w:tcBorders>
            <w:shd w:val="clear" w:color="auto" w:fill="auto"/>
            <w:vAlign w:val="bottom"/>
            <w:hideMark/>
          </w:tcPr>
          <w:p w:rsidR="009C3A4D" w:rsidRPr="009C3A4D" w:rsidRDefault="009C3A4D" w:rsidP="009C3A4D">
            <w:pPr>
              <w:spacing w:after="0" w:line="240" w:lineRule="auto"/>
              <w:jc w:val="center"/>
              <w:rPr>
                <w:rFonts w:ascii="Calibri" w:eastAsia="Times New Roman" w:hAnsi="Calibri" w:cs="Calibri"/>
                <w:b/>
                <w:bCs/>
                <w:color w:val="000000"/>
                <w:sz w:val="20"/>
                <w:szCs w:val="20"/>
                <w:lang w:eastAsia="en-AU"/>
              </w:rPr>
            </w:pPr>
            <w:r w:rsidRPr="009C3A4D">
              <w:rPr>
                <w:rFonts w:ascii="Calibri" w:eastAsia="Times New Roman" w:hAnsi="Calibri" w:cs="Calibri"/>
                <w:b/>
                <w:bCs/>
                <w:color w:val="000000"/>
                <w:sz w:val="20"/>
                <w:szCs w:val="20"/>
                <w:lang w:eastAsia="en-AU"/>
              </w:rPr>
              <w:t>Types of question</w:t>
            </w:r>
          </w:p>
        </w:tc>
        <w:tc>
          <w:tcPr>
            <w:tcW w:w="1128" w:type="dxa"/>
            <w:tcBorders>
              <w:top w:val="single" w:sz="4" w:space="0" w:color="auto"/>
              <w:left w:val="nil"/>
              <w:bottom w:val="single" w:sz="4" w:space="0" w:color="auto"/>
              <w:right w:val="single" w:sz="4" w:space="0" w:color="auto"/>
            </w:tcBorders>
            <w:shd w:val="clear" w:color="auto" w:fill="auto"/>
            <w:vAlign w:val="bottom"/>
            <w:hideMark/>
          </w:tcPr>
          <w:p w:rsidR="009C3A4D" w:rsidRPr="009C3A4D" w:rsidRDefault="009C3A4D" w:rsidP="009C3A4D">
            <w:pPr>
              <w:spacing w:after="0" w:line="240" w:lineRule="auto"/>
              <w:jc w:val="center"/>
              <w:rPr>
                <w:rFonts w:ascii="Calibri" w:eastAsia="Times New Roman" w:hAnsi="Calibri" w:cs="Calibri"/>
                <w:b/>
                <w:bCs/>
                <w:color w:val="000000"/>
                <w:sz w:val="20"/>
                <w:szCs w:val="20"/>
                <w:lang w:eastAsia="en-AU"/>
              </w:rPr>
            </w:pPr>
            <w:r w:rsidRPr="009C3A4D">
              <w:rPr>
                <w:rFonts w:ascii="Calibri" w:eastAsia="Times New Roman" w:hAnsi="Calibri" w:cs="Calibri"/>
                <w:b/>
                <w:bCs/>
                <w:color w:val="000000"/>
                <w:sz w:val="20"/>
                <w:szCs w:val="20"/>
                <w:lang w:eastAsia="en-AU"/>
              </w:rPr>
              <w:t>Age group transitioning up**</w:t>
            </w:r>
          </w:p>
        </w:tc>
        <w:tc>
          <w:tcPr>
            <w:tcW w:w="1497" w:type="dxa"/>
            <w:tcBorders>
              <w:top w:val="single" w:sz="4" w:space="0" w:color="auto"/>
              <w:left w:val="nil"/>
              <w:bottom w:val="single" w:sz="4" w:space="0" w:color="auto"/>
              <w:right w:val="single" w:sz="4" w:space="0" w:color="auto"/>
            </w:tcBorders>
            <w:shd w:val="clear" w:color="auto" w:fill="auto"/>
            <w:vAlign w:val="bottom"/>
            <w:hideMark/>
          </w:tcPr>
          <w:p w:rsidR="009C3A4D" w:rsidRPr="009C3A4D" w:rsidRDefault="009C3A4D" w:rsidP="009C3A4D">
            <w:pPr>
              <w:spacing w:after="0" w:line="240" w:lineRule="auto"/>
              <w:jc w:val="center"/>
              <w:rPr>
                <w:rFonts w:ascii="Calibri" w:eastAsia="Times New Roman" w:hAnsi="Calibri" w:cs="Calibri"/>
                <w:b/>
                <w:bCs/>
                <w:color w:val="000000"/>
                <w:sz w:val="20"/>
                <w:szCs w:val="20"/>
                <w:lang w:eastAsia="en-AU"/>
              </w:rPr>
            </w:pPr>
            <w:r w:rsidRPr="009C3A4D">
              <w:rPr>
                <w:rFonts w:ascii="Calibri" w:eastAsia="Times New Roman" w:hAnsi="Calibri" w:cs="Calibri"/>
                <w:b/>
                <w:bCs/>
                <w:color w:val="000000"/>
                <w:sz w:val="20"/>
                <w:szCs w:val="20"/>
                <w:lang w:eastAsia="en-AU"/>
              </w:rPr>
              <w:t>Treatment in the analysis</w:t>
            </w:r>
          </w:p>
        </w:tc>
      </w:tr>
      <w:tr w:rsidR="009C3A4D" w:rsidRPr="009C3A4D" w:rsidTr="009C3A4D">
        <w:trPr>
          <w:trHeight w:val="1265"/>
        </w:trPr>
        <w:tc>
          <w:tcPr>
            <w:tcW w:w="2379" w:type="dxa"/>
            <w:tcBorders>
              <w:top w:val="nil"/>
              <w:left w:val="single" w:sz="4" w:space="0" w:color="auto"/>
              <w:bottom w:val="single" w:sz="4" w:space="0" w:color="auto"/>
              <w:right w:val="single" w:sz="4" w:space="0" w:color="auto"/>
            </w:tcBorders>
            <w:shd w:val="clear" w:color="auto" w:fill="auto"/>
            <w:vAlign w:val="bottom"/>
            <w:hideMark/>
          </w:tcPr>
          <w:p w:rsidR="009C3A4D" w:rsidRPr="009C3A4D" w:rsidRDefault="009C3A4D" w:rsidP="009C3A4D">
            <w:pPr>
              <w:spacing w:after="0" w:line="240" w:lineRule="auto"/>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My child is able to tell me what he/she wants</w:t>
            </w:r>
          </w:p>
        </w:tc>
        <w:tc>
          <w:tcPr>
            <w:tcW w:w="704" w:type="dxa"/>
            <w:tcBorders>
              <w:top w:val="nil"/>
              <w:left w:val="nil"/>
              <w:bottom w:val="single" w:sz="4" w:space="0" w:color="auto"/>
              <w:right w:val="single" w:sz="4" w:space="0" w:color="auto"/>
            </w:tcBorders>
            <w:shd w:val="clear" w:color="auto" w:fill="auto"/>
            <w:noWrap/>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1</w:t>
            </w:r>
          </w:p>
        </w:tc>
        <w:tc>
          <w:tcPr>
            <w:tcW w:w="711" w:type="dxa"/>
            <w:tcBorders>
              <w:top w:val="nil"/>
              <w:left w:val="nil"/>
              <w:bottom w:val="single" w:sz="4" w:space="0" w:color="auto"/>
              <w:right w:val="single" w:sz="4" w:space="0" w:color="auto"/>
            </w:tcBorders>
            <w:shd w:val="clear" w:color="auto" w:fill="auto"/>
            <w:noWrap/>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0</w:t>
            </w:r>
          </w:p>
        </w:tc>
        <w:tc>
          <w:tcPr>
            <w:tcW w:w="819" w:type="dxa"/>
            <w:tcBorders>
              <w:top w:val="nil"/>
              <w:left w:val="nil"/>
              <w:bottom w:val="single" w:sz="4" w:space="0" w:color="auto"/>
              <w:right w:val="single" w:sz="4" w:space="0" w:color="auto"/>
            </w:tcBorders>
            <w:shd w:val="clear" w:color="auto" w:fill="auto"/>
            <w:noWrap/>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0</w:t>
            </w:r>
          </w:p>
        </w:tc>
        <w:tc>
          <w:tcPr>
            <w:tcW w:w="783" w:type="dxa"/>
            <w:tcBorders>
              <w:top w:val="nil"/>
              <w:left w:val="nil"/>
              <w:bottom w:val="single" w:sz="4" w:space="0" w:color="auto"/>
              <w:right w:val="single" w:sz="4" w:space="0" w:color="auto"/>
            </w:tcBorders>
            <w:shd w:val="clear" w:color="auto" w:fill="auto"/>
            <w:noWrap/>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0</w:t>
            </w:r>
          </w:p>
        </w:tc>
        <w:tc>
          <w:tcPr>
            <w:tcW w:w="840" w:type="dxa"/>
            <w:tcBorders>
              <w:top w:val="nil"/>
              <w:left w:val="nil"/>
              <w:bottom w:val="single" w:sz="4" w:space="0" w:color="auto"/>
              <w:right w:val="single" w:sz="4" w:space="0" w:color="auto"/>
            </w:tcBorders>
            <w:shd w:val="clear" w:color="auto" w:fill="auto"/>
            <w:noWrap/>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1</w:t>
            </w:r>
          </w:p>
        </w:tc>
        <w:tc>
          <w:tcPr>
            <w:tcW w:w="1019" w:type="dxa"/>
            <w:tcBorders>
              <w:top w:val="nil"/>
              <w:left w:val="nil"/>
              <w:bottom w:val="single" w:sz="4" w:space="0" w:color="auto"/>
              <w:right w:val="single" w:sz="4" w:space="0" w:color="auto"/>
            </w:tcBorders>
            <w:shd w:val="clear" w:color="auto" w:fill="auto"/>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Non-overlapping</w:t>
            </w:r>
          </w:p>
        </w:tc>
        <w:tc>
          <w:tcPr>
            <w:tcW w:w="1128" w:type="dxa"/>
            <w:tcBorders>
              <w:top w:val="nil"/>
              <w:left w:val="nil"/>
              <w:bottom w:val="single" w:sz="4" w:space="0" w:color="auto"/>
              <w:right w:val="single" w:sz="4" w:space="0" w:color="auto"/>
            </w:tcBorders>
            <w:shd w:val="clear" w:color="auto" w:fill="auto"/>
            <w:noWrap/>
            <w:vAlign w:val="center"/>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w:t>
            </w:r>
          </w:p>
        </w:tc>
        <w:tc>
          <w:tcPr>
            <w:tcW w:w="1497" w:type="dxa"/>
            <w:tcBorders>
              <w:top w:val="nil"/>
              <w:left w:val="nil"/>
              <w:bottom w:val="single" w:sz="4" w:space="0" w:color="auto"/>
              <w:right w:val="single" w:sz="4" w:space="0" w:color="auto"/>
            </w:tcBorders>
            <w:shd w:val="clear" w:color="auto" w:fill="auto"/>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Single group, by time in Scheme</w:t>
            </w:r>
          </w:p>
        </w:tc>
      </w:tr>
      <w:tr w:rsidR="009C3A4D" w:rsidRPr="009C3A4D" w:rsidTr="009C3A4D">
        <w:trPr>
          <w:trHeight w:val="1269"/>
        </w:trPr>
        <w:tc>
          <w:tcPr>
            <w:tcW w:w="2379" w:type="dxa"/>
            <w:tcBorders>
              <w:top w:val="nil"/>
              <w:left w:val="single" w:sz="4" w:space="0" w:color="auto"/>
              <w:bottom w:val="single" w:sz="4" w:space="0" w:color="auto"/>
              <w:right w:val="single" w:sz="4" w:space="0" w:color="auto"/>
            </w:tcBorders>
            <w:shd w:val="clear" w:color="auto" w:fill="auto"/>
            <w:vAlign w:val="bottom"/>
            <w:hideMark/>
          </w:tcPr>
          <w:p w:rsidR="009C3A4D" w:rsidRPr="009C3A4D" w:rsidRDefault="009C3A4D" w:rsidP="009C3A4D">
            <w:pPr>
              <w:spacing w:after="0" w:line="240" w:lineRule="auto"/>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My child can make friends with people outside the family</w:t>
            </w:r>
          </w:p>
        </w:tc>
        <w:tc>
          <w:tcPr>
            <w:tcW w:w="704" w:type="dxa"/>
            <w:tcBorders>
              <w:top w:val="nil"/>
              <w:left w:val="nil"/>
              <w:bottom w:val="single" w:sz="4" w:space="0" w:color="auto"/>
              <w:right w:val="single" w:sz="4" w:space="0" w:color="auto"/>
            </w:tcBorders>
            <w:shd w:val="clear" w:color="auto" w:fill="auto"/>
            <w:noWrap/>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1</w:t>
            </w:r>
          </w:p>
        </w:tc>
        <w:tc>
          <w:tcPr>
            <w:tcW w:w="711" w:type="dxa"/>
            <w:tcBorders>
              <w:top w:val="nil"/>
              <w:left w:val="nil"/>
              <w:bottom w:val="single" w:sz="4" w:space="0" w:color="auto"/>
              <w:right w:val="single" w:sz="4" w:space="0" w:color="auto"/>
            </w:tcBorders>
            <w:shd w:val="clear" w:color="auto" w:fill="auto"/>
            <w:noWrap/>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1</w:t>
            </w:r>
          </w:p>
        </w:tc>
        <w:tc>
          <w:tcPr>
            <w:tcW w:w="819" w:type="dxa"/>
            <w:tcBorders>
              <w:top w:val="nil"/>
              <w:left w:val="nil"/>
              <w:bottom w:val="single" w:sz="4" w:space="0" w:color="auto"/>
              <w:right w:val="single" w:sz="4" w:space="0" w:color="auto"/>
            </w:tcBorders>
            <w:shd w:val="clear" w:color="auto" w:fill="auto"/>
            <w:noWrap/>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0</w:t>
            </w:r>
          </w:p>
        </w:tc>
        <w:tc>
          <w:tcPr>
            <w:tcW w:w="783" w:type="dxa"/>
            <w:tcBorders>
              <w:top w:val="nil"/>
              <w:left w:val="nil"/>
              <w:bottom w:val="single" w:sz="4" w:space="0" w:color="auto"/>
              <w:right w:val="single" w:sz="4" w:space="0" w:color="auto"/>
            </w:tcBorders>
            <w:shd w:val="clear" w:color="auto" w:fill="auto"/>
            <w:noWrap/>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0</w:t>
            </w:r>
          </w:p>
        </w:tc>
        <w:tc>
          <w:tcPr>
            <w:tcW w:w="840" w:type="dxa"/>
            <w:tcBorders>
              <w:top w:val="nil"/>
              <w:left w:val="nil"/>
              <w:bottom w:val="single" w:sz="4" w:space="0" w:color="auto"/>
              <w:right w:val="single" w:sz="4" w:space="0" w:color="auto"/>
            </w:tcBorders>
            <w:shd w:val="clear" w:color="auto" w:fill="auto"/>
            <w:noWrap/>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2</w:t>
            </w:r>
          </w:p>
        </w:tc>
        <w:tc>
          <w:tcPr>
            <w:tcW w:w="1019" w:type="dxa"/>
            <w:tcBorders>
              <w:top w:val="nil"/>
              <w:left w:val="nil"/>
              <w:bottom w:val="single" w:sz="4" w:space="0" w:color="auto"/>
              <w:right w:val="single" w:sz="4" w:space="0" w:color="auto"/>
            </w:tcBorders>
            <w:shd w:val="clear" w:color="auto" w:fill="auto"/>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Overlapping</w:t>
            </w:r>
          </w:p>
        </w:tc>
        <w:tc>
          <w:tcPr>
            <w:tcW w:w="1128" w:type="dxa"/>
            <w:tcBorders>
              <w:top w:val="nil"/>
              <w:left w:val="nil"/>
              <w:bottom w:val="single" w:sz="4" w:space="0" w:color="auto"/>
              <w:right w:val="single" w:sz="4" w:space="0" w:color="auto"/>
            </w:tcBorders>
            <w:shd w:val="clear" w:color="auto" w:fill="auto"/>
            <w:noWrap/>
            <w:vAlign w:val="center"/>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w:t>
            </w:r>
          </w:p>
        </w:tc>
        <w:tc>
          <w:tcPr>
            <w:tcW w:w="1497" w:type="dxa"/>
            <w:tcBorders>
              <w:top w:val="nil"/>
              <w:left w:val="nil"/>
              <w:bottom w:val="single" w:sz="4" w:space="0" w:color="auto"/>
              <w:right w:val="single" w:sz="4" w:space="0" w:color="auto"/>
            </w:tcBorders>
            <w:shd w:val="clear" w:color="auto" w:fill="auto"/>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Combined group, by time in Scheme</w:t>
            </w:r>
          </w:p>
        </w:tc>
      </w:tr>
      <w:tr w:rsidR="009C3A4D" w:rsidRPr="009C3A4D" w:rsidTr="009C3A4D">
        <w:trPr>
          <w:trHeight w:val="1259"/>
        </w:trPr>
        <w:tc>
          <w:tcPr>
            <w:tcW w:w="2379" w:type="dxa"/>
            <w:tcBorders>
              <w:top w:val="nil"/>
              <w:left w:val="single" w:sz="4" w:space="0" w:color="auto"/>
              <w:bottom w:val="single" w:sz="4" w:space="0" w:color="auto"/>
              <w:right w:val="single" w:sz="4" w:space="0" w:color="auto"/>
            </w:tcBorders>
            <w:shd w:val="clear" w:color="auto" w:fill="auto"/>
            <w:vAlign w:val="bottom"/>
            <w:hideMark/>
          </w:tcPr>
          <w:p w:rsidR="009C3A4D" w:rsidRPr="009C3A4D" w:rsidRDefault="009C3A4D" w:rsidP="009C3A4D">
            <w:pPr>
              <w:spacing w:after="0" w:line="240" w:lineRule="auto"/>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My child is becoming more independent</w:t>
            </w:r>
          </w:p>
        </w:tc>
        <w:tc>
          <w:tcPr>
            <w:tcW w:w="704" w:type="dxa"/>
            <w:tcBorders>
              <w:top w:val="nil"/>
              <w:left w:val="nil"/>
              <w:bottom w:val="single" w:sz="4" w:space="0" w:color="auto"/>
              <w:right w:val="single" w:sz="4" w:space="0" w:color="auto"/>
            </w:tcBorders>
            <w:shd w:val="clear" w:color="auto" w:fill="auto"/>
            <w:noWrap/>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0</w:t>
            </w:r>
          </w:p>
        </w:tc>
        <w:tc>
          <w:tcPr>
            <w:tcW w:w="711" w:type="dxa"/>
            <w:tcBorders>
              <w:top w:val="nil"/>
              <w:left w:val="nil"/>
              <w:bottom w:val="single" w:sz="4" w:space="0" w:color="auto"/>
              <w:right w:val="single" w:sz="4" w:space="0" w:color="auto"/>
            </w:tcBorders>
            <w:shd w:val="clear" w:color="auto" w:fill="auto"/>
            <w:noWrap/>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1</w:t>
            </w:r>
          </w:p>
        </w:tc>
        <w:tc>
          <w:tcPr>
            <w:tcW w:w="819" w:type="dxa"/>
            <w:tcBorders>
              <w:top w:val="nil"/>
              <w:left w:val="nil"/>
              <w:bottom w:val="single" w:sz="4" w:space="0" w:color="auto"/>
              <w:right w:val="single" w:sz="4" w:space="0" w:color="auto"/>
            </w:tcBorders>
            <w:shd w:val="clear" w:color="auto" w:fill="auto"/>
            <w:noWrap/>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0</w:t>
            </w:r>
          </w:p>
        </w:tc>
        <w:tc>
          <w:tcPr>
            <w:tcW w:w="783" w:type="dxa"/>
            <w:tcBorders>
              <w:top w:val="nil"/>
              <w:left w:val="nil"/>
              <w:bottom w:val="single" w:sz="4" w:space="0" w:color="auto"/>
              <w:right w:val="single" w:sz="4" w:space="0" w:color="auto"/>
            </w:tcBorders>
            <w:shd w:val="clear" w:color="auto" w:fill="auto"/>
            <w:noWrap/>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0</w:t>
            </w:r>
          </w:p>
        </w:tc>
        <w:tc>
          <w:tcPr>
            <w:tcW w:w="840" w:type="dxa"/>
            <w:tcBorders>
              <w:top w:val="nil"/>
              <w:left w:val="nil"/>
              <w:bottom w:val="single" w:sz="4" w:space="0" w:color="auto"/>
              <w:right w:val="single" w:sz="4" w:space="0" w:color="auto"/>
            </w:tcBorders>
            <w:shd w:val="clear" w:color="auto" w:fill="auto"/>
            <w:noWrap/>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1</w:t>
            </w:r>
          </w:p>
        </w:tc>
        <w:tc>
          <w:tcPr>
            <w:tcW w:w="1019" w:type="dxa"/>
            <w:tcBorders>
              <w:top w:val="nil"/>
              <w:left w:val="nil"/>
              <w:bottom w:val="single" w:sz="4" w:space="0" w:color="auto"/>
              <w:right w:val="single" w:sz="4" w:space="0" w:color="auto"/>
            </w:tcBorders>
            <w:shd w:val="clear" w:color="auto" w:fill="auto"/>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Non-overlapping</w:t>
            </w:r>
          </w:p>
        </w:tc>
        <w:tc>
          <w:tcPr>
            <w:tcW w:w="1128" w:type="dxa"/>
            <w:tcBorders>
              <w:top w:val="nil"/>
              <w:left w:val="nil"/>
              <w:bottom w:val="single" w:sz="4" w:space="0" w:color="auto"/>
              <w:right w:val="single" w:sz="4" w:space="0" w:color="auto"/>
            </w:tcBorders>
            <w:shd w:val="clear" w:color="auto" w:fill="auto"/>
            <w:noWrap/>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P0toSS</w:t>
            </w:r>
          </w:p>
        </w:tc>
        <w:tc>
          <w:tcPr>
            <w:tcW w:w="1497" w:type="dxa"/>
            <w:tcBorders>
              <w:top w:val="nil"/>
              <w:left w:val="nil"/>
              <w:bottom w:val="single" w:sz="4" w:space="0" w:color="auto"/>
              <w:right w:val="single" w:sz="4" w:space="0" w:color="auto"/>
            </w:tcBorders>
            <w:shd w:val="clear" w:color="auto" w:fill="auto"/>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Analyse by time since first in PSto14</w:t>
            </w:r>
          </w:p>
        </w:tc>
      </w:tr>
      <w:tr w:rsidR="009C3A4D" w:rsidRPr="009C3A4D" w:rsidTr="009C3A4D">
        <w:trPr>
          <w:trHeight w:val="1555"/>
        </w:trPr>
        <w:tc>
          <w:tcPr>
            <w:tcW w:w="2379" w:type="dxa"/>
            <w:tcBorders>
              <w:top w:val="nil"/>
              <w:left w:val="single" w:sz="4" w:space="0" w:color="auto"/>
              <w:bottom w:val="single" w:sz="4" w:space="0" w:color="auto"/>
              <w:right w:val="single" w:sz="4" w:space="0" w:color="auto"/>
            </w:tcBorders>
            <w:shd w:val="clear" w:color="auto" w:fill="auto"/>
            <w:vAlign w:val="bottom"/>
            <w:hideMark/>
          </w:tcPr>
          <w:p w:rsidR="009C3A4D" w:rsidRPr="009C3A4D" w:rsidRDefault="009C3A4D" w:rsidP="009C3A4D">
            <w:pPr>
              <w:spacing w:after="0" w:line="240" w:lineRule="auto"/>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At school, are you/were you actively included in the following co-curricular activities?</w:t>
            </w:r>
          </w:p>
        </w:tc>
        <w:tc>
          <w:tcPr>
            <w:tcW w:w="704" w:type="dxa"/>
            <w:tcBorders>
              <w:top w:val="nil"/>
              <w:left w:val="nil"/>
              <w:bottom w:val="single" w:sz="4" w:space="0" w:color="auto"/>
              <w:right w:val="single" w:sz="4" w:space="0" w:color="auto"/>
            </w:tcBorders>
            <w:shd w:val="clear" w:color="auto" w:fill="auto"/>
            <w:noWrap/>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0</w:t>
            </w:r>
          </w:p>
        </w:tc>
        <w:tc>
          <w:tcPr>
            <w:tcW w:w="711" w:type="dxa"/>
            <w:tcBorders>
              <w:top w:val="nil"/>
              <w:left w:val="nil"/>
              <w:bottom w:val="single" w:sz="4" w:space="0" w:color="auto"/>
              <w:right w:val="single" w:sz="4" w:space="0" w:color="auto"/>
            </w:tcBorders>
            <w:shd w:val="clear" w:color="auto" w:fill="auto"/>
            <w:noWrap/>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0</w:t>
            </w:r>
          </w:p>
        </w:tc>
        <w:tc>
          <w:tcPr>
            <w:tcW w:w="819" w:type="dxa"/>
            <w:tcBorders>
              <w:top w:val="nil"/>
              <w:left w:val="nil"/>
              <w:bottom w:val="single" w:sz="4" w:space="0" w:color="auto"/>
              <w:right w:val="single" w:sz="4" w:space="0" w:color="auto"/>
            </w:tcBorders>
            <w:shd w:val="clear" w:color="auto" w:fill="auto"/>
            <w:noWrap/>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1</w:t>
            </w:r>
          </w:p>
        </w:tc>
        <w:tc>
          <w:tcPr>
            <w:tcW w:w="783" w:type="dxa"/>
            <w:tcBorders>
              <w:top w:val="nil"/>
              <w:left w:val="nil"/>
              <w:bottom w:val="single" w:sz="4" w:space="0" w:color="auto"/>
              <w:right w:val="single" w:sz="4" w:space="0" w:color="auto"/>
            </w:tcBorders>
            <w:shd w:val="clear" w:color="auto" w:fill="auto"/>
            <w:noWrap/>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0</w:t>
            </w:r>
          </w:p>
        </w:tc>
        <w:tc>
          <w:tcPr>
            <w:tcW w:w="840" w:type="dxa"/>
            <w:tcBorders>
              <w:top w:val="nil"/>
              <w:left w:val="nil"/>
              <w:bottom w:val="single" w:sz="4" w:space="0" w:color="auto"/>
              <w:right w:val="single" w:sz="4" w:space="0" w:color="auto"/>
            </w:tcBorders>
            <w:shd w:val="clear" w:color="auto" w:fill="auto"/>
            <w:noWrap/>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1</w:t>
            </w:r>
          </w:p>
        </w:tc>
        <w:tc>
          <w:tcPr>
            <w:tcW w:w="1019" w:type="dxa"/>
            <w:tcBorders>
              <w:top w:val="nil"/>
              <w:left w:val="nil"/>
              <w:bottom w:val="single" w:sz="4" w:space="0" w:color="auto"/>
              <w:right w:val="single" w:sz="4" w:space="0" w:color="auto"/>
            </w:tcBorders>
            <w:shd w:val="clear" w:color="auto" w:fill="auto"/>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Non-overlapping</w:t>
            </w:r>
          </w:p>
        </w:tc>
        <w:tc>
          <w:tcPr>
            <w:tcW w:w="1128" w:type="dxa"/>
            <w:tcBorders>
              <w:top w:val="nil"/>
              <w:left w:val="nil"/>
              <w:bottom w:val="single" w:sz="4" w:space="0" w:color="auto"/>
              <w:right w:val="single" w:sz="4" w:space="0" w:color="auto"/>
            </w:tcBorders>
            <w:shd w:val="clear" w:color="auto" w:fill="auto"/>
            <w:noWrap/>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PSto14</w:t>
            </w:r>
          </w:p>
        </w:tc>
        <w:tc>
          <w:tcPr>
            <w:tcW w:w="1497" w:type="dxa"/>
            <w:tcBorders>
              <w:top w:val="nil"/>
              <w:left w:val="nil"/>
              <w:bottom w:val="single" w:sz="4" w:space="0" w:color="auto"/>
              <w:right w:val="single" w:sz="4" w:space="0" w:color="auto"/>
            </w:tcBorders>
            <w:shd w:val="clear" w:color="auto" w:fill="auto"/>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 xml:space="preserve">For P0toSS, </w:t>
            </w:r>
            <w:r>
              <w:rPr>
                <w:rFonts w:ascii="Calibri" w:eastAsia="Times New Roman" w:hAnsi="Calibri" w:cs="Calibri"/>
                <w:color w:val="000000"/>
                <w:sz w:val="20"/>
                <w:szCs w:val="20"/>
                <w:lang w:eastAsia="en-AU"/>
              </w:rPr>
              <w:t>a</w:t>
            </w:r>
            <w:r w:rsidRPr="009C3A4D">
              <w:rPr>
                <w:rFonts w:ascii="Calibri" w:eastAsia="Times New Roman" w:hAnsi="Calibri" w:cs="Calibri"/>
                <w:color w:val="000000"/>
                <w:sz w:val="20"/>
                <w:szCs w:val="20"/>
                <w:lang w:eastAsia="en-AU"/>
              </w:rPr>
              <w:t>nalyse by time since first in PSto14, otherwise by time in Scheme</w:t>
            </w:r>
          </w:p>
        </w:tc>
      </w:tr>
      <w:tr w:rsidR="009C3A4D" w:rsidRPr="009C3A4D" w:rsidTr="009C3A4D">
        <w:trPr>
          <w:trHeight w:val="1007"/>
        </w:trPr>
        <w:tc>
          <w:tcPr>
            <w:tcW w:w="2379" w:type="dxa"/>
            <w:tcBorders>
              <w:top w:val="nil"/>
              <w:left w:val="single" w:sz="4" w:space="0" w:color="auto"/>
              <w:bottom w:val="single" w:sz="4" w:space="0" w:color="auto"/>
              <w:right w:val="single" w:sz="4" w:space="0" w:color="auto"/>
            </w:tcBorders>
            <w:shd w:val="clear" w:color="auto" w:fill="auto"/>
            <w:vAlign w:val="bottom"/>
            <w:hideMark/>
          </w:tcPr>
          <w:p w:rsidR="009C3A4D" w:rsidRPr="009C3A4D" w:rsidRDefault="009C3A4D" w:rsidP="009C3A4D">
            <w:pPr>
              <w:spacing w:after="0" w:line="240" w:lineRule="auto"/>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Do you make more decisions in your life than you did 2 years ago?</w:t>
            </w:r>
          </w:p>
        </w:tc>
        <w:tc>
          <w:tcPr>
            <w:tcW w:w="704" w:type="dxa"/>
            <w:tcBorders>
              <w:top w:val="nil"/>
              <w:left w:val="nil"/>
              <w:bottom w:val="single" w:sz="4" w:space="0" w:color="auto"/>
              <w:right w:val="single" w:sz="4" w:space="0" w:color="auto"/>
            </w:tcBorders>
            <w:shd w:val="clear" w:color="auto" w:fill="auto"/>
            <w:noWrap/>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0</w:t>
            </w:r>
          </w:p>
        </w:tc>
        <w:tc>
          <w:tcPr>
            <w:tcW w:w="711" w:type="dxa"/>
            <w:tcBorders>
              <w:top w:val="nil"/>
              <w:left w:val="nil"/>
              <w:bottom w:val="single" w:sz="4" w:space="0" w:color="auto"/>
              <w:right w:val="single" w:sz="4" w:space="0" w:color="auto"/>
            </w:tcBorders>
            <w:shd w:val="clear" w:color="auto" w:fill="auto"/>
            <w:noWrap/>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0</w:t>
            </w:r>
          </w:p>
        </w:tc>
        <w:tc>
          <w:tcPr>
            <w:tcW w:w="819" w:type="dxa"/>
            <w:tcBorders>
              <w:top w:val="nil"/>
              <w:left w:val="nil"/>
              <w:bottom w:val="single" w:sz="4" w:space="0" w:color="auto"/>
              <w:right w:val="single" w:sz="4" w:space="0" w:color="auto"/>
            </w:tcBorders>
            <w:shd w:val="clear" w:color="auto" w:fill="auto"/>
            <w:noWrap/>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1</w:t>
            </w:r>
          </w:p>
        </w:tc>
        <w:tc>
          <w:tcPr>
            <w:tcW w:w="783" w:type="dxa"/>
            <w:tcBorders>
              <w:top w:val="nil"/>
              <w:left w:val="nil"/>
              <w:bottom w:val="single" w:sz="4" w:space="0" w:color="auto"/>
              <w:right w:val="single" w:sz="4" w:space="0" w:color="auto"/>
            </w:tcBorders>
            <w:shd w:val="clear" w:color="auto" w:fill="auto"/>
            <w:noWrap/>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1</w:t>
            </w:r>
          </w:p>
        </w:tc>
        <w:tc>
          <w:tcPr>
            <w:tcW w:w="840" w:type="dxa"/>
            <w:tcBorders>
              <w:top w:val="nil"/>
              <w:left w:val="nil"/>
              <w:bottom w:val="single" w:sz="4" w:space="0" w:color="auto"/>
              <w:right w:val="single" w:sz="4" w:space="0" w:color="auto"/>
            </w:tcBorders>
            <w:shd w:val="clear" w:color="auto" w:fill="auto"/>
            <w:noWrap/>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2</w:t>
            </w:r>
          </w:p>
        </w:tc>
        <w:tc>
          <w:tcPr>
            <w:tcW w:w="1019" w:type="dxa"/>
            <w:tcBorders>
              <w:top w:val="nil"/>
              <w:left w:val="nil"/>
              <w:bottom w:val="single" w:sz="4" w:space="0" w:color="auto"/>
              <w:right w:val="single" w:sz="4" w:space="0" w:color="auto"/>
            </w:tcBorders>
            <w:shd w:val="clear" w:color="auto" w:fill="auto"/>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Overlapping</w:t>
            </w:r>
          </w:p>
        </w:tc>
        <w:tc>
          <w:tcPr>
            <w:tcW w:w="1128" w:type="dxa"/>
            <w:tcBorders>
              <w:top w:val="nil"/>
              <w:left w:val="nil"/>
              <w:bottom w:val="single" w:sz="4" w:space="0" w:color="auto"/>
              <w:right w:val="single" w:sz="4" w:space="0" w:color="auto"/>
            </w:tcBorders>
            <w:shd w:val="clear" w:color="auto" w:fill="auto"/>
            <w:noWrap/>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PSto14</w:t>
            </w:r>
          </w:p>
        </w:tc>
        <w:tc>
          <w:tcPr>
            <w:tcW w:w="1497" w:type="dxa"/>
            <w:tcBorders>
              <w:top w:val="nil"/>
              <w:left w:val="nil"/>
              <w:bottom w:val="single" w:sz="4" w:space="0" w:color="auto"/>
              <w:right w:val="single" w:sz="4" w:space="0" w:color="auto"/>
            </w:tcBorders>
            <w:shd w:val="clear" w:color="auto" w:fill="auto"/>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Analyse by time since first in P15to24</w:t>
            </w:r>
          </w:p>
        </w:tc>
      </w:tr>
      <w:tr w:rsidR="009C3A4D" w:rsidRPr="009C3A4D" w:rsidTr="009C3A4D">
        <w:trPr>
          <w:trHeight w:val="1555"/>
        </w:trPr>
        <w:tc>
          <w:tcPr>
            <w:tcW w:w="2379" w:type="dxa"/>
            <w:tcBorders>
              <w:top w:val="nil"/>
              <w:left w:val="single" w:sz="4" w:space="0" w:color="auto"/>
              <w:bottom w:val="single" w:sz="4" w:space="0" w:color="auto"/>
              <w:right w:val="single" w:sz="4" w:space="0" w:color="auto"/>
            </w:tcBorders>
            <w:shd w:val="clear" w:color="auto" w:fill="auto"/>
            <w:vAlign w:val="bottom"/>
            <w:hideMark/>
          </w:tcPr>
          <w:p w:rsidR="009C3A4D" w:rsidRPr="009C3A4D" w:rsidRDefault="009C3A4D" w:rsidP="009C3A4D">
            <w:pPr>
              <w:spacing w:after="0" w:line="240" w:lineRule="auto"/>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Are you currently working in a paid job?</w:t>
            </w:r>
          </w:p>
        </w:tc>
        <w:tc>
          <w:tcPr>
            <w:tcW w:w="704" w:type="dxa"/>
            <w:tcBorders>
              <w:top w:val="nil"/>
              <w:left w:val="nil"/>
              <w:bottom w:val="single" w:sz="4" w:space="0" w:color="auto"/>
              <w:right w:val="single" w:sz="4" w:space="0" w:color="auto"/>
            </w:tcBorders>
            <w:shd w:val="clear" w:color="auto" w:fill="auto"/>
            <w:noWrap/>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0</w:t>
            </w:r>
          </w:p>
        </w:tc>
        <w:tc>
          <w:tcPr>
            <w:tcW w:w="711" w:type="dxa"/>
            <w:tcBorders>
              <w:top w:val="nil"/>
              <w:left w:val="nil"/>
              <w:bottom w:val="single" w:sz="4" w:space="0" w:color="auto"/>
              <w:right w:val="single" w:sz="4" w:space="0" w:color="auto"/>
            </w:tcBorders>
            <w:shd w:val="clear" w:color="auto" w:fill="auto"/>
            <w:noWrap/>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0</w:t>
            </w:r>
          </w:p>
        </w:tc>
        <w:tc>
          <w:tcPr>
            <w:tcW w:w="819" w:type="dxa"/>
            <w:tcBorders>
              <w:top w:val="nil"/>
              <w:left w:val="nil"/>
              <w:bottom w:val="single" w:sz="4" w:space="0" w:color="auto"/>
              <w:right w:val="single" w:sz="4" w:space="0" w:color="auto"/>
            </w:tcBorders>
            <w:shd w:val="clear" w:color="auto" w:fill="auto"/>
            <w:noWrap/>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1</w:t>
            </w:r>
          </w:p>
        </w:tc>
        <w:tc>
          <w:tcPr>
            <w:tcW w:w="783" w:type="dxa"/>
            <w:tcBorders>
              <w:top w:val="nil"/>
              <w:left w:val="nil"/>
              <w:bottom w:val="single" w:sz="4" w:space="0" w:color="auto"/>
              <w:right w:val="single" w:sz="4" w:space="0" w:color="auto"/>
            </w:tcBorders>
            <w:shd w:val="clear" w:color="auto" w:fill="auto"/>
            <w:noWrap/>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1</w:t>
            </w:r>
          </w:p>
        </w:tc>
        <w:tc>
          <w:tcPr>
            <w:tcW w:w="840" w:type="dxa"/>
            <w:tcBorders>
              <w:top w:val="nil"/>
              <w:left w:val="nil"/>
              <w:bottom w:val="single" w:sz="4" w:space="0" w:color="auto"/>
              <w:right w:val="single" w:sz="4" w:space="0" w:color="auto"/>
            </w:tcBorders>
            <w:shd w:val="clear" w:color="auto" w:fill="auto"/>
            <w:noWrap/>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2</w:t>
            </w:r>
          </w:p>
        </w:tc>
        <w:tc>
          <w:tcPr>
            <w:tcW w:w="1019" w:type="dxa"/>
            <w:tcBorders>
              <w:top w:val="nil"/>
              <w:left w:val="nil"/>
              <w:bottom w:val="single" w:sz="4" w:space="0" w:color="auto"/>
              <w:right w:val="single" w:sz="4" w:space="0" w:color="auto"/>
            </w:tcBorders>
            <w:shd w:val="clear" w:color="auto" w:fill="auto"/>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Over</w:t>
            </w:r>
            <w:r w:rsidRPr="009C3A4D">
              <w:rPr>
                <w:rFonts w:ascii="Calibri" w:eastAsia="Times New Roman" w:hAnsi="Calibri" w:cs="Calibri"/>
                <w:color w:val="000000"/>
                <w:sz w:val="20"/>
                <w:szCs w:val="20"/>
                <w:lang w:eastAsia="en-AU"/>
              </w:rPr>
              <w:t>l</w:t>
            </w:r>
            <w:r>
              <w:rPr>
                <w:rFonts w:ascii="Calibri" w:eastAsia="Times New Roman" w:hAnsi="Calibri" w:cs="Calibri"/>
                <w:color w:val="000000"/>
                <w:sz w:val="20"/>
                <w:szCs w:val="20"/>
                <w:lang w:eastAsia="en-AU"/>
              </w:rPr>
              <w:t>a</w:t>
            </w:r>
            <w:r w:rsidRPr="009C3A4D">
              <w:rPr>
                <w:rFonts w:ascii="Calibri" w:eastAsia="Times New Roman" w:hAnsi="Calibri" w:cs="Calibri"/>
                <w:color w:val="000000"/>
                <w:sz w:val="20"/>
                <w:szCs w:val="20"/>
                <w:lang w:eastAsia="en-AU"/>
              </w:rPr>
              <w:t>pping</w:t>
            </w:r>
          </w:p>
        </w:tc>
        <w:tc>
          <w:tcPr>
            <w:tcW w:w="1128" w:type="dxa"/>
            <w:tcBorders>
              <w:top w:val="nil"/>
              <w:left w:val="nil"/>
              <w:bottom w:val="single" w:sz="4" w:space="0" w:color="auto"/>
              <w:right w:val="single" w:sz="4" w:space="0" w:color="auto"/>
            </w:tcBorders>
            <w:shd w:val="clear" w:color="auto" w:fill="auto"/>
            <w:noWrap/>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PSto14</w:t>
            </w:r>
          </w:p>
        </w:tc>
        <w:tc>
          <w:tcPr>
            <w:tcW w:w="1497" w:type="dxa"/>
            <w:tcBorders>
              <w:top w:val="nil"/>
              <w:left w:val="nil"/>
              <w:bottom w:val="single" w:sz="4" w:space="0" w:color="auto"/>
              <w:right w:val="single" w:sz="4" w:space="0" w:color="auto"/>
            </w:tcBorders>
            <w:shd w:val="clear" w:color="auto" w:fill="auto"/>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For PSto14, analyse by time since first in P15to24, otherwise by time in Scheme</w:t>
            </w:r>
          </w:p>
        </w:tc>
      </w:tr>
      <w:tr w:rsidR="009C3A4D" w:rsidRPr="009C3A4D" w:rsidTr="009C3A4D">
        <w:trPr>
          <w:trHeight w:val="1555"/>
        </w:trPr>
        <w:tc>
          <w:tcPr>
            <w:tcW w:w="2379" w:type="dxa"/>
            <w:tcBorders>
              <w:top w:val="nil"/>
              <w:left w:val="single" w:sz="4" w:space="0" w:color="auto"/>
              <w:bottom w:val="single" w:sz="4" w:space="0" w:color="auto"/>
              <w:right w:val="single" w:sz="4" w:space="0" w:color="auto"/>
            </w:tcBorders>
            <w:shd w:val="clear" w:color="auto" w:fill="auto"/>
            <w:vAlign w:val="bottom"/>
            <w:hideMark/>
          </w:tcPr>
          <w:p w:rsidR="009C3A4D" w:rsidRPr="009C3A4D" w:rsidRDefault="009C3A4D" w:rsidP="009C3A4D">
            <w:pPr>
              <w:spacing w:after="0" w:line="240" w:lineRule="auto"/>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Living/housing arrangements, household income, who responded</w:t>
            </w:r>
          </w:p>
        </w:tc>
        <w:tc>
          <w:tcPr>
            <w:tcW w:w="704" w:type="dxa"/>
            <w:tcBorders>
              <w:top w:val="nil"/>
              <w:left w:val="nil"/>
              <w:bottom w:val="single" w:sz="4" w:space="0" w:color="auto"/>
              <w:right w:val="single" w:sz="4" w:space="0" w:color="auto"/>
            </w:tcBorders>
            <w:shd w:val="clear" w:color="auto" w:fill="auto"/>
            <w:noWrap/>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1</w:t>
            </w:r>
          </w:p>
        </w:tc>
        <w:tc>
          <w:tcPr>
            <w:tcW w:w="711" w:type="dxa"/>
            <w:tcBorders>
              <w:top w:val="nil"/>
              <w:left w:val="nil"/>
              <w:bottom w:val="single" w:sz="4" w:space="0" w:color="auto"/>
              <w:right w:val="single" w:sz="4" w:space="0" w:color="auto"/>
            </w:tcBorders>
            <w:shd w:val="clear" w:color="auto" w:fill="auto"/>
            <w:noWrap/>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1</w:t>
            </w:r>
          </w:p>
        </w:tc>
        <w:tc>
          <w:tcPr>
            <w:tcW w:w="819" w:type="dxa"/>
            <w:tcBorders>
              <w:top w:val="nil"/>
              <w:left w:val="nil"/>
              <w:bottom w:val="single" w:sz="4" w:space="0" w:color="auto"/>
              <w:right w:val="single" w:sz="4" w:space="0" w:color="auto"/>
            </w:tcBorders>
            <w:shd w:val="clear" w:color="auto" w:fill="auto"/>
            <w:noWrap/>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1</w:t>
            </w:r>
          </w:p>
        </w:tc>
        <w:tc>
          <w:tcPr>
            <w:tcW w:w="783" w:type="dxa"/>
            <w:tcBorders>
              <w:top w:val="nil"/>
              <w:left w:val="nil"/>
              <w:bottom w:val="single" w:sz="4" w:space="0" w:color="auto"/>
              <w:right w:val="single" w:sz="4" w:space="0" w:color="auto"/>
            </w:tcBorders>
            <w:shd w:val="clear" w:color="auto" w:fill="auto"/>
            <w:noWrap/>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1</w:t>
            </w:r>
          </w:p>
        </w:tc>
        <w:tc>
          <w:tcPr>
            <w:tcW w:w="840" w:type="dxa"/>
            <w:tcBorders>
              <w:top w:val="nil"/>
              <w:left w:val="nil"/>
              <w:bottom w:val="single" w:sz="4" w:space="0" w:color="auto"/>
              <w:right w:val="single" w:sz="4" w:space="0" w:color="auto"/>
            </w:tcBorders>
            <w:shd w:val="clear" w:color="auto" w:fill="auto"/>
            <w:noWrap/>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4</w:t>
            </w:r>
          </w:p>
        </w:tc>
        <w:tc>
          <w:tcPr>
            <w:tcW w:w="1019" w:type="dxa"/>
            <w:tcBorders>
              <w:top w:val="nil"/>
              <w:left w:val="nil"/>
              <w:bottom w:val="single" w:sz="4" w:space="0" w:color="auto"/>
              <w:right w:val="single" w:sz="4" w:space="0" w:color="auto"/>
            </w:tcBorders>
            <w:shd w:val="clear" w:color="auto" w:fill="auto"/>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Overlapping</w:t>
            </w:r>
          </w:p>
        </w:tc>
        <w:tc>
          <w:tcPr>
            <w:tcW w:w="1128" w:type="dxa"/>
            <w:tcBorders>
              <w:top w:val="nil"/>
              <w:left w:val="nil"/>
              <w:bottom w:val="single" w:sz="4" w:space="0" w:color="auto"/>
              <w:right w:val="single" w:sz="4" w:space="0" w:color="auto"/>
            </w:tcBorders>
            <w:shd w:val="clear" w:color="auto" w:fill="auto"/>
            <w:noWrap/>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w:t>
            </w:r>
          </w:p>
        </w:tc>
        <w:tc>
          <w:tcPr>
            <w:tcW w:w="1497" w:type="dxa"/>
            <w:tcBorders>
              <w:top w:val="nil"/>
              <w:left w:val="nil"/>
              <w:bottom w:val="single" w:sz="4" w:space="0" w:color="auto"/>
              <w:right w:val="single" w:sz="4" w:space="0" w:color="auto"/>
            </w:tcBorders>
            <w:shd w:val="clear" w:color="auto" w:fill="auto"/>
            <w:vAlign w:val="bottom"/>
            <w:hideMark/>
          </w:tcPr>
          <w:p w:rsidR="009C3A4D" w:rsidRPr="009C3A4D" w:rsidRDefault="009C3A4D" w:rsidP="009C3A4D">
            <w:pPr>
              <w:spacing w:after="0" w:line="240" w:lineRule="auto"/>
              <w:jc w:val="center"/>
              <w:rPr>
                <w:rFonts w:ascii="Calibri" w:eastAsia="Times New Roman" w:hAnsi="Calibri" w:cs="Calibri"/>
                <w:color w:val="000000"/>
                <w:sz w:val="20"/>
                <w:szCs w:val="20"/>
                <w:lang w:eastAsia="en-AU"/>
              </w:rPr>
            </w:pPr>
            <w:r w:rsidRPr="009C3A4D">
              <w:rPr>
                <w:rFonts w:ascii="Calibri" w:eastAsia="Times New Roman" w:hAnsi="Calibri" w:cs="Calibri"/>
                <w:color w:val="000000"/>
                <w:sz w:val="20"/>
                <w:szCs w:val="20"/>
                <w:lang w:eastAsia="en-AU"/>
              </w:rPr>
              <w:t>Combined group, by time in Scheme</w:t>
            </w:r>
          </w:p>
        </w:tc>
      </w:tr>
    </w:tbl>
    <w:p w:rsidR="00873332" w:rsidRDefault="00873332" w:rsidP="008E4C41">
      <w:pPr>
        <w:autoSpaceDE w:val="0"/>
        <w:autoSpaceDN w:val="0"/>
        <w:adjustRightInd w:val="0"/>
        <w:spacing w:after="0" w:line="240" w:lineRule="auto"/>
        <w:rPr>
          <w:rFonts w:ascii="FSMePro-Light" w:hAnsi="FSMePro-Light" w:cs="FSMePro-Light"/>
          <w:sz w:val="21"/>
          <w:szCs w:val="21"/>
        </w:rPr>
      </w:pPr>
    </w:p>
    <w:p w:rsidR="009C3A4D" w:rsidRPr="009C3A4D" w:rsidRDefault="009C3A4D" w:rsidP="009C3A4D">
      <w:pPr>
        <w:autoSpaceDE w:val="0"/>
        <w:autoSpaceDN w:val="0"/>
        <w:adjustRightInd w:val="0"/>
        <w:spacing w:after="0" w:line="240" w:lineRule="auto"/>
      </w:pPr>
      <w:r w:rsidRPr="009C3A4D">
        <w:lastRenderedPageBreak/>
        <w:t>* P0toSS=participants aged from 0 to before starting school; PSto14=participants aged from starting school to 14; P15to24=participants aged from 15 to 24; P25plus=participants aged 25 and over.</w:t>
      </w:r>
    </w:p>
    <w:p w:rsidR="009C3A4D" w:rsidRDefault="009C3A4D" w:rsidP="009C3A4D">
      <w:pPr>
        <w:autoSpaceDE w:val="0"/>
        <w:autoSpaceDN w:val="0"/>
        <w:adjustRightInd w:val="0"/>
        <w:spacing w:after="0" w:line="240" w:lineRule="auto"/>
      </w:pPr>
      <w:r w:rsidRPr="009C3A4D">
        <w:t>** Note this is the oldest group ageing up. Younger groups may eventually age up also. For example, P0toSS ages up to PSto14, then to P15to24, and finally to P25plus.</w:t>
      </w:r>
    </w:p>
    <w:p w:rsidR="007A69B7" w:rsidRDefault="007A69B7" w:rsidP="009C3A4D">
      <w:pPr>
        <w:autoSpaceDE w:val="0"/>
        <w:autoSpaceDN w:val="0"/>
        <w:adjustRightInd w:val="0"/>
        <w:spacing w:after="0" w:line="240" w:lineRule="auto"/>
      </w:pPr>
    </w:p>
    <w:p w:rsidR="007A69B7" w:rsidRDefault="007A69B7" w:rsidP="007A69B7">
      <w:pPr>
        <w:pStyle w:val="Heading2"/>
      </w:pPr>
      <w:bookmarkStart w:id="95" w:name="_Toc121151467"/>
      <w:r>
        <w:t>Slide 85: Age group transitions</w:t>
      </w:r>
      <w:bookmarkEnd w:id="95"/>
    </w:p>
    <w:p w:rsidR="007A69B7" w:rsidRDefault="007A69B7" w:rsidP="004168FC">
      <w:pPr>
        <w:pStyle w:val="Heading5"/>
      </w:pPr>
      <w:r>
        <w:t>Longitudinal cohorts</w:t>
      </w:r>
    </w:p>
    <w:p w:rsidR="00900281" w:rsidRPr="009B241D" w:rsidRDefault="00900281" w:rsidP="007B45D5">
      <w:pPr>
        <w:autoSpaceDE w:val="0"/>
        <w:autoSpaceDN w:val="0"/>
        <w:adjustRightInd w:val="0"/>
        <w:spacing w:after="120" w:line="240" w:lineRule="auto"/>
        <w:rPr>
          <w:rFonts w:cstheme="minorHAnsi"/>
          <w:sz w:val="21"/>
          <w:szCs w:val="21"/>
        </w:rPr>
      </w:pPr>
      <w:r w:rsidRPr="009B241D">
        <w:rPr>
          <w:rFonts w:cstheme="minorHAnsi"/>
          <w:sz w:val="21"/>
          <w:szCs w:val="21"/>
        </w:rPr>
        <w:t>For each outcome indicator, longitudinal results are considered separately for five cohorts of participants. The cohorts are based on the number of years of experience that the participant has contributed to that indicator as at 30 June 2022, in line with the final column of the previous slide. Hence the same participant can belong to different cohorts for different indicators. However, for a given indicator, the cohorts are distinct (that is, a participant belongs to one cohort only).</w:t>
      </w:r>
    </w:p>
    <w:p w:rsidR="00900281" w:rsidRPr="009B241D" w:rsidRDefault="00900281" w:rsidP="007B45D5">
      <w:pPr>
        <w:spacing w:after="120"/>
        <w:rPr>
          <w:rFonts w:cstheme="minorHAnsi"/>
          <w:sz w:val="21"/>
          <w:szCs w:val="21"/>
        </w:rPr>
      </w:pPr>
      <w:r w:rsidRPr="009B241D">
        <w:rPr>
          <w:rFonts w:cstheme="minorHAnsi"/>
          <w:sz w:val="21"/>
          <w:szCs w:val="21"/>
        </w:rPr>
        <w:t>The following table shows how cohorts C1-C5 are defined.</w:t>
      </w:r>
    </w:p>
    <w:tbl>
      <w:tblPr>
        <w:tblW w:w="5040" w:type="dxa"/>
        <w:tblLook w:val="04A0" w:firstRow="1" w:lastRow="0" w:firstColumn="1" w:lastColumn="0" w:noHBand="0" w:noVBand="1"/>
      </w:tblPr>
      <w:tblGrid>
        <w:gridCol w:w="1020"/>
        <w:gridCol w:w="2060"/>
        <w:gridCol w:w="1960"/>
      </w:tblGrid>
      <w:tr w:rsidR="00900281" w:rsidRPr="00900281" w:rsidTr="00900281">
        <w:trPr>
          <w:trHeight w:val="114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0281" w:rsidRPr="00900281" w:rsidRDefault="00900281" w:rsidP="00900281">
            <w:pPr>
              <w:spacing w:after="0" w:line="240" w:lineRule="auto"/>
              <w:rPr>
                <w:rFonts w:ascii="Calibri" w:eastAsia="Times New Roman" w:hAnsi="Calibri" w:cs="Calibri"/>
                <w:b/>
                <w:bCs/>
                <w:color w:val="000000"/>
                <w:lang w:eastAsia="en-AU"/>
              </w:rPr>
            </w:pPr>
            <w:r w:rsidRPr="00900281">
              <w:rPr>
                <w:rFonts w:ascii="Calibri" w:eastAsia="Times New Roman" w:hAnsi="Calibri" w:cs="Calibri"/>
                <w:b/>
                <w:bCs/>
                <w:color w:val="000000"/>
                <w:lang w:eastAsia="en-AU"/>
              </w:rPr>
              <w:t>Cohort</w:t>
            </w:r>
          </w:p>
        </w:tc>
        <w:tc>
          <w:tcPr>
            <w:tcW w:w="2060" w:type="dxa"/>
            <w:tcBorders>
              <w:top w:val="single" w:sz="4" w:space="0" w:color="auto"/>
              <w:left w:val="nil"/>
              <w:bottom w:val="single" w:sz="4" w:space="0" w:color="auto"/>
              <w:right w:val="single" w:sz="4" w:space="0" w:color="auto"/>
            </w:tcBorders>
            <w:shd w:val="clear" w:color="auto" w:fill="auto"/>
            <w:vAlign w:val="bottom"/>
            <w:hideMark/>
          </w:tcPr>
          <w:p w:rsidR="00900281" w:rsidRPr="00900281" w:rsidRDefault="00900281" w:rsidP="00900281">
            <w:pPr>
              <w:spacing w:after="0" w:line="240" w:lineRule="auto"/>
              <w:jc w:val="center"/>
              <w:rPr>
                <w:rFonts w:ascii="Calibri" w:eastAsia="Times New Roman" w:hAnsi="Calibri" w:cs="Calibri"/>
                <w:b/>
                <w:bCs/>
                <w:color w:val="000000"/>
                <w:lang w:eastAsia="en-AU"/>
              </w:rPr>
            </w:pPr>
            <w:r w:rsidRPr="00900281">
              <w:rPr>
                <w:rFonts w:ascii="Calibri" w:eastAsia="Times New Roman" w:hAnsi="Calibri" w:cs="Calibri"/>
                <w:b/>
                <w:bCs/>
                <w:color w:val="000000"/>
                <w:lang w:eastAsia="en-AU"/>
              </w:rPr>
              <w:t>Number of years of experience contributed to indicator</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rsidR="00900281" w:rsidRPr="00900281" w:rsidRDefault="00900281" w:rsidP="00900281">
            <w:pPr>
              <w:spacing w:after="0" w:line="240" w:lineRule="auto"/>
              <w:jc w:val="center"/>
              <w:rPr>
                <w:rFonts w:ascii="Calibri" w:eastAsia="Times New Roman" w:hAnsi="Calibri" w:cs="Calibri"/>
                <w:b/>
                <w:bCs/>
                <w:color w:val="000000"/>
                <w:lang w:eastAsia="en-AU"/>
              </w:rPr>
            </w:pPr>
            <w:r w:rsidRPr="00900281">
              <w:rPr>
                <w:rFonts w:ascii="Calibri" w:eastAsia="Times New Roman" w:hAnsi="Calibri" w:cs="Calibri"/>
                <w:b/>
                <w:bCs/>
                <w:color w:val="000000"/>
                <w:lang w:eastAsia="en-AU"/>
              </w:rPr>
              <w:t>Possible total number of years in the Scheme</w:t>
            </w:r>
          </w:p>
        </w:tc>
      </w:tr>
      <w:tr w:rsidR="00900281" w:rsidRPr="00900281" w:rsidTr="00900281">
        <w:trPr>
          <w:trHeight w:val="28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900281" w:rsidRPr="00900281" w:rsidRDefault="00900281" w:rsidP="00900281">
            <w:pPr>
              <w:spacing w:after="0" w:line="240" w:lineRule="auto"/>
              <w:rPr>
                <w:rFonts w:ascii="Calibri" w:eastAsia="Times New Roman" w:hAnsi="Calibri" w:cs="Calibri"/>
                <w:color w:val="000000"/>
                <w:lang w:eastAsia="en-AU"/>
              </w:rPr>
            </w:pPr>
            <w:r w:rsidRPr="00900281">
              <w:rPr>
                <w:rFonts w:ascii="Calibri" w:eastAsia="Times New Roman" w:hAnsi="Calibri" w:cs="Calibri"/>
                <w:color w:val="000000"/>
                <w:lang w:eastAsia="en-AU"/>
              </w:rPr>
              <w:t>C5</w:t>
            </w:r>
          </w:p>
        </w:tc>
        <w:tc>
          <w:tcPr>
            <w:tcW w:w="2060" w:type="dxa"/>
            <w:tcBorders>
              <w:top w:val="nil"/>
              <w:left w:val="nil"/>
              <w:bottom w:val="single" w:sz="4" w:space="0" w:color="auto"/>
              <w:right w:val="single" w:sz="4" w:space="0" w:color="auto"/>
            </w:tcBorders>
            <w:shd w:val="clear" w:color="auto" w:fill="auto"/>
            <w:noWrap/>
            <w:vAlign w:val="bottom"/>
            <w:hideMark/>
          </w:tcPr>
          <w:p w:rsidR="00900281" w:rsidRPr="00900281" w:rsidRDefault="00900281" w:rsidP="00900281">
            <w:pPr>
              <w:spacing w:after="0" w:line="240" w:lineRule="auto"/>
              <w:jc w:val="center"/>
              <w:rPr>
                <w:rFonts w:ascii="Calibri" w:eastAsia="Times New Roman" w:hAnsi="Calibri" w:cs="Calibri"/>
                <w:color w:val="000000"/>
                <w:lang w:eastAsia="en-AU"/>
              </w:rPr>
            </w:pPr>
            <w:r w:rsidRPr="00900281">
              <w:rPr>
                <w:rFonts w:ascii="Calibri" w:eastAsia="Times New Roman" w:hAnsi="Calibri" w:cs="Calibri"/>
                <w:color w:val="000000"/>
                <w:lang w:eastAsia="en-AU"/>
              </w:rPr>
              <w:t>5</w:t>
            </w:r>
          </w:p>
        </w:tc>
        <w:tc>
          <w:tcPr>
            <w:tcW w:w="1960" w:type="dxa"/>
            <w:tcBorders>
              <w:top w:val="nil"/>
              <w:left w:val="nil"/>
              <w:bottom w:val="single" w:sz="4" w:space="0" w:color="auto"/>
              <w:right w:val="single" w:sz="4" w:space="0" w:color="auto"/>
            </w:tcBorders>
            <w:shd w:val="clear" w:color="auto" w:fill="auto"/>
            <w:noWrap/>
            <w:vAlign w:val="bottom"/>
            <w:hideMark/>
          </w:tcPr>
          <w:p w:rsidR="00900281" w:rsidRPr="00900281" w:rsidRDefault="00900281" w:rsidP="00900281">
            <w:pPr>
              <w:spacing w:after="0" w:line="240" w:lineRule="auto"/>
              <w:jc w:val="center"/>
              <w:rPr>
                <w:rFonts w:ascii="Calibri" w:eastAsia="Times New Roman" w:hAnsi="Calibri" w:cs="Calibri"/>
                <w:color w:val="000000"/>
                <w:lang w:eastAsia="en-AU"/>
              </w:rPr>
            </w:pPr>
            <w:r w:rsidRPr="00900281">
              <w:rPr>
                <w:rFonts w:ascii="Calibri" w:eastAsia="Times New Roman" w:hAnsi="Calibri" w:cs="Calibri"/>
                <w:color w:val="000000"/>
                <w:lang w:eastAsia="en-AU"/>
              </w:rPr>
              <w:t>5</w:t>
            </w:r>
          </w:p>
        </w:tc>
      </w:tr>
      <w:tr w:rsidR="00900281" w:rsidRPr="00900281" w:rsidTr="00900281">
        <w:trPr>
          <w:trHeight w:val="28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900281" w:rsidRPr="00900281" w:rsidRDefault="00900281" w:rsidP="00900281">
            <w:pPr>
              <w:spacing w:after="0" w:line="240" w:lineRule="auto"/>
              <w:rPr>
                <w:rFonts w:ascii="Calibri" w:eastAsia="Times New Roman" w:hAnsi="Calibri" w:cs="Calibri"/>
                <w:color w:val="000000"/>
                <w:lang w:eastAsia="en-AU"/>
              </w:rPr>
            </w:pPr>
            <w:r w:rsidRPr="00900281">
              <w:rPr>
                <w:rFonts w:ascii="Calibri" w:eastAsia="Times New Roman" w:hAnsi="Calibri" w:cs="Calibri"/>
                <w:color w:val="000000"/>
                <w:lang w:eastAsia="en-AU"/>
              </w:rPr>
              <w:t>C4</w:t>
            </w:r>
          </w:p>
        </w:tc>
        <w:tc>
          <w:tcPr>
            <w:tcW w:w="2060" w:type="dxa"/>
            <w:tcBorders>
              <w:top w:val="nil"/>
              <w:left w:val="nil"/>
              <w:bottom w:val="single" w:sz="4" w:space="0" w:color="auto"/>
              <w:right w:val="single" w:sz="4" w:space="0" w:color="auto"/>
            </w:tcBorders>
            <w:shd w:val="clear" w:color="auto" w:fill="auto"/>
            <w:noWrap/>
            <w:vAlign w:val="bottom"/>
            <w:hideMark/>
          </w:tcPr>
          <w:p w:rsidR="00900281" w:rsidRPr="00900281" w:rsidRDefault="00900281" w:rsidP="00900281">
            <w:pPr>
              <w:spacing w:after="0" w:line="240" w:lineRule="auto"/>
              <w:jc w:val="center"/>
              <w:rPr>
                <w:rFonts w:ascii="Calibri" w:eastAsia="Times New Roman" w:hAnsi="Calibri" w:cs="Calibri"/>
                <w:color w:val="000000"/>
                <w:lang w:eastAsia="en-AU"/>
              </w:rPr>
            </w:pPr>
            <w:r w:rsidRPr="00900281">
              <w:rPr>
                <w:rFonts w:ascii="Calibri" w:eastAsia="Times New Roman" w:hAnsi="Calibri" w:cs="Calibri"/>
                <w:color w:val="000000"/>
                <w:lang w:eastAsia="en-AU"/>
              </w:rPr>
              <w:t>4</w:t>
            </w:r>
          </w:p>
        </w:tc>
        <w:tc>
          <w:tcPr>
            <w:tcW w:w="1960" w:type="dxa"/>
            <w:tcBorders>
              <w:top w:val="nil"/>
              <w:left w:val="nil"/>
              <w:bottom w:val="single" w:sz="4" w:space="0" w:color="auto"/>
              <w:right w:val="single" w:sz="4" w:space="0" w:color="auto"/>
            </w:tcBorders>
            <w:shd w:val="clear" w:color="auto" w:fill="auto"/>
            <w:noWrap/>
            <w:vAlign w:val="bottom"/>
            <w:hideMark/>
          </w:tcPr>
          <w:p w:rsidR="00900281" w:rsidRPr="00900281" w:rsidRDefault="00900281" w:rsidP="00900281">
            <w:pPr>
              <w:spacing w:after="0" w:line="240" w:lineRule="auto"/>
              <w:jc w:val="center"/>
              <w:rPr>
                <w:rFonts w:ascii="Calibri" w:eastAsia="Times New Roman" w:hAnsi="Calibri" w:cs="Calibri"/>
                <w:color w:val="000000"/>
                <w:lang w:eastAsia="en-AU"/>
              </w:rPr>
            </w:pPr>
            <w:r w:rsidRPr="00900281">
              <w:rPr>
                <w:rFonts w:ascii="Calibri" w:eastAsia="Times New Roman" w:hAnsi="Calibri" w:cs="Calibri"/>
                <w:color w:val="000000"/>
                <w:lang w:eastAsia="en-AU"/>
              </w:rPr>
              <w:t>4-5</w:t>
            </w:r>
          </w:p>
        </w:tc>
      </w:tr>
      <w:tr w:rsidR="00900281" w:rsidRPr="00900281" w:rsidTr="00900281">
        <w:trPr>
          <w:trHeight w:val="28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900281" w:rsidRPr="00900281" w:rsidRDefault="00900281" w:rsidP="00900281">
            <w:pPr>
              <w:spacing w:after="0" w:line="240" w:lineRule="auto"/>
              <w:rPr>
                <w:rFonts w:ascii="Calibri" w:eastAsia="Times New Roman" w:hAnsi="Calibri" w:cs="Calibri"/>
                <w:color w:val="000000"/>
                <w:lang w:eastAsia="en-AU"/>
              </w:rPr>
            </w:pPr>
            <w:r w:rsidRPr="00900281">
              <w:rPr>
                <w:rFonts w:ascii="Calibri" w:eastAsia="Times New Roman" w:hAnsi="Calibri" w:cs="Calibri"/>
                <w:color w:val="000000"/>
                <w:lang w:eastAsia="en-AU"/>
              </w:rPr>
              <w:t>C3</w:t>
            </w:r>
          </w:p>
        </w:tc>
        <w:tc>
          <w:tcPr>
            <w:tcW w:w="2060" w:type="dxa"/>
            <w:tcBorders>
              <w:top w:val="nil"/>
              <w:left w:val="nil"/>
              <w:bottom w:val="single" w:sz="4" w:space="0" w:color="auto"/>
              <w:right w:val="single" w:sz="4" w:space="0" w:color="auto"/>
            </w:tcBorders>
            <w:shd w:val="clear" w:color="auto" w:fill="auto"/>
            <w:noWrap/>
            <w:vAlign w:val="bottom"/>
            <w:hideMark/>
          </w:tcPr>
          <w:p w:rsidR="00900281" w:rsidRPr="00900281" w:rsidRDefault="00900281" w:rsidP="00900281">
            <w:pPr>
              <w:spacing w:after="0" w:line="240" w:lineRule="auto"/>
              <w:jc w:val="center"/>
              <w:rPr>
                <w:rFonts w:ascii="Calibri" w:eastAsia="Times New Roman" w:hAnsi="Calibri" w:cs="Calibri"/>
                <w:color w:val="000000"/>
                <w:lang w:eastAsia="en-AU"/>
              </w:rPr>
            </w:pPr>
            <w:r w:rsidRPr="00900281">
              <w:rPr>
                <w:rFonts w:ascii="Calibri" w:eastAsia="Times New Roman" w:hAnsi="Calibri" w:cs="Calibri"/>
                <w:color w:val="000000"/>
                <w:lang w:eastAsia="en-AU"/>
              </w:rPr>
              <w:t>3</w:t>
            </w:r>
          </w:p>
        </w:tc>
        <w:tc>
          <w:tcPr>
            <w:tcW w:w="1960" w:type="dxa"/>
            <w:tcBorders>
              <w:top w:val="nil"/>
              <w:left w:val="nil"/>
              <w:bottom w:val="single" w:sz="4" w:space="0" w:color="auto"/>
              <w:right w:val="single" w:sz="4" w:space="0" w:color="auto"/>
            </w:tcBorders>
            <w:shd w:val="clear" w:color="auto" w:fill="auto"/>
            <w:noWrap/>
            <w:vAlign w:val="bottom"/>
            <w:hideMark/>
          </w:tcPr>
          <w:p w:rsidR="00900281" w:rsidRPr="00900281" w:rsidRDefault="00900281" w:rsidP="00900281">
            <w:pPr>
              <w:spacing w:after="0" w:line="240" w:lineRule="auto"/>
              <w:jc w:val="center"/>
              <w:rPr>
                <w:rFonts w:ascii="Calibri" w:eastAsia="Times New Roman" w:hAnsi="Calibri" w:cs="Calibri"/>
                <w:color w:val="000000"/>
                <w:lang w:eastAsia="en-AU"/>
              </w:rPr>
            </w:pPr>
            <w:r w:rsidRPr="00900281">
              <w:rPr>
                <w:rFonts w:ascii="Calibri" w:eastAsia="Times New Roman" w:hAnsi="Calibri" w:cs="Calibri"/>
                <w:color w:val="000000"/>
                <w:lang w:eastAsia="en-AU"/>
              </w:rPr>
              <w:t>3-5</w:t>
            </w:r>
          </w:p>
        </w:tc>
      </w:tr>
      <w:tr w:rsidR="00900281" w:rsidRPr="00900281" w:rsidTr="00900281">
        <w:trPr>
          <w:trHeight w:val="28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900281" w:rsidRPr="00900281" w:rsidRDefault="00900281" w:rsidP="00900281">
            <w:pPr>
              <w:spacing w:after="0" w:line="240" w:lineRule="auto"/>
              <w:rPr>
                <w:rFonts w:ascii="Calibri" w:eastAsia="Times New Roman" w:hAnsi="Calibri" w:cs="Calibri"/>
                <w:color w:val="000000"/>
                <w:lang w:eastAsia="en-AU"/>
              </w:rPr>
            </w:pPr>
            <w:r w:rsidRPr="00900281">
              <w:rPr>
                <w:rFonts w:ascii="Calibri" w:eastAsia="Times New Roman" w:hAnsi="Calibri" w:cs="Calibri"/>
                <w:color w:val="000000"/>
                <w:lang w:eastAsia="en-AU"/>
              </w:rPr>
              <w:t>C2</w:t>
            </w:r>
          </w:p>
        </w:tc>
        <w:tc>
          <w:tcPr>
            <w:tcW w:w="2060" w:type="dxa"/>
            <w:tcBorders>
              <w:top w:val="nil"/>
              <w:left w:val="nil"/>
              <w:bottom w:val="single" w:sz="4" w:space="0" w:color="auto"/>
              <w:right w:val="single" w:sz="4" w:space="0" w:color="auto"/>
            </w:tcBorders>
            <w:shd w:val="clear" w:color="auto" w:fill="auto"/>
            <w:noWrap/>
            <w:vAlign w:val="bottom"/>
            <w:hideMark/>
          </w:tcPr>
          <w:p w:rsidR="00900281" w:rsidRPr="00900281" w:rsidRDefault="00900281" w:rsidP="00900281">
            <w:pPr>
              <w:spacing w:after="0" w:line="240" w:lineRule="auto"/>
              <w:jc w:val="center"/>
              <w:rPr>
                <w:rFonts w:ascii="Calibri" w:eastAsia="Times New Roman" w:hAnsi="Calibri" w:cs="Calibri"/>
                <w:color w:val="000000"/>
                <w:lang w:eastAsia="en-AU"/>
              </w:rPr>
            </w:pPr>
            <w:r w:rsidRPr="00900281">
              <w:rPr>
                <w:rFonts w:ascii="Calibri" w:eastAsia="Times New Roman" w:hAnsi="Calibri" w:cs="Calibri"/>
                <w:color w:val="000000"/>
                <w:lang w:eastAsia="en-AU"/>
              </w:rPr>
              <w:t>2</w:t>
            </w:r>
          </w:p>
        </w:tc>
        <w:tc>
          <w:tcPr>
            <w:tcW w:w="1960" w:type="dxa"/>
            <w:tcBorders>
              <w:top w:val="nil"/>
              <w:left w:val="nil"/>
              <w:bottom w:val="single" w:sz="4" w:space="0" w:color="auto"/>
              <w:right w:val="single" w:sz="4" w:space="0" w:color="auto"/>
            </w:tcBorders>
            <w:shd w:val="clear" w:color="auto" w:fill="auto"/>
            <w:noWrap/>
            <w:vAlign w:val="bottom"/>
            <w:hideMark/>
          </w:tcPr>
          <w:p w:rsidR="00900281" w:rsidRPr="00900281" w:rsidRDefault="00900281" w:rsidP="00900281">
            <w:pPr>
              <w:spacing w:after="0" w:line="240" w:lineRule="auto"/>
              <w:jc w:val="center"/>
              <w:rPr>
                <w:rFonts w:ascii="Calibri" w:eastAsia="Times New Roman" w:hAnsi="Calibri" w:cs="Calibri"/>
                <w:color w:val="000000"/>
                <w:lang w:eastAsia="en-AU"/>
              </w:rPr>
            </w:pPr>
            <w:r w:rsidRPr="00900281">
              <w:rPr>
                <w:rFonts w:ascii="Calibri" w:eastAsia="Times New Roman" w:hAnsi="Calibri" w:cs="Calibri"/>
                <w:color w:val="000000"/>
                <w:lang w:eastAsia="en-AU"/>
              </w:rPr>
              <w:t>2-5</w:t>
            </w:r>
          </w:p>
        </w:tc>
      </w:tr>
      <w:tr w:rsidR="00900281" w:rsidRPr="00900281" w:rsidTr="00900281">
        <w:trPr>
          <w:trHeight w:val="28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900281" w:rsidRPr="00900281" w:rsidRDefault="00900281" w:rsidP="00900281">
            <w:pPr>
              <w:spacing w:after="0" w:line="240" w:lineRule="auto"/>
              <w:rPr>
                <w:rFonts w:ascii="Calibri" w:eastAsia="Times New Roman" w:hAnsi="Calibri" w:cs="Calibri"/>
                <w:color w:val="000000"/>
                <w:lang w:eastAsia="en-AU"/>
              </w:rPr>
            </w:pPr>
            <w:r w:rsidRPr="00900281">
              <w:rPr>
                <w:rFonts w:ascii="Calibri" w:eastAsia="Times New Roman" w:hAnsi="Calibri" w:cs="Calibri"/>
                <w:color w:val="000000"/>
                <w:lang w:eastAsia="en-AU"/>
              </w:rPr>
              <w:t>C1</w:t>
            </w:r>
          </w:p>
        </w:tc>
        <w:tc>
          <w:tcPr>
            <w:tcW w:w="2060" w:type="dxa"/>
            <w:tcBorders>
              <w:top w:val="nil"/>
              <w:left w:val="nil"/>
              <w:bottom w:val="single" w:sz="4" w:space="0" w:color="auto"/>
              <w:right w:val="single" w:sz="4" w:space="0" w:color="auto"/>
            </w:tcBorders>
            <w:shd w:val="clear" w:color="auto" w:fill="auto"/>
            <w:noWrap/>
            <w:vAlign w:val="bottom"/>
            <w:hideMark/>
          </w:tcPr>
          <w:p w:rsidR="00900281" w:rsidRPr="00900281" w:rsidRDefault="00900281" w:rsidP="00900281">
            <w:pPr>
              <w:spacing w:after="0" w:line="240" w:lineRule="auto"/>
              <w:jc w:val="center"/>
              <w:rPr>
                <w:rFonts w:ascii="Calibri" w:eastAsia="Times New Roman" w:hAnsi="Calibri" w:cs="Calibri"/>
                <w:color w:val="000000"/>
                <w:lang w:eastAsia="en-AU"/>
              </w:rPr>
            </w:pPr>
            <w:r w:rsidRPr="00900281">
              <w:rPr>
                <w:rFonts w:ascii="Calibri" w:eastAsia="Times New Roman" w:hAnsi="Calibri" w:cs="Calibri"/>
                <w:color w:val="000000"/>
                <w:lang w:eastAsia="en-AU"/>
              </w:rPr>
              <w:t>1</w:t>
            </w:r>
          </w:p>
        </w:tc>
        <w:tc>
          <w:tcPr>
            <w:tcW w:w="1960" w:type="dxa"/>
            <w:tcBorders>
              <w:top w:val="nil"/>
              <w:left w:val="nil"/>
              <w:bottom w:val="single" w:sz="4" w:space="0" w:color="auto"/>
              <w:right w:val="single" w:sz="4" w:space="0" w:color="auto"/>
            </w:tcBorders>
            <w:shd w:val="clear" w:color="auto" w:fill="auto"/>
            <w:noWrap/>
            <w:vAlign w:val="bottom"/>
            <w:hideMark/>
          </w:tcPr>
          <w:p w:rsidR="00900281" w:rsidRPr="00900281" w:rsidRDefault="00900281" w:rsidP="00900281">
            <w:pPr>
              <w:spacing w:after="0" w:line="240" w:lineRule="auto"/>
              <w:jc w:val="center"/>
              <w:rPr>
                <w:rFonts w:ascii="Calibri" w:eastAsia="Times New Roman" w:hAnsi="Calibri" w:cs="Calibri"/>
                <w:color w:val="000000"/>
                <w:lang w:eastAsia="en-AU"/>
              </w:rPr>
            </w:pPr>
            <w:r w:rsidRPr="00900281">
              <w:rPr>
                <w:rFonts w:ascii="Calibri" w:eastAsia="Times New Roman" w:hAnsi="Calibri" w:cs="Calibri"/>
                <w:color w:val="000000"/>
                <w:lang w:eastAsia="en-AU"/>
              </w:rPr>
              <w:t>1-5</w:t>
            </w:r>
          </w:p>
        </w:tc>
      </w:tr>
    </w:tbl>
    <w:p w:rsidR="00900281" w:rsidRDefault="00900281" w:rsidP="00900281"/>
    <w:p w:rsidR="005459DB" w:rsidRPr="009B241D" w:rsidRDefault="005459DB" w:rsidP="005459DB">
      <w:pPr>
        <w:autoSpaceDE w:val="0"/>
        <w:autoSpaceDN w:val="0"/>
        <w:adjustRightInd w:val="0"/>
        <w:spacing w:after="0" w:line="240" w:lineRule="auto"/>
        <w:rPr>
          <w:rFonts w:cstheme="minorHAnsi"/>
          <w:sz w:val="21"/>
          <w:szCs w:val="21"/>
        </w:rPr>
      </w:pPr>
      <w:r w:rsidRPr="009B241D">
        <w:rPr>
          <w:rFonts w:cstheme="minorHAnsi"/>
          <w:sz w:val="21"/>
          <w:szCs w:val="21"/>
        </w:rPr>
        <w:t>For example, consider a participant who has been in the Scheme for a total of five years and who responded to the P0toSS questionnaire at baseline and review 1, then to the PSto14 questionnaire at reviews 2 to 5. For the indicator:</w:t>
      </w:r>
    </w:p>
    <w:p w:rsidR="005459DB" w:rsidRPr="009B241D" w:rsidRDefault="005459DB" w:rsidP="005459DB">
      <w:pPr>
        <w:pStyle w:val="ListParagraph"/>
        <w:numPr>
          <w:ilvl w:val="0"/>
          <w:numId w:val="40"/>
        </w:numPr>
        <w:autoSpaceDE w:val="0"/>
        <w:autoSpaceDN w:val="0"/>
        <w:adjustRightInd w:val="0"/>
        <w:spacing w:after="0" w:line="240" w:lineRule="auto"/>
        <w:rPr>
          <w:rFonts w:cstheme="minorHAnsi"/>
          <w:sz w:val="21"/>
          <w:szCs w:val="21"/>
        </w:rPr>
      </w:pPr>
      <w:r w:rsidRPr="009B241D">
        <w:rPr>
          <w:rFonts w:cstheme="minorHAnsi"/>
          <w:sz w:val="21"/>
          <w:szCs w:val="21"/>
        </w:rPr>
        <w:t>“My child is able to tell me what he/she wants” (only asked in P0toSS), the participant would be in cohort C1 (i.e. one review has occurred since baseline where this indicator was asked).</w:t>
      </w:r>
    </w:p>
    <w:p w:rsidR="005459DB" w:rsidRPr="009B241D" w:rsidRDefault="005459DB" w:rsidP="005459DB">
      <w:pPr>
        <w:pStyle w:val="ListParagraph"/>
        <w:numPr>
          <w:ilvl w:val="0"/>
          <w:numId w:val="40"/>
        </w:numPr>
        <w:autoSpaceDE w:val="0"/>
        <w:autoSpaceDN w:val="0"/>
        <w:adjustRightInd w:val="0"/>
        <w:spacing w:after="0" w:line="240" w:lineRule="auto"/>
        <w:rPr>
          <w:rFonts w:cstheme="minorHAnsi"/>
          <w:sz w:val="21"/>
          <w:szCs w:val="21"/>
        </w:rPr>
      </w:pPr>
      <w:r w:rsidRPr="009B241D">
        <w:rPr>
          <w:rFonts w:cstheme="minorHAnsi"/>
          <w:sz w:val="21"/>
          <w:szCs w:val="21"/>
        </w:rPr>
        <w:t>“My child can make friends with people outside the family” (asked in both P0toSS and PSto14), the participant would be in cohort C5 (i.e. five reviews for this indicator have occurred since baseline).</w:t>
      </w:r>
    </w:p>
    <w:p w:rsidR="00F26BD3" w:rsidRPr="009B241D" w:rsidRDefault="005459DB" w:rsidP="00F26BD3">
      <w:pPr>
        <w:pStyle w:val="ListParagraph"/>
        <w:numPr>
          <w:ilvl w:val="0"/>
          <w:numId w:val="40"/>
        </w:numPr>
        <w:rPr>
          <w:rFonts w:cstheme="minorHAnsi"/>
        </w:rPr>
      </w:pPr>
      <w:r w:rsidRPr="009B241D">
        <w:rPr>
          <w:rFonts w:cstheme="minorHAnsi"/>
          <w:sz w:val="21"/>
          <w:szCs w:val="21"/>
        </w:rPr>
        <w:t>“My child is becoming more independent” (only asked in PSto14), the participant would be in cohort C3 (i.e. the participant first responded to this indicator at review 2 (which becomes the reset baseline) and three reviews have occurred since this reset baseline).</w:t>
      </w:r>
    </w:p>
    <w:p w:rsidR="00F26BD3" w:rsidRDefault="00F26BD3" w:rsidP="00F26BD3">
      <w:pPr>
        <w:pStyle w:val="Heading2"/>
      </w:pPr>
      <w:bookmarkStart w:id="96" w:name="_Toc121151468"/>
      <w:r>
        <w:t>Slide 86: Treatment of “Has the NDIS helped” questions</w:t>
      </w:r>
      <w:bookmarkEnd w:id="96"/>
    </w:p>
    <w:p w:rsidR="00F26BD3" w:rsidRPr="009B241D" w:rsidRDefault="00F26BD3" w:rsidP="00F26BD3">
      <w:pPr>
        <w:autoSpaceDE w:val="0"/>
        <w:autoSpaceDN w:val="0"/>
        <w:adjustRightInd w:val="0"/>
        <w:spacing w:after="0" w:line="240" w:lineRule="auto"/>
        <w:rPr>
          <w:rFonts w:cstheme="minorHAnsi"/>
          <w:sz w:val="21"/>
          <w:szCs w:val="21"/>
        </w:rPr>
      </w:pPr>
      <w:r w:rsidRPr="009B241D">
        <w:rPr>
          <w:rFonts w:cstheme="minorHAnsi"/>
          <w:sz w:val="21"/>
          <w:szCs w:val="21"/>
        </w:rPr>
        <w:t>The final question in each domain asks whether the participant thinks that the NDIS has helped with areas related to that domain. In reporting on these questions:</w:t>
      </w:r>
    </w:p>
    <w:p w:rsidR="00F26BD3" w:rsidRPr="009B241D" w:rsidRDefault="00F26BD3" w:rsidP="00F26BD3">
      <w:pPr>
        <w:pStyle w:val="ListParagraph"/>
        <w:numPr>
          <w:ilvl w:val="0"/>
          <w:numId w:val="41"/>
        </w:numPr>
        <w:autoSpaceDE w:val="0"/>
        <w:autoSpaceDN w:val="0"/>
        <w:adjustRightInd w:val="0"/>
        <w:spacing w:after="0" w:line="240" w:lineRule="auto"/>
        <w:rPr>
          <w:rFonts w:cstheme="minorHAnsi"/>
          <w:sz w:val="21"/>
          <w:szCs w:val="21"/>
        </w:rPr>
      </w:pPr>
      <w:r w:rsidRPr="009B241D">
        <w:rPr>
          <w:rFonts w:cstheme="minorHAnsi"/>
          <w:sz w:val="21"/>
          <w:szCs w:val="21"/>
        </w:rPr>
        <w:t>Only responses at first and subsequent reviews are included, since the Scheme has not had an opportunity to have an impact at baseline.</w:t>
      </w:r>
    </w:p>
    <w:p w:rsidR="00F26BD3" w:rsidRPr="009B241D" w:rsidRDefault="00F26BD3" w:rsidP="00F26BD3">
      <w:pPr>
        <w:pStyle w:val="ListParagraph"/>
        <w:numPr>
          <w:ilvl w:val="0"/>
          <w:numId w:val="41"/>
        </w:numPr>
        <w:autoSpaceDE w:val="0"/>
        <w:autoSpaceDN w:val="0"/>
        <w:adjustRightInd w:val="0"/>
        <w:spacing w:after="0" w:line="240" w:lineRule="auto"/>
        <w:rPr>
          <w:rFonts w:cstheme="minorHAnsi"/>
          <w:sz w:val="21"/>
          <w:szCs w:val="21"/>
        </w:rPr>
      </w:pPr>
      <w:r w:rsidRPr="009B241D">
        <w:rPr>
          <w:rFonts w:cstheme="minorHAnsi"/>
          <w:sz w:val="21"/>
          <w:szCs w:val="21"/>
        </w:rPr>
        <w:t>All responses from review 1 onwards contribute to the analysis, and responses are allocated to the age group and duration in Scheme applicable at the time of response. For example, a participant ageing up at review 3 would be included in the new age group from review 3.</w:t>
      </w:r>
    </w:p>
    <w:p w:rsidR="00F26BD3" w:rsidRPr="009B241D" w:rsidRDefault="00F26BD3" w:rsidP="00F26BD3">
      <w:pPr>
        <w:pStyle w:val="ListParagraph"/>
        <w:numPr>
          <w:ilvl w:val="0"/>
          <w:numId w:val="41"/>
        </w:numPr>
        <w:rPr>
          <w:rFonts w:cstheme="minorHAnsi"/>
        </w:rPr>
      </w:pPr>
      <w:r w:rsidRPr="009B241D">
        <w:rPr>
          <w:rFonts w:cstheme="minorHAnsi"/>
          <w:sz w:val="21"/>
          <w:szCs w:val="21"/>
        </w:rPr>
        <w:t>Hence the analysis is cross-sectional by time in Scheme, i.e. results at review t represent a snapshot of all participants’ views as at t years in the Scheme. This is in contrast to the longitudinal (by time in Scheme) presentation for the outcome indicators. The rationale for this difference is that the “Has the NDIS helped” questions measure satisfaction with the Scheme, rather than outcomes of participants.</w:t>
      </w:r>
    </w:p>
    <w:p w:rsidR="008E2D4F" w:rsidRDefault="008E2D4F" w:rsidP="008E2D4F"/>
    <w:p w:rsidR="008E2D4F" w:rsidRDefault="008E2D4F" w:rsidP="008E2D4F">
      <w:pPr>
        <w:pStyle w:val="Heading2"/>
      </w:pPr>
      <w:bookmarkStart w:id="97" w:name="_Toc121151469"/>
      <w:r>
        <w:lastRenderedPageBreak/>
        <w:t>Slide 87: closing slide</w:t>
      </w:r>
      <w:bookmarkEnd w:id="97"/>
    </w:p>
    <w:p w:rsidR="00F26BD3" w:rsidRPr="00900281" w:rsidRDefault="00F26BD3" w:rsidP="00F26BD3"/>
    <w:p w:rsidR="007A69B7" w:rsidRPr="009C3A4D" w:rsidRDefault="007A69B7" w:rsidP="009C3A4D">
      <w:pPr>
        <w:autoSpaceDE w:val="0"/>
        <w:autoSpaceDN w:val="0"/>
        <w:adjustRightInd w:val="0"/>
        <w:spacing w:after="0" w:line="240" w:lineRule="auto"/>
      </w:pPr>
    </w:p>
    <w:sectPr w:rsidR="007A69B7" w:rsidRPr="009C3A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614" w:rsidRDefault="00632614" w:rsidP="003F11C0">
      <w:pPr>
        <w:spacing w:after="0" w:line="240" w:lineRule="auto"/>
      </w:pPr>
      <w:r>
        <w:separator/>
      </w:r>
    </w:p>
  </w:endnote>
  <w:endnote w:type="continuationSeparator" w:id="0">
    <w:p w:rsidR="00632614" w:rsidRDefault="00632614" w:rsidP="003F1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FS Me">
    <w:altName w:val="FS Me"/>
    <w:panose1 w:val="00000000000000000000"/>
    <w:charset w:val="00"/>
    <w:family w:val="swiss"/>
    <w:notTrueType/>
    <w:pitch w:val="default"/>
    <w:sig w:usb0="00000003" w:usb1="00000000" w:usb2="00000000" w:usb3="00000000" w:csb0="00000001" w:csb1="00000000"/>
  </w:font>
  <w:font w:name="FS Me Light">
    <w:altName w:val="FS Me Light"/>
    <w:charset w:val="00"/>
    <w:family w:val="auto"/>
    <w:pitch w:val="variable"/>
    <w:sig w:usb0="00000003"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FS Me Pro Light">
    <w:altName w:val="FS Me Pro Light"/>
    <w:panose1 w:val="00000000000000000000"/>
    <w:charset w:val="00"/>
    <w:family w:val="swiss"/>
    <w:notTrueType/>
    <w:pitch w:val="default"/>
    <w:sig w:usb0="00000003" w:usb1="00000000" w:usb2="00000000" w:usb3="00000000" w:csb0="00000001" w:csb1="00000000"/>
  </w:font>
  <w:font w:name="FSMePro-Light">
    <w:panose1 w:val="00000000000000000000"/>
    <w:charset w:val="00"/>
    <w:family w:val="auto"/>
    <w:notTrueType/>
    <w:pitch w:val="default"/>
    <w:sig w:usb0="00000003" w:usb1="00000000" w:usb2="00000000" w:usb3="00000000" w:csb0="00000001" w:csb1="00000000"/>
  </w:font>
  <w:font w:name="FSMePro">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614" w:rsidRDefault="00632614" w:rsidP="003F11C0">
      <w:pPr>
        <w:spacing w:after="0" w:line="240" w:lineRule="auto"/>
      </w:pPr>
      <w:r>
        <w:separator/>
      </w:r>
    </w:p>
  </w:footnote>
  <w:footnote w:type="continuationSeparator" w:id="0">
    <w:p w:rsidR="00632614" w:rsidRDefault="00632614" w:rsidP="003F11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4AC9"/>
    <w:multiLevelType w:val="hybridMultilevel"/>
    <w:tmpl w:val="2E6C5F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B141DC"/>
    <w:multiLevelType w:val="hybridMultilevel"/>
    <w:tmpl w:val="D3EC9A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241136"/>
    <w:multiLevelType w:val="hybridMultilevel"/>
    <w:tmpl w:val="E8D85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B8118B"/>
    <w:multiLevelType w:val="hybridMultilevel"/>
    <w:tmpl w:val="4AC61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9239BA"/>
    <w:multiLevelType w:val="hybridMultilevel"/>
    <w:tmpl w:val="A126C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9D3673"/>
    <w:multiLevelType w:val="hybridMultilevel"/>
    <w:tmpl w:val="4B929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875808"/>
    <w:multiLevelType w:val="hybridMultilevel"/>
    <w:tmpl w:val="D2DE2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A556DD"/>
    <w:multiLevelType w:val="hybridMultilevel"/>
    <w:tmpl w:val="682E4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D91738"/>
    <w:multiLevelType w:val="hybridMultilevel"/>
    <w:tmpl w:val="F87C5E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2F3833"/>
    <w:multiLevelType w:val="hybridMultilevel"/>
    <w:tmpl w:val="80801F86"/>
    <w:lvl w:ilvl="0" w:tplc="9EF8312C">
      <w:start w:val="1"/>
      <w:numFmt w:val="bullet"/>
      <w:lvlText w:val="•"/>
      <w:lvlJc w:val="left"/>
      <w:pPr>
        <w:tabs>
          <w:tab w:val="num" w:pos="720"/>
        </w:tabs>
        <w:ind w:left="720" w:hanging="360"/>
      </w:pPr>
      <w:rPr>
        <w:rFonts w:ascii="Arial" w:hAnsi="Arial" w:hint="default"/>
      </w:rPr>
    </w:lvl>
    <w:lvl w:ilvl="1" w:tplc="D5E43D86" w:tentative="1">
      <w:start w:val="1"/>
      <w:numFmt w:val="bullet"/>
      <w:lvlText w:val="•"/>
      <w:lvlJc w:val="left"/>
      <w:pPr>
        <w:tabs>
          <w:tab w:val="num" w:pos="1440"/>
        </w:tabs>
        <w:ind w:left="1440" w:hanging="360"/>
      </w:pPr>
      <w:rPr>
        <w:rFonts w:ascii="Arial" w:hAnsi="Arial" w:hint="default"/>
      </w:rPr>
    </w:lvl>
    <w:lvl w:ilvl="2" w:tplc="AE86DA9C" w:tentative="1">
      <w:start w:val="1"/>
      <w:numFmt w:val="bullet"/>
      <w:lvlText w:val="•"/>
      <w:lvlJc w:val="left"/>
      <w:pPr>
        <w:tabs>
          <w:tab w:val="num" w:pos="2160"/>
        </w:tabs>
        <w:ind w:left="2160" w:hanging="360"/>
      </w:pPr>
      <w:rPr>
        <w:rFonts w:ascii="Arial" w:hAnsi="Arial" w:hint="default"/>
      </w:rPr>
    </w:lvl>
    <w:lvl w:ilvl="3" w:tplc="556A2618" w:tentative="1">
      <w:start w:val="1"/>
      <w:numFmt w:val="bullet"/>
      <w:lvlText w:val="•"/>
      <w:lvlJc w:val="left"/>
      <w:pPr>
        <w:tabs>
          <w:tab w:val="num" w:pos="2880"/>
        </w:tabs>
        <w:ind w:left="2880" w:hanging="360"/>
      </w:pPr>
      <w:rPr>
        <w:rFonts w:ascii="Arial" w:hAnsi="Arial" w:hint="default"/>
      </w:rPr>
    </w:lvl>
    <w:lvl w:ilvl="4" w:tplc="E9200CAE" w:tentative="1">
      <w:start w:val="1"/>
      <w:numFmt w:val="bullet"/>
      <w:lvlText w:val="•"/>
      <w:lvlJc w:val="left"/>
      <w:pPr>
        <w:tabs>
          <w:tab w:val="num" w:pos="3600"/>
        </w:tabs>
        <w:ind w:left="3600" w:hanging="360"/>
      </w:pPr>
      <w:rPr>
        <w:rFonts w:ascii="Arial" w:hAnsi="Arial" w:hint="default"/>
      </w:rPr>
    </w:lvl>
    <w:lvl w:ilvl="5" w:tplc="C3D8ED04" w:tentative="1">
      <w:start w:val="1"/>
      <w:numFmt w:val="bullet"/>
      <w:lvlText w:val="•"/>
      <w:lvlJc w:val="left"/>
      <w:pPr>
        <w:tabs>
          <w:tab w:val="num" w:pos="4320"/>
        </w:tabs>
        <w:ind w:left="4320" w:hanging="360"/>
      </w:pPr>
      <w:rPr>
        <w:rFonts w:ascii="Arial" w:hAnsi="Arial" w:hint="default"/>
      </w:rPr>
    </w:lvl>
    <w:lvl w:ilvl="6" w:tplc="3620EAA0" w:tentative="1">
      <w:start w:val="1"/>
      <w:numFmt w:val="bullet"/>
      <w:lvlText w:val="•"/>
      <w:lvlJc w:val="left"/>
      <w:pPr>
        <w:tabs>
          <w:tab w:val="num" w:pos="5040"/>
        </w:tabs>
        <w:ind w:left="5040" w:hanging="360"/>
      </w:pPr>
      <w:rPr>
        <w:rFonts w:ascii="Arial" w:hAnsi="Arial" w:hint="default"/>
      </w:rPr>
    </w:lvl>
    <w:lvl w:ilvl="7" w:tplc="BA108934" w:tentative="1">
      <w:start w:val="1"/>
      <w:numFmt w:val="bullet"/>
      <w:lvlText w:val="•"/>
      <w:lvlJc w:val="left"/>
      <w:pPr>
        <w:tabs>
          <w:tab w:val="num" w:pos="5760"/>
        </w:tabs>
        <w:ind w:left="5760" w:hanging="360"/>
      </w:pPr>
      <w:rPr>
        <w:rFonts w:ascii="Arial" w:hAnsi="Arial" w:hint="default"/>
      </w:rPr>
    </w:lvl>
    <w:lvl w:ilvl="8" w:tplc="16D2FC1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9E22956"/>
    <w:multiLevelType w:val="hybridMultilevel"/>
    <w:tmpl w:val="FE0A71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252F8D"/>
    <w:multiLevelType w:val="hybridMultilevel"/>
    <w:tmpl w:val="00229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3D0763"/>
    <w:multiLevelType w:val="hybridMultilevel"/>
    <w:tmpl w:val="29201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1A12D0"/>
    <w:multiLevelType w:val="hybridMultilevel"/>
    <w:tmpl w:val="CAB655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EF6056B"/>
    <w:multiLevelType w:val="hybridMultilevel"/>
    <w:tmpl w:val="325EC46E"/>
    <w:lvl w:ilvl="0" w:tplc="2E24A420">
      <w:start w:val="1"/>
      <w:numFmt w:val="bullet"/>
      <w:lvlText w:val="•"/>
      <w:lvlJc w:val="left"/>
      <w:pPr>
        <w:tabs>
          <w:tab w:val="num" w:pos="720"/>
        </w:tabs>
        <w:ind w:left="720" w:hanging="360"/>
      </w:pPr>
      <w:rPr>
        <w:rFonts w:ascii="Arial" w:hAnsi="Arial" w:hint="default"/>
      </w:rPr>
    </w:lvl>
    <w:lvl w:ilvl="1" w:tplc="DFB0E084">
      <w:start w:val="28"/>
      <w:numFmt w:val="bullet"/>
      <w:lvlText w:val="•"/>
      <w:lvlJc w:val="left"/>
      <w:pPr>
        <w:tabs>
          <w:tab w:val="num" w:pos="1440"/>
        </w:tabs>
        <w:ind w:left="1440" w:hanging="360"/>
      </w:pPr>
      <w:rPr>
        <w:rFonts w:ascii="Arial" w:hAnsi="Arial" w:hint="default"/>
      </w:rPr>
    </w:lvl>
    <w:lvl w:ilvl="2" w:tplc="AB5207EC" w:tentative="1">
      <w:start w:val="1"/>
      <w:numFmt w:val="bullet"/>
      <w:lvlText w:val="•"/>
      <w:lvlJc w:val="left"/>
      <w:pPr>
        <w:tabs>
          <w:tab w:val="num" w:pos="2160"/>
        </w:tabs>
        <w:ind w:left="2160" w:hanging="360"/>
      </w:pPr>
      <w:rPr>
        <w:rFonts w:ascii="Arial" w:hAnsi="Arial" w:hint="default"/>
      </w:rPr>
    </w:lvl>
    <w:lvl w:ilvl="3" w:tplc="513616AA" w:tentative="1">
      <w:start w:val="1"/>
      <w:numFmt w:val="bullet"/>
      <w:lvlText w:val="•"/>
      <w:lvlJc w:val="left"/>
      <w:pPr>
        <w:tabs>
          <w:tab w:val="num" w:pos="2880"/>
        </w:tabs>
        <w:ind w:left="2880" w:hanging="360"/>
      </w:pPr>
      <w:rPr>
        <w:rFonts w:ascii="Arial" w:hAnsi="Arial" w:hint="default"/>
      </w:rPr>
    </w:lvl>
    <w:lvl w:ilvl="4" w:tplc="F6DCFDB0" w:tentative="1">
      <w:start w:val="1"/>
      <w:numFmt w:val="bullet"/>
      <w:lvlText w:val="•"/>
      <w:lvlJc w:val="left"/>
      <w:pPr>
        <w:tabs>
          <w:tab w:val="num" w:pos="3600"/>
        </w:tabs>
        <w:ind w:left="3600" w:hanging="360"/>
      </w:pPr>
      <w:rPr>
        <w:rFonts w:ascii="Arial" w:hAnsi="Arial" w:hint="default"/>
      </w:rPr>
    </w:lvl>
    <w:lvl w:ilvl="5" w:tplc="03CE5B8C" w:tentative="1">
      <w:start w:val="1"/>
      <w:numFmt w:val="bullet"/>
      <w:lvlText w:val="•"/>
      <w:lvlJc w:val="left"/>
      <w:pPr>
        <w:tabs>
          <w:tab w:val="num" w:pos="4320"/>
        </w:tabs>
        <w:ind w:left="4320" w:hanging="360"/>
      </w:pPr>
      <w:rPr>
        <w:rFonts w:ascii="Arial" w:hAnsi="Arial" w:hint="default"/>
      </w:rPr>
    </w:lvl>
    <w:lvl w:ilvl="6" w:tplc="8AF6924E" w:tentative="1">
      <w:start w:val="1"/>
      <w:numFmt w:val="bullet"/>
      <w:lvlText w:val="•"/>
      <w:lvlJc w:val="left"/>
      <w:pPr>
        <w:tabs>
          <w:tab w:val="num" w:pos="5040"/>
        </w:tabs>
        <w:ind w:left="5040" w:hanging="360"/>
      </w:pPr>
      <w:rPr>
        <w:rFonts w:ascii="Arial" w:hAnsi="Arial" w:hint="default"/>
      </w:rPr>
    </w:lvl>
    <w:lvl w:ilvl="7" w:tplc="4B4AADDE" w:tentative="1">
      <w:start w:val="1"/>
      <w:numFmt w:val="bullet"/>
      <w:lvlText w:val="•"/>
      <w:lvlJc w:val="left"/>
      <w:pPr>
        <w:tabs>
          <w:tab w:val="num" w:pos="5760"/>
        </w:tabs>
        <w:ind w:left="5760" w:hanging="360"/>
      </w:pPr>
      <w:rPr>
        <w:rFonts w:ascii="Arial" w:hAnsi="Arial" w:hint="default"/>
      </w:rPr>
    </w:lvl>
    <w:lvl w:ilvl="8" w:tplc="B3B83E3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1225C65"/>
    <w:multiLevelType w:val="hybridMultilevel"/>
    <w:tmpl w:val="A6A0C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E04A1E"/>
    <w:multiLevelType w:val="hybridMultilevel"/>
    <w:tmpl w:val="41143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DF7E0A"/>
    <w:multiLevelType w:val="hybridMultilevel"/>
    <w:tmpl w:val="3BCA2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615182"/>
    <w:multiLevelType w:val="hybridMultilevel"/>
    <w:tmpl w:val="40C64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EE4E96"/>
    <w:multiLevelType w:val="hybridMultilevel"/>
    <w:tmpl w:val="07300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DF6322"/>
    <w:multiLevelType w:val="hybridMultilevel"/>
    <w:tmpl w:val="D55A7BD8"/>
    <w:lvl w:ilvl="0" w:tplc="9982AFBA">
      <w:start w:val="1"/>
      <w:numFmt w:val="lowerLetter"/>
      <w:lvlText w:val="%1)"/>
      <w:lvlJc w:val="left"/>
      <w:pPr>
        <w:tabs>
          <w:tab w:val="num" w:pos="720"/>
        </w:tabs>
        <w:ind w:left="720" w:hanging="360"/>
      </w:pPr>
    </w:lvl>
    <w:lvl w:ilvl="1" w:tplc="157A6D16" w:tentative="1">
      <w:start w:val="1"/>
      <w:numFmt w:val="lowerLetter"/>
      <w:lvlText w:val="%2)"/>
      <w:lvlJc w:val="left"/>
      <w:pPr>
        <w:tabs>
          <w:tab w:val="num" w:pos="1440"/>
        </w:tabs>
        <w:ind w:left="1440" w:hanging="360"/>
      </w:pPr>
    </w:lvl>
    <w:lvl w:ilvl="2" w:tplc="58C4E226" w:tentative="1">
      <w:start w:val="1"/>
      <w:numFmt w:val="lowerLetter"/>
      <w:lvlText w:val="%3)"/>
      <w:lvlJc w:val="left"/>
      <w:pPr>
        <w:tabs>
          <w:tab w:val="num" w:pos="2160"/>
        </w:tabs>
        <w:ind w:left="2160" w:hanging="360"/>
      </w:pPr>
    </w:lvl>
    <w:lvl w:ilvl="3" w:tplc="6756BF90" w:tentative="1">
      <w:start w:val="1"/>
      <w:numFmt w:val="lowerLetter"/>
      <w:lvlText w:val="%4)"/>
      <w:lvlJc w:val="left"/>
      <w:pPr>
        <w:tabs>
          <w:tab w:val="num" w:pos="2880"/>
        </w:tabs>
        <w:ind w:left="2880" w:hanging="360"/>
      </w:pPr>
    </w:lvl>
    <w:lvl w:ilvl="4" w:tplc="7E9CBC08" w:tentative="1">
      <w:start w:val="1"/>
      <w:numFmt w:val="lowerLetter"/>
      <w:lvlText w:val="%5)"/>
      <w:lvlJc w:val="left"/>
      <w:pPr>
        <w:tabs>
          <w:tab w:val="num" w:pos="3600"/>
        </w:tabs>
        <w:ind w:left="3600" w:hanging="360"/>
      </w:pPr>
    </w:lvl>
    <w:lvl w:ilvl="5" w:tplc="1AB4C8F0" w:tentative="1">
      <w:start w:val="1"/>
      <w:numFmt w:val="lowerLetter"/>
      <w:lvlText w:val="%6)"/>
      <w:lvlJc w:val="left"/>
      <w:pPr>
        <w:tabs>
          <w:tab w:val="num" w:pos="4320"/>
        </w:tabs>
        <w:ind w:left="4320" w:hanging="360"/>
      </w:pPr>
    </w:lvl>
    <w:lvl w:ilvl="6" w:tplc="3A82FF94" w:tentative="1">
      <w:start w:val="1"/>
      <w:numFmt w:val="lowerLetter"/>
      <w:lvlText w:val="%7)"/>
      <w:lvlJc w:val="left"/>
      <w:pPr>
        <w:tabs>
          <w:tab w:val="num" w:pos="5040"/>
        </w:tabs>
        <w:ind w:left="5040" w:hanging="360"/>
      </w:pPr>
    </w:lvl>
    <w:lvl w:ilvl="7" w:tplc="97A2B656" w:tentative="1">
      <w:start w:val="1"/>
      <w:numFmt w:val="lowerLetter"/>
      <w:lvlText w:val="%8)"/>
      <w:lvlJc w:val="left"/>
      <w:pPr>
        <w:tabs>
          <w:tab w:val="num" w:pos="5760"/>
        </w:tabs>
        <w:ind w:left="5760" w:hanging="360"/>
      </w:pPr>
    </w:lvl>
    <w:lvl w:ilvl="8" w:tplc="913414F0" w:tentative="1">
      <w:start w:val="1"/>
      <w:numFmt w:val="lowerLetter"/>
      <w:lvlText w:val="%9)"/>
      <w:lvlJc w:val="left"/>
      <w:pPr>
        <w:tabs>
          <w:tab w:val="num" w:pos="6480"/>
        </w:tabs>
        <w:ind w:left="6480" w:hanging="360"/>
      </w:pPr>
    </w:lvl>
  </w:abstractNum>
  <w:abstractNum w:abstractNumId="21" w15:restartNumberingAfterBreak="0">
    <w:nsid w:val="483A2792"/>
    <w:multiLevelType w:val="hybridMultilevel"/>
    <w:tmpl w:val="90D6D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441DA1"/>
    <w:multiLevelType w:val="hybridMultilevel"/>
    <w:tmpl w:val="BDF4C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B7432F"/>
    <w:multiLevelType w:val="hybridMultilevel"/>
    <w:tmpl w:val="398E4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C73C9F"/>
    <w:multiLevelType w:val="hybridMultilevel"/>
    <w:tmpl w:val="E0A47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3F260F"/>
    <w:multiLevelType w:val="hybridMultilevel"/>
    <w:tmpl w:val="9B3CD4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E05C51"/>
    <w:multiLevelType w:val="hybridMultilevel"/>
    <w:tmpl w:val="99607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264C2C"/>
    <w:multiLevelType w:val="hybridMultilevel"/>
    <w:tmpl w:val="12B282FC"/>
    <w:lvl w:ilvl="0" w:tplc="7350430A">
      <w:start w:val="1"/>
      <w:numFmt w:val="bullet"/>
      <w:lvlText w:val="•"/>
      <w:lvlJc w:val="left"/>
      <w:pPr>
        <w:tabs>
          <w:tab w:val="num" w:pos="360"/>
        </w:tabs>
        <w:ind w:left="360" w:hanging="360"/>
      </w:pPr>
      <w:rPr>
        <w:rFonts w:ascii="Arial" w:hAnsi="Arial" w:hint="default"/>
      </w:rPr>
    </w:lvl>
    <w:lvl w:ilvl="1" w:tplc="5694F794" w:tentative="1">
      <w:start w:val="1"/>
      <w:numFmt w:val="bullet"/>
      <w:lvlText w:val="•"/>
      <w:lvlJc w:val="left"/>
      <w:pPr>
        <w:tabs>
          <w:tab w:val="num" w:pos="1080"/>
        </w:tabs>
        <w:ind w:left="1080" w:hanging="360"/>
      </w:pPr>
      <w:rPr>
        <w:rFonts w:ascii="Arial" w:hAnsi="Arial" w:hint="default"/>
      </w:rPr>
    </w:lvl>
    <w:lvl w:ilvl="2" w:tplc="8E40C05E" w:tentative="1">
      <w:start w:val="1"/>
      <w:numFmt w:val="bullet"/>
      <w:lvlText w:val="•"/>
      <w:lvlJc w:val="left"/>
      <w:pPr>
        <w:tabs>
          <w:tab w:val="num" w:pos="1800"/>
        </w:tabs>
        <w:ind w:left="1800" w:hanging="360"/>
      </w:pPr>
      <w:rPr>
        <w:rFonts w:ascii="Arial" w:hAnsi="Arial" w:hint="default"/>
      </w:rPr>
    </w:lvl>
    <w:lvl w:ilvl="3" w:tplc="895AA5B2" w:tentative="1">
      <w:start w:val="1"/>
      <w:numFmt w:val="bullet"/>
      <w:lvlText w:val="•"/>
      <w:lvlJc w:val="left"/>
      <w:pPr>
        <w:tabs>
          <w:tab w:val="num" w:pos="2520"/>
        </w:tabs>
        <w:ind w:left="2520" w:hanging="360"/>
      </w:pPr>
      <w:rPr>
        <w:rFonts w:ascii="Arial" w:hAnsi="Arial" w:hint="default"/>
      </w:rPr>
    </w:lvl>
    <w:lvl w:ilvl="4" w:tplc="3ABED9F6" w:tentative="1">
      <w:start w:val="1"/>
      <w:numFmt w:val="bullet"/>
      <w:lvlText w:val="•"/>
      <w:lvlJc w:val="left"/>
      <w:pPr>
        <w:tabs>
          <w:tab w:val="num" w:pos="3240"/>
        </w:tabs>
        <w:ind w:left="3240" w:hanging="360"/>
      </w:pPr>
      <w:rPr>
        <w:rFonts w:ascii="Arial" w:hAnsi="Arial" w:hint="default"/>
      </w:rPr>
    </w:lvl>
    <w:lvl w:ilvl="5" w:tplc="620CE478" w:tentative="1">
      <w:start w:val="1"/>
      <w:numFmt w:val="bullet"/>
      <w:lvlText w:val="•"/>
      <w:lvlJc w:val="left"/>
      <w:pPr>
        <w:tabs>
          <w:tab w:val="num" w:pos="3960"/>
        </w:tabs>
        <w:ind w:left="3960" w:hanging="360"/>
      </w:pPr>
      <w:rPr>
        <w:rFonts w:ascii="Arial" w:hAnsi="Arial" w:hint="default"/>
      </w:rPr>
    </w:lvl>
    <w:lvl w:ilvl="6" w:tplc="86887C6A" w:tentative="1">
      <w:start w:val="1"/>
      <w:numFmt w:val="bullet"/>
      <w:lvlText w:val="•"/>
      <w:lvlJc w:val="left"/>
      <w:pPr>
        <w:tabs>
          <w:tab w:val="num" w:pos="4680"/>
        </w:tabs>
        <w:ind w:left="4680" w:hanging="360"/>
      </w:pPr>
      <w:rPr>
        <w:rFonts w:ascii="Arial" w:hAnsi="Arial" w:hint="default"/>
      </w:rPr>
    </w:lvl>
    <w:lvl w:ilvl="7" w:tplc="7A1AD886" w:tentative="1">
      <w:start w:val="1"/>
      <w:numFmt w:val="bullet"/>
      <w:lvlText w:val="•"/>
      <w:lvlJc w:val="left"/>
      <w:pPr>
        <w:tabs>
          <w:tab w:val="num" w:pos="5400"/>
        </w:tabs>
        <w:ind w:left="5400" w:hanging="360"/>
      </w:pPr>
      <w:rPr>
        <w:rFonts w:ascii="Arial" w:hAnsi="Arial" w:hint="default"/>
      </w:rPr>
    </w:lvl>
    <w:lvl w:ilvl="8" w:tplc="23CA88EA"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566C2B88"/>
    <w:multiLevelType w:val="hybridMultilevel"/>
    <w:tmpl w:val="C67CF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06B3BCF"/>
    <w:multiLevelType w:val="hybridMultilevel"/>
    <w:tmpl w:val="BEF8E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C6289A"/>
    <w:multiLevelType w:val="hybridMultilevel"/>
    <w:tmpl w:val="8DF8D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606E96"/>
    <w:multiLevelType w:val="hybridMultilevel"/>
    <w:tmpl w:val="88080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AC2AEE"/>
    <w:multiLevelType w:val="hybridMultilevel"/>
    <w:tmpl w:val="32427B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B11C86"/>
    <w:multiLevelType w:val="hybridMultilevel"/>
    <w:tmpl w:val="D93ED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C62B30"/>
    <w:multiLevelType w:val="hybridMultilevel"/>
    <w:tmpl w:val="185A8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EF85D54"/>
    <w:multiLevelType w:val="hybridMultilevel"/>
    <w:tmpl w:val="5FD84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0275738"/>
    <w:multiLevelType w:val="hybridMultilevel"/>
    <w:tmpl w:val="817E62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F8258C"/>
    <w:multiLevelType w:val="hybridMultilevel"/>
    <w:tmpl w:val="641AC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54060EE"/>
    <w:multiLevelType w:val="hybridMultilevel"/>
    <w:tmpl w:val="A7060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91B4810"/>
    <w:multiLevelType w:val="hybridMultilevel"/>
    <w:tmpl w:val="B660F900"/>
    <w:lvl w:ilvl="0" w:tplc="01C8D0EA">
      <w:start w:val="1"/>
      <w:numFmt w:val="bullet"/>
      <w:lvlText w:val="•"/>
      <w:lvlJc w:val="left"/>
      <w:pPr>
        <w:tabs>
          <w:tab w:val="num" w:pos="720"/>
        </w:tabs>
        <w:ind w:left="720" w:hanging="360"/>
      </w:pPr>
      <w:rPr>
        <w:rFonts w:ascii="Arial" w:hAnsi="Arial" w:hint="default"/>
      </w:rPr>
    </w:lvl>
    <w:lvl w:ilvl="1" w:tplc="1B56270E" w:tentative="1">
      <w:start w:val="1"/>
      <w:numFmt w:val="bullet"/>
      <w:lvlText w:val="•"/>
      <w:lvlJc w:val="left"/>
      <w:pPr>
        <w:tabs>
          <w:tab w:val="num" w:pos="1440"/>
        </w:tabs>
        <w:ind w:left="1440" w:hanging="360"/>
      </w:pPr>
      <w:rPr>
        <w:rFonts w:ascii="Arial" w:hAnsi="Arial" w:hint="default"/>
      </w:rPr>
    </w:lvl>
    <w:lvl w:ilvl="2" w:tplc="C7440D0E" w:tentative="1">
      <w:start w:val="1"/>
      <w:numFmt w:val="bullet"/>
      <w:lvlText w:val="•"/>
      <w:lvlJc w:val="left"/>
      <w:pPr>
        <w:tabs>
          <w:tab w:val="num" w:pos="2160"/>
        </w:tabs>
        <w:ind w:left="2160" w:hanging="360"/>
      </w:pPr>
      <w:rPr>
        <w:rFonts w:ascii="Arial" w:hAnsi="Arial" w:hint="default"/>
      </w:rPr>
    </w:lvl>
    <w:lvl w:ilvl="3" w:tplc="4C7CB9B4" w:tentative="1">
      <w:start w:val="1"/>
      <w:numFmt w:val="bullet"/>
      <w:lvlText w:val="•"/>
      <w:lvlJc w:val="left"/>
      <w:pPr>
        <w:tabs>
          <w:tab w:val="num" w:pos="2880"/>
        </w:tabs>
        <w:ind w:left="2880" w:hanging="360"/>
      </w:pPr>
      <w:rPr>
        <w:rFonts w:ascii="Arial" w:hAnsi="Arial" w:hint="default"/>
      </w:rPr>
    </w:lvl>
    <w:lvl w:ilvl="4" w:tplc="A60EE3CC" w:tentative="1">
      <w:start w:val="1"/>
      <w:numFmt w:val="bullet"/>
      <w:lvlText w:val="•"/>
      <w:lvlJc w:val="left"/>
      <w:pPr>
        <w:tabs>
          <w:tab w:val="num" w:pos="3600"/>
        </w:tabs>
        <w:ind w:left="3600" w:hanging="360"/>
      </w:pPr>
      <w:rPr>
        <w:rFonts w:ascii="Arial" w:hAnsi="Arial" w:hint="default"/>
      </w:rPr>
    </w:lvl>
    <w:lvl w:ilvl="5" w:tplc="89C0351A" w:tentative="1">
      <w:start w:val="1"/>
      <w:numFmt w:val="bullet"/>
      <w:lvlText w:val="•"/>
      <w:lvlJc w:val="left"/>
      <w:pPr>
        <w:tabs>
          <w:tab w:val="num" w:pos="4320"/>
        </w:tabs>
        <w:ind w:left="4320" w:hanging="360"/>
      </w:pPr>
      <w:rPr>
        <w:rFonts w:ascii="Arial" w:hAnsi="Arial" w:hint="default"/>
      </w:rPr>
    </w:lvl>
    <w:lvl w:ilvl="6" w:tplc="84F4EC1C" w:tentative="1">
      <w:start w:val="1"/>
      <w:numFmt w:val="bullet"/>
      <w:lvlText w:val="•"/>
      <w:lvlJc w:val="left"/>
      <w:pPr>
        <w:tabs>
          <w:tab w:val="num" w:pos="5040"/>
        </w:tabs>
        <w:ind w:left="5040" w:hanging="360"/>
      </w:pPr>
      <w:rPr>
        <w:rFonts w:ascii="Arial" w:hAnsi="Arial" w:hint="default"/>
      </w:rPr>
    </w:lvl>
    <w:lvl w:ilvl="7" w:tplc="7340CF8E" w:tentative="1">
      <w:start w:val="1"/>
      <w:numFmt w:val="bullet"/>
      <w:lvlText w:val="•"/>
      <w:lvlJc w:val="left"/>
      <w:pPr>
        <w:tabs>
          <w:tab w:val="num" w:pos="5760"/>
        </w:tabs>
        <w:ind w:left="5760" w:hanging="360"/>
      </w:pPr>
      <w:rPr>
        <w:rFonts w:ascii="Arial" w:hAnsi="Arial" w:hint="default"/>
      </w:rPr>
    </w:lvl>
    <w:lvl w:ilvl="8" w:tplc="15F253F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F6E7716"/>
    <w:multiLevelType w:val="hybridMultilevel"/>
    <w:tmpl w:val="A03E1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7"/>
  </w:num>
  <w:num w:numId="4">
    <w:abstractNumId w:val="38"/>
  </w:num>
  <w:num w:numId="5">
    <w:abstractNumId w:val="25"/>
  </w:num>
  <w:num w:numId="6">
    <w:abstractNumId w:val="1"/>
  </w:num>
  <w:num w:numId="7">
    <w:abstractNumId w:val="40"/>
  </w:num>
  <w:num w:numId="8">
    <w:abstractNumId w:val="39"/>
  </w:num>
  <w:num w:numId="9">
    <w:abstractNumId w:val="9"/>
  </w:num>
  <w:num w:numId="10">
    <w:abstractNumId w:val="36"/>
  </w:num>
  <w:num w:numId="11">
    <w:abstractNumId w:val="8"/>
  </w:num>
  <w:num w:numId="12">
    <w:abstractNumId w:val="14"/>
  </w:num>
  <w:num w:numId="13">
    <w:abstractNumId w:val="20"/>
  </w:num>
  <w:num w:numId="14">
    <w:abstractNumId w:val="24"/>
  </w:num>
  <w:num w:numId="15">
    <w:abstractNumId w:val="17"/>
  </w:num>
  <w:num w:numId="16">
    <w:abstractNumId w:val="30"/>
  </w:num>
  <w:num w:numId="17">
    <w:abstractNumId w:val="26"/>
  </w:num>
  <w:num w:numId="18">
    <w:abstractNumId w:val="23"/>
  </w:num>
  <w:num w:numId="19">
    <w:abstractNumId w:val="15"/>
  </w:num>
  <w:num w:numId="20">
    <w:abstractNumId w:val="28"/>
  </w:num>
  <w:num w:numId="21">
    <w:abstractNumId w:val="22"/>
  </w:num>
  <w:num w:numId="22">
    <w:abstractNumId w:val="6"/>
  </w:num>
  <w:num w:numId="23">
    <w:abstractNumId w:val="31"/>
  </w:num>
  <w:num w:numId="24">
    <w:abstractNumId w:val="4"/>
  </w:num>
  <w:num w:numId="25">
    <w:abstractNumId w:val="5"/>
  </w:num>
  <w:num w:numId="26">
    <w:abstractNumId w:val="21"/>
  </w:num>
  <w:num w:numId="27">
    <w:abstractNumId w:val="34"/>
  </w:num>
  <w:num w:numId="28">
    <w:abstractNumId w:val="19"/>
  </w:num>
  <w:num w:numId="29">
    <w:abstractNumId w:val="7"/>
  </w:num>
  <w:num w:numId="30">
    <w:abstractNumId w:val="16"/>
  </w:num>
  <w:num w:numId="31">
    <w:abstractNumId w:val="33"/>
  </w:num>
  <w:num w:numId="32">
    <w:abstractNumId w:val="35"/>
  </w:num>
  <w:num w:numId="33">
    <w:abstractNumId w:val="10"/>
  </w:num>
  <w:num w:numId="34">
    <w:abstractNumId w:val="2"/>
  </w:num>
  <w:num w:numId="35">
    <w:abstractNumId w:val="18"/>
  </w:num>
  <w:num w:numId="36">
    <w:abstractNumId w:val="37"/>
  </w:num>
  <w:num w:numId="37">
    <w:abstractNumId w:val="29"/>
  </w:num>
  <w:num w:numId="38">
    <w:abstractNumId w:val="11"/>
  </w:num>
  <w:num w:numId="39">
    <w:abstractNumId w:val="3"/>
  </w:num>
  <w:num w:numId="40">
    <w:abstractNumId w:val="32"/>
  </w:num>
  <w:num w:numId="41">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543"/>
    <w:rsid w:val="00024A09"/>
    <w:rsid w:val="00031E10"/>
    <w:rsid w:val="0003632D"/>
    <w:rsid w:val="00036AD4"/>
    <w:rsid w:val="00043B05"/>
    <w:rsid w:val="00046777"/>
    <w:rsid w:val="000754C5"/>
    <w:rsid w:val="00086FEA"/>
    <w:rsid w:val="000952EC"/>
    <w:rsid w:val="0009618A"/>
    <w:rsid w:val="000B03E5"/>
    <w:rsid w:val="000C17A6"/>
    <w:rsid w:val="000C1C1B"/>
    <w:rsid w:val="000E0094"/>
    <w:rsid w:val="000E0859"/>
    <w:rsid w:val="000E58B0"/>
    <w:rsid w:val="000E5C29"/>
    <w:rsid w:val="000F28EC"/>
    <w:rsid w:val="000F2C47"/>
    <w:rsid w:val="000F59DD"/>
    <w:rsid w:val="000F62F6"/>
    <w:rsid w:val="000F69FC"/>
    <w:rsid w:val="000F7A79"/>
    <w:rsid w:val="00104C57"/>
    <w:rsid w:val="00106287"/>
    <w:rsid w:val="00106A1A"/>
    <w:rsid w:val="00112A5C"/>
    <w:rsid w:val="00120E67"/>
    <w:rsid w:val="00125830"/>
    <w:rsid w:val="00133334"/>
    <w:rsid w:val="00137FB7"/>
    <w:rsid w:val="001445A0"/>
    <w:rsid w:val="00162823"/>
    <w:rsid w:val="00170F5D"/>
    <w:rsid w:val="001861C6"/>
    <w:rsid w:val="00192012"/>
    <w:rsid w:val="001A498C"/>
    <w:rsid w:val="001A5DA1"/>
    <w:rsid w:val="001A663C"/>
    <w:rsid w:val="001C4ED8"/>
    <w:rsid w:val="001C664E"/>
    <w:rsid w:val="001D14E1"/>
    <w:rsid w:val="001D3639"/>
    <w:rsid w:val="001E61A2"/>
    <w:rsid w:val="001F0B9A"/>
    <w:rsid w:val="001F0D60"/>
    <w:rsid w:val="001F3384"/>
    <w:rsid w:val="002011A6"/>
    <w:rsid w:val="00223932"/>
    <w:rsid w:val="00226ECD"/>
    <w:rsid w:val="0023175E"/>
    <w:rsid w:val="0023228C"/>
    <w:rsid w:val="00233603"/>
    <w:rsid w:val="002401FC"/>
    <w:rsid w:val="002404AB"/>
    <w:rsid w:val="00247E01"/>
    <w:rsid w:val="0025026C"/>
    <w:rsid w:val="00250BD3"/>
    <w:rsid w:val="002532DD"/>
    <w:rsid w:val="002626E6"/>
    <w:rsid w:val="00263C8D"/>
    <w:rsid w:val="00273CF5"/>
    <w:rsid w:val="0027462D"/>
    <w:rsid w:val="0028076A"/>
    <w:rsid w:val="002817DE"/>
    <w:rsid w:val="002837CF"/>
    <w:rsid w:val="0028773C"/>
    <w:rsid w:val="00296F38"/>
    <w:rsid w:val="002A49AD"/>
    <w:rsid w:val="002A52FC"/>
    <w:rsid w:val="002B0423"/>
    <w:rsid w:val="002C3979"/>
    <w:rsid w:val="002D3E5B"/>
    <w:rsid w:val="002D6785"/>
    <w:rsid w:val="002D682F"/>
    <w:rsid w:val="002F51F4"/>
    <w:rsid w:val="002F661A"/>
    <w:rsid w:val="00301717"/>
    <w:rsid w:val="00315247"/>
    <w:rsid w:val="00321B9F"/>
    <w:rsid w:val="00330B2C"/>
    <w:rsid w:val="003321CB"/>
    <w:rsid w:val="003323AC"/>
    <w:rsid w:val="00332B9C"/>
    <w:rsid w:val="00341553"/>
    <w:rsid w:val="0034419E"/>
    <w:rsid w:val="003507E5"/>
    <w:rsid w:val="003521B1"/>
    <w:rsid w:val="00352C43"/>
    <w:rsid w:val="00355CB8"/>
    <w:rsid w:val="003571C1"/>
    <w:rsid w:val="00361AE4"/>
    <w:rsid w:val="00361E39"/>
    <w:rsid w:val="00362513"/>
    <w:rsid w:val="00365135"/>
    <w:rsid w:val="0036542B"/>
    <w:rsid w:val="003756C2"/>
    <w:rsid w:val="00380DD4"/>
    <w:rsid w:val="00386E75"/>
    <w:rsid w:val="00395636"/>
    <w:rsid w:val="003979FF"/>
    <w:rsid w:val="003A000E"/>
    <w:rsid w:val="003A16CC"/>
    <w:rsid w:val="003A7527"/>
    <w:rsid w:val="003C1218"/>
    <w:rsid w:val="003C217F"/>
    <w:rsid w:val="003C368C"/>
    <w:rsid w:val="003C452C"/>
    <w:rsid w:val="003C4DCE"/>
    <w:rsid w:val="003E04CF"/>
    <w:rsid w:val="003E36C7"/>
    <w:rsid w:val="003E633C"/>
    <w:rsid w:val="003F0FB3"/>
    <w:rsid w:val="003F11C0"/>
    <w:rsid w:val="00407DCE"/>
    <w:rsid w:val="00412BE9"/>
    <w:rsid w:val="00412DB5"/>
    <w:rsid w:val="00413A18"/>
    <w:rsid w:val="0041584B"/>
    <w:rsid w:val="004168FC"/>
    <w:rsid w:val="0041765C"/>
    <w:rsid w:val="0042070C"/>
    <w:rsid w:val="0042325B"/>
    <w:rsid w:val="00424656"/>
    <w:rsid w:val="00424FE1"/>
    <w:rsid w:val="00430C37"/>
    <w:rsid w:val="004350FE"/>
    <w:rsid w:val="00445A5A"/>
    <w:rsid w:val="004547B8"/>
    <w:rsid w:val="004548E9"/>
    <w:rsid w:val="00460595"/>
    <w:rsid w:val="00465878"/>
    <w:rsid w:val="00471C6E"/>
    <w:rsid w:val="00476864"/>
    <w:rsid w:val="0049347A"/>
    <w:rsid w:val="0049597C"/>
    <w:rsid w:val="004B6121"/>
    <w:rsid w:val="004B78BF"/>
    <w:rsid w:val="004E59E9"/>
    <w:rsid w:val="004F7A06"/>
    <w:rsid w:val="00510A76"/>
    <w:rsid w:val="00510CE7"/>
    <w:rsid w:val="00511322"/>
    <w:rsid w:val="005130E9"/>
    <w:rsid w:val="00515B2F"/>
    <w:rsid w:val="00520EF6"/>
    <w:rsid w:val="00531A1B"/>
    <w:rsid w:val="005335B7"/>
    <w:rsid w:val="00540981"/>
    <w:rsid w:val="005459DB"/>
    <w:rsid w:val="00550D6D"/>
    <w:rsid w:val="005559EA"/>
    <w:rsid w:val="00556BBE"/>
    <w:rsid w:val="0056201C"/>
    <w:rsid w:val="00571266"/>
    <w:rsid w:val="00573ECF"/>
    <w:rsid w:val="005809C6"/>
    <w:rsid w:val="0058110F"/>
    <w:rsid w:val="00581845"/>
    <w:rsid w:val="00583200"/>
    <w:rsid w:val="005933DE"/>
    <w:rsid w:val="00594154"/>
    <w:rsid w:val="005941FF"/>
    <w:rsid w:val="005A26F9"/>
    <w:rsid w:val="005A6CCC"/>
    <w:rsid w:val="005A7C7C"/>
    <w:rsid w:val="005B13DC"/>
    <w:rsid w:val="005B28B8"/>
    <w:rsid w:val="005B2A83"/>
    <w:rsid w:val="005C4E91"/>
    <w:rsid w:val="005D69D6"/>
    <w:rsid w:val="005F09E7"/>
    <w:rsid w:val="005F5480"/>
    <w:rsid w:val="005F7AFB"/>
    <w:rsid w:val="0060465D"/>
    <w:rsid w:val="0062343D"/>
    <w:rsid w:val="00632614"/>
    <w:rsid w:val="00633A69"/>
    <w:rsid w:val="0063473A"/>
    <w:rsid w:val="00640727"/>
    <w:rsid w:val="00641A8C"/>
    <w:rsid w:val="0064291E"/>
    <w:rsid w:val="006456CB"/>
    <w:rsid w:val="00650102"/>
    <w:rsid w:val="00651870"/>
    <w:rsid w:val="00654AD0"/>
    <w:rsid w:val="006565A1"/>
    <w:rsid w:val="00660E37"/>
    <w:rsid w:val="00664002"/>
    <w:rsid w:val="00666197"/>
    <w:rsid w:val="00677077"/>
    <w:rsid w:val="00687F90"/>
    <w:rsid w:val="006924AF"/>
    <w:rsid w:val="0069739C"/>
    <w:rsid w:val="006B5314"/>
    <w:rsid w:val="006C1DEF"/>
    <w:rsid w:val="006C2035"/>
    <w:rsid w:val="006C50BC"/>
    <w:rsid w:val="006C6779"/>
    <w:rsid w:val="006D443E"/>
    <w:rsid w:val="006D71DD"/>
    <w:rsid w:val="006F0FCE"/>
    <w:rsid w:val="006F2D9E"/>
    <w:rsid w:val="006F36FB"/>
    <w:rsid w:val="006F4C8C"/>
    <w:rsid w:val="00700853"/>
    <w:rsid w:val="00703455"/>
    <w:rsid w:val="00703575"/>
    <w:rsid w:val="0070661C"/>
    <w:rsid w:val="00711C35"/>
    <w:rsid w:val="007127AE"/>
    <w:rsid w:val="00713013"/>
    <w:rsid w:val="00713816"/>
    <w:rsid w:val="007223BB"/>
    <w:rsid w:val="007308EC"/>
    <w:rsid w:val="00732679"/>
    <w:rsid w:val="00733837"/>
    <w:rsid w:val="00741355"/>
    <w:rsid w:val="007421AF"/>
    <w:rsid w:val="007479F8"/>
    <w:rsid w:val="007533B0"/>
    <w:rsid w:val="00755A22"/>
    <w:rsid w:val="007615E9"/>
    <w:rsid w:val="00767E27"/>
    <w:rsid w:val="00770510"/>
    <w:rsid w:val="0077473D"/>
    <w:rsid w:val="00775D38"/>
    <w:rsid w:val="00776F66"/>
    <w:rsid w:val="00790986"/>
    <w:rsid w:val="00792B57"/>
    <w:rsid w:val="00797B16"/>
    <w:rsid w:val="007A168A"/>
    <w:rsid w:val="007A6197"/>
    <w:rsid w:val="007A69B7"/>
    <w:rsid w:val="007B17B4"/>
    <w:rsid w:val="007B45D5"/>
    <w:rsid w:val="007B581C"/>
    <w:rsid w:val="007C16BB"/>
    <w:rsid w:val="007C3896"/>
    <w:rsid w:val="007E7D11"/>
    <w:rsid w:val="007F2BE5"/>
    <w:rsid w:val="007F5779"/>
    <w:rsid w:val="00800FED"/>
    <w:rsid w:val="0080201D"/>
    <w:rsid w:val="0081139A"/>
    <w:rsid w:val="0082300A"/>
    <w:rsid w:val="0082332A"/>
    <w:rsid w:val="00824D2D"/>
    <w:rsid w:val="00832251"/>
    <w:rsid w:val="00834968"/>
    <w:rsid w:val="00836678"/>
    <w:rsid w:val="008501A3"/>
    <w:rsid w:val="008577B1"/>
    <w:rsid w:val="00860481"/>
    <w:rsid w:val="008660B7"/>
    <w:rsid w:val="00873332"/>
    <w:rsid w:val="00883B6F"/>
    <w:rsid w:val="008865E1"/>
    <w:rsid w:val="00893C9A"/>
    <w:rsid w:val="008A1531"/>
    <w:rsid w:val="008A4475"/>
    <w:rsid w:val="008A63DB"/>
    <w:rsid w:val="008C0FFD"/>
    <w:rsid w:val="008C49C1"/>
    <w:rsid w:val="008D4F1A"/>
    <w:rsid w:val="008E1F90"/>
    <w:rsid w:val="008E2880"/>
    <w:rsid w:val="008E2D4F"/>
    <w:rsid w:val="008E384C"/>
    <w:rsid w:val="008E4C41"/>
    <w:rsid w:val="008E5CF2"/>
    <w:rsid w:val="008E6151"/>
    <w:rsid w:val="008E7481"/>
    <w:rsid w:val="008F3C4A"/>
    <w:rsid w:val="008F59F9"/>
    <w:rsid w:val="00900281"/>
    <w:rsid w:val="00902625"/>
    <w:rsid w:val="0091051C"/>
    <w:rsid w:val="00921059"/>
    <w:rsid w:val="009245A5"/>
    <w:rsid w:val="009248F8"/>
    <w:rsid w:val="00926CF5"/>
    <w:rsid w:val="0093396B"/>
    <w:rsid w:val="00941648"/>
    <w:rsid w:val="00947543"/>
    <w:rsid w:val="00953E1D"/>
    <w:rsid w:val="00961D83"/>
    <w:rsid w:val="00967E8C"/>
    <w:rsid w:val="00970AC4"/>
    <w:rsid w:val="00983360"/>
    <w:rsid w:val="0098339F"/>
    <w:rsid w:val="009856F4"/>
    <w:rsid w:val="0099065E"/>
    <w:rsid w:val="009973EC"/>
    <w:rsid w:val="009A4858"/>
    <w:rsid w:val="009A6F8E"/>
    <w:rsid w:val="009B167A"/>
    <w:rsid w:val="009B241D"/>
    <w:rsid w:val="009B2609"/>
    <w:rsid w:val="009B3570"/>
    <w:rsid w:val="009C0657"/>
    <w:rsid w:val="009C1210"/>
    <w:rsid w:val="009C3A4D"/>
    <w:rsid w:val="009C5A99"/>
    <w:rsid w:val="009D48AD"/>
    <w:rsid w:val="009D58B5"/>
    <w:rsid w:val="009D751A"/>
    <w:rsid w:val="009E19BB"/>
    <w:rsid w:val="009E4211"/>
    <w:rsid w:val="009E74B5"/>
    <w:rsid w:val="009F42DB"/>
    <w:rsid w:val="00A105B8"/>
    <w:rsid w:val="00A123C6"/>
    <w:rsid w:val="00A22CE1"/>
    <w:rsid w:val="00A25C83"/>
    <w:rsid w:val="00A270E2"/>
    <w:rsid w:val="00A273A8"/>
    <w:rsid w:val="00A36E9C"/>
    <w:rsid w:val="00A44799"/>
    <w:rsid w:val="00A460FB"/>
    <w:rsid w:val="00A465F8"/>
    <w:rsid w:val="00A47D46"/>
    <w:rsid w:val="00A52B5C"/>
    <w:rsid w:val="00A62010"/>
    <w:rsid w:val="00A6206D"/>
    <w:rsid w:val="00A63422"/>
    <w:rsid w:val="00A65EEE"/>
    <w:rsid w:val="00A6665C"/>
    <w:rsid w:val="00A73013"/>
    <w:rsid w:val="00A7477C"/>
    <w:rsid w:val="00A76F27"/>
    <w:rsid w:val="00A82EB7"/>
    <w:rsid w:val="00A834D9"/>
    <w:rsid w:val="00A83881"/>
    <w:rsid w:val="00A83BFC"/>
    <w:rsid w:val="00A908B6"/>
    <w:rsid w:val="00A92BD0"/>
    <w:rsid w:val="00AA5526"/>
    <w:rsid w:val="00AB3E56"/>
    <w:rsid w:val="00AB5049"/>
    <w:rsid w:val="00AD03C9"/>
    <w:rsid w:val="00AD165E"/>
    <w:rsid w:val="00AD1CC7"/>
    <w:rsid w:val="00AD4869"/>
    <w:rsid w:val="00AD74DB"/>
    <w:rsid w:val="00AD778A"/>
    <w:rsid w:val="00AE7234"/>
    <w:rsid w:val="00B02C34"/>
    <w:rsid w:val="00B05800"/>
    <w:rsid w:val="00B102EF"/>
    <w:rsid w:val="00B12702"/>
    <w:rsid w:val="00B32499"/>
    <w:rsid w:val="00B32CF4"/>
    <w:rsid w:val="00B37176"/>
    <w:rsid w:val="00B46034"/>
    <w:rsid w:val="00B57C14"/>
    <w:rsid w:val="00B60BE6"/>
    <w:rsid w:val="00B60DB9"/>
    <w:rsid w:val="00B62FC3"/>
    <w:rsid w:val="00B63336"/>
    <w:rsid w:val="00B83265"/>
    <w:rsid w:val="00B83B6E"/>
    <w:rsid w:val="00B87090"/>
    <w:rsid w:val="00B96E31"/>
    <w:rsid w:val="00BA1109"/>
    <w:rsid w:val="00BA1EAB"/>
    <w:rsid w:val="00BA29DC"/>
    <w:rsid w:val="00BC2B35"/>
    <w:rsid w:val="00BD2A99"/>
    <w:rsid w:val="00BD6372"/>
    <w:rsid w:val="00BE4A2A"/>
    <w:rsid w:val="00BF2EF0"/>
    <w:rsid w:val="00BF4950"/>
    <w:rsid w:val="00BF550F"/>
    <w:rsid w:val="00BF77C2"/>
    <w:rsid w:val="00C00606"/>
    <w:rsid w:val="00C00A60"/>
    <w:rsid w:val="00C079F1"/>
    <w:rsid w:val="00C21D73"/>
    <w:rsid w:val="00C31DDF"/>
    <w:rsid w:val="00C32B17"/>
    <w:rsid w:val="00C376B0"/>
    <w:rsid w:val="00C41991"/>
    <w:rsid w:val="00C44A1D"/>
    <w:rsid w:val="00C51589"/>
    <w:rsid w:val="00C716CB"/>
    <w:rsid w:val="00C730E9"/>
    <w:rsid w:val="00C73B37"/>
    <w:rsid w:val="00C847F4"/>
    <w:rsid w:val="00C855BA"/>
    <w:rsid w:val="00C85BA4"/>
    <w:rsid w:val="00C869A5"/>
    <w:rsid w:val="00C86B03"/>
    <w:rsid w:val="00C9157B"/>
    <w:rsid w:val="00C929AD"/>
    <w:rsid w:val="00CB2E9C"/>
    <w:rsid w:val="00CB3257"/>
    <w:rsid w:val="00CB3D69"/>
    <w:rsid w:val="00CC7F95"/>
    <w:rsid w:val="00CD0E35"/>
    <w:rsid w:val="00CD2804"/>
    <w:rsid w:val="00CE3408"/>
    <w:rsid w:val="00CE4728"/>
    <w:rsid w:val="00CF1BC3"/>
    <w:rsid w:val="00CF6AA4"/>
    <w:rsid w:val="00D079BF"/>
    <w:rsid w:val="00D2182B"/>
    <w:rsid w:val="00D27563"/>
    <w:rsid w:val="00D32806"/>
    <w:rsid w:val="00D41CE0"/>
    <w:rsid w:val="00D46E83"/>
    <w:rsid w:val="00D51493"/>
    <w:rsid w:val="00D51A13"/>
    <w:rsid w:val="00D53265"/>
    <w:rsid w:val="00D53B2F"/>
    <w:rsid w:val="00D54E9A"/>
    <w:rsid w:val="00D60E0D"/>
    <w:rsid w:val="00D67198"/>
    <w:rsid w:val="00D740C1"/>
    <w:rsid w:val="00D742D8"/>
    <w:rsid w:val="00D762FA"/>
    <w:rsid w:val="00D81DED"/>
    <w:rsid w:val="00D85994"/>
    <w:rsid w:val="00D93C60"/>
    <w:rsid w:val="00DA1979"/>
    <w:rsid w:val="00DA1D22"/>
    <w:rsid w:val="00DC24B8"/>
    <w:rsid w:val="00DD1E2F"/>
    <w:rsid w:val="00DD6A32"/>
    <w:rsid w:val="00DE13F0"/>
    <w:rsid w:val="00DE2F66"/>
    <w:rsid w:val="00DE5239"/>
    <w:rsid w:val="00DF6DD3"/>
    <w:rsid w:val="00E05373"/>
    <w:rsid w:val="00E10C2D"/>
    <w:rsid w:val="00E11AA9"/>
    <w:rsid w:val="00E144D1"/>
    <w:rsid w:val="00E15E84"/>
    <w:rsid w:val="00E172FD"/>
    <w:rsid w:val="00E2028A"/>
    <w:rsid w:val="00E26478"/>
    <w:rsid w:val="00E26AE3"/>
    <w:rsid w:val="00E27419"/>
    <w:rsid w:val="00E27D49"/>
    <w:rsid w:val="00E33985"/>
    <w:rsid w:val="00E45920"/>
    <w:rsid w:val="00E60AAF"/>
    <w:rsid w:val="00E60F34"/>
    <w:rsid w:val="00E6279D"/>
    <w:rsid w:val="00E6354D"/>
    <w:rsid w:val="00E70379"/>
    <w:rsid w:val="00E7613D"/>
    <w:rsid w:val="00E821A9"/>
    <w:rsid w:val="00E85CB9"/>
    <w:rsid w:val="00E86C1D"/>
    <w:rsid w:val="00E9123D"/>
    <w:rsid w:val="00EA04E3"/>
    <w:rsid w:val="00EA1287"/>
    <w:rsid w:val="00EB152F"/>
    <w:rsid w:val="00EC349F"/>
    <w:rsid w:val="00EC7ADD"/>
    <w:rsid w:val="00ED3B5C"/>
    <w:rsid w:val="00ED790C"/>
    <w:rsid w:val="00EE535E"/>
    <w:rsid w:val="00EE6CE1"/>
    <w:rsid w:val="00EF0104"/>
    <w:rsid w:val="00EF47EE"/>
    <w:rsid w:val="00EF4D31"/>
    <w:rsid w:val="00F03181"/>
    <w:rsid w:val="00F07506"/>
    <w:rsid w:val="00F217E0"/>
    <w:rsid w:val="00F22FC1"/>
    <w:rsid w:val="00F26BD3"/>
    <w:rsid w:val="00F27590"/>
    <w:rsid w:val="00F305F7"/>
    <w:rsid w:val="00F33C27"/>
    <w:rsid w:val="00F42969"/>
    <w:rsid w:val="00F478F4"/>
    <w:rsid w:val="00F50C78"/>
    <w:rsid w:val="00F52219"/>
    <w:rsid w:val="00F60946"/>
    <w:rsid w:val="00F63644"/>
    <w:rsid w:val="00F655B3"/>
    <w:rsid w:val="00F712CC"/>
    <w:rsid w:val="00F8302B"/>
    <w:rsid w:val="00F974D7"/>
    <w:rsid w:val="00FA38AE"/>
    <w:rsid w:val="00FA3EDC"/>
    <w:rsid w:val="00FB06B1"/>
    <w:rsid w:val="00FB6F48"/>
    <w:rsid w:val="00FC0317"/>
    <w:rsid w:val="00FC3D43"/>
    <w:rsid w:val="00FC5351"/>
    <w:rsid w:val="00FD057A"/>
    <w:rsid w:val="00FD10B4"/>
    <w:rsid w:val="00FD1BD6"/>
    <w:rsid w:val="00FD63ED"/>
    <w:rsid w:val="00FE41F3"/>
    <w:rsid w:val="00FE7568"/>
    <w:rsid w:val="00FE7B1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E095E"/>
  <w15:chartTrackingRefBased/>
  <w15:docId w15:val="{7036854B-37D6-40A9-8603-BA2D4109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475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475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465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321C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31E1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54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4754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465F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3321C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031E10"/>
    <w:rPr>
      <w:rFonts w:asciiTheme="majorHAnsi" w:eastAsiaTheme="majorEastAsia" w:hAnsiTheme="majorHAnsi" w:cstheme="majorBidi"/>
      <w:color w:val="2E74B5" w:themeColor="accent1" w:themeShade="BF"/>
    </w:rPr>
  </w:style>
  <w:style w:type="paragraph" w:styleId="Title">
    <w:name w:val="Title"/>
    <w:basedOn w:val="Normal"/>
    <w:next w:val="Normal"/>
    <w:link w:val="TitleChar"/>
    <w:uiPriority w:val="10"/>
    <w:qFormat/>
    <w:rsid w:val="009475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543"/>
    <w:rPr>
      <w:rFonts w:asciiTheme="majorHAnsi" w:eastAsiaTheme="majorEastAsia" w:hAnsiTheme="majorHAnsi" w:cstheme="majorBidi"/>
      <w:spacing w:val="-10"/>
      <w:kern w:val="28"/>
      <w:sz w:val="56"/>
      <w:szCs w:val="56"/>
    </w:rPr>
  </w:style>
  <w:style w:type="paragraph" w:customStyle="1" w:styleId="Default">
    <w:name w:val="Default"/>
    <w:rsid w:val="00947543"/>
    <w:pPr>
      <w:autoSpaceDE w:val="0"/>
      <w:autoSpaceDN w:val="0"/>
      <w:adjustRightInd w:val="0"/>
      <w:spacing w:after="0" w:line="240" w:lineRule="auto"/>
    </w:pPr>
    <w:rPr>
      <w:rFonts w:ascii="FS Me" w:hAnsi="FS Me" w:cs="FS Me"/>
      <w:color w:val="000000"/>
      <w:sz w:val="24"/>
      <w:szCs w:val="24"/>
    </w:rPr>
  </w:style>
  <w:style w:type="paragraph" w:customStyle="1" w:styleId="Pa1">
    <w:name w:val="Pa1"/>
    <w:basedOn w:val="Default"/>
    <w:next w:val="Default"/>
    <w:uiPriority w:val="99"/>
    <w:rsid w:val="00947543"/>
    <w:pPr>
      <w:spacing w:line="241" w:lineRule="atLeast"/>
    </w:pPr>
    <w:rPr>
      <w:rFonts w:cstheme="minorBidi"/>
      <w:color w:val="auto"/>
    </w:rPr>
  </w:style>
  <w:style w:type="character" w:customStyle="1" w:styleId="A0">
    <w:name w:val="A0"/>
    <w:uiPriority w:val="99"/>
    <w:rsid w:val="00947543"/>
    <w:rPr>
      <w:rFonts w:cs="FS Me"/>
      <w:color w:val="000000"/>
      <w:sz w:val="32"/>
      <w:szCs w:val="32"/>
    </w:rPr>
  </w:style>
  <w:style w:type="paragraph" w:customStyle="1" w:styleId="Pa2">
    <w:name w:val="Pa2"/>
    <w:basedOn w:val="Default"/>
    <w:next w:val="Default"/>
    <w:uiPriority w:val="99"/>
    <w:rsid w:val="00947543"/>
    <w:pPr>
      <w:spacing w:line="241" w:lineRule="atLeast"/>
    </w:pPr>
    <w:rPr>
      <w:rFonts w:cstheme="minorBidi"/>
      <w:color w:val="auto"/>
    </w:rPr>
  </w:style>
  <w:style w:type="paragraph" w:styleId="ListParagraph">
    <w:name w:val="List Paragraph"/>
    <w:basedOn w:val="Normal"/>
    <w:uiPriority w:val="34"/>
    <w:qFormat/>
    <w:rsid w:val="00947543"/>
    <w:pPr>
      <w:ind w:left="720"/>
      <w:contextualSpacing/>
    </w:pPr>
  </w:style>
  <w:style w:type="paragraph" w:styleId="FootnoteText">
    <w:name w:val="footnote text"/>
    <w:basedOn w:val="Normal"/>
    <w:link w:val="FootnoteTextChar"/>
    <w:uiPriority w:val="99"/>
    <w:semiHidden/>
    <w:unhideWhenUsed/>
    <w:rsid w:val="003F11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11C0"/>
    <w:rPr>
      <w:sz w:val="20"/>
      <w:szCs w:val="20"/>
    </w:rPr>
  </w:style>
  <w:style w:type="character" w:styleId="FootnoteReference">
    <w:name w:val="footnote reference"/>
    <w:basedOn w:val="DefaultParagraphFont"/>
    <w:uiPriority w:val="99"/>
    <w:semiHidden/>
    <w:unhideWhenUsed/>
    <w:rsid w:val="003F11C0"/>
    <w:rPr>
      <w:vertAlign w:val="superscript"/>
    </w:rPr>
  </w:style>
  <w:style w:type="character" w:customStyle="1" w:styleId="A6">
    <w:name w:val="A6"/>
    <w:uiPriority w:val="99"/>
    <w:rsid w:val="003F11C0"/>
    <w:rPr>
      <w:rFonts w:cs="FS Me Light"/>
      <w:color w:val="000000"/>
      <w:sz w:val="22"/>
      <w:szCs w:val="22"/>
    </w:rPr>
  </w:style>
  <w:style w:type="table" w:styleId="TableGrid">
    <w:name w:val="Table Grid"/>
    <w:basedOn w:val="TableNormal"/>
    <w:uiPriority w:val="39"/>
    <w:rsid w:val="00B32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465F8"/>
    <w:pPr>
      <w:outlineLvl w:val="9"/>
    </w:pPr>
    <w:rPr>
      <w:lang w:val="en-US"/>
    </w:rPr>
  </w:style>
  <w:style w:type="paragraph" w:styleId="TOC1">
    <w:name w:val="toc 1"/>
    <w:basedOn w:val="Normal"/>
    <w:next w:val="Normal"/>
    <w:autoRedefine/>
    <w:uiPriority w:val="39"/>
    <w:unhideWhenUsed/>
    <w:rsid w:val="00A465F8"/>
    <w:pPr>
      <w:spacing w:after="100"/>
    </w:pPr>
  </w:style>
  <w:style w:type="paragraph" w:styleId="TOC2">
    <w:name w:val="toc 2"/>
    <w:basedOn w:val="Normal"/>
    <w:next w:val="Normal"/>
    <w:autoRedefine/>
    <w:uiPriority w:val="39"/>
    <w:unhideWhenUsed/>
    <w:rsid w:val="00A465F8"/>
    <w:pPr>
      <w:spacing w:after="100"/>
      <w:ind w:left="220"/>
    </w:pPr>
  </w:style>
  <w:style w:type="paragraph" w:styleId="TOC3">
    <w:name w:val="toc 3"/>
    <w:basedOn w:val="Normal"/>
    <w:next w:val="Normal"/>
    <w:autoRedefine/>
    <w:uiPriority w:val="39"/>
    <w:unhideWhenUsed/>
    <w:rsid w:val="00A465F8"/>
    <w:pPr>
      <w:spacing w:after="100"/>
      <w:ind w:left="440"/>
    </w:pPr>
  </w:style>
  <w:style w:type="character" w:styleId="Hyperlink">
    <w:name w:val="Hyperlink"/>
    <w:basedOn w:val="DefaultParagraphFont"/>
    <w:uiPriority w:val="99"/>
    <w:unhideWhenUsed/>
    <w:rsid w:val="00A465F8"/>
    <w:rPr>
      <w:color w:val="0563C1" w:themeColor="hyperlink"/>
      <w:u w:val="single"/>
    </w:rPr>
  </w:style>
  <w:style w:type="table" w:styleId="GridTable1Light">
    <w:name w:val="Grid Table 1 Light"/>
    <w:basedOn w:val="TableNormal"/>
    <w:uiPriority w:val="46"/>
    <w:rsid w:val="00036A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B60DB9"/>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C86B03"/>
    <w:rPr>
      <w:sz w:val="16"/>
      <w:szCs w:val="16"/>
    </w:rPr>
  </w:style>
  <w:style w:type="paragraph" w:styleId="CommentText">
    <w:name w:val="annotation text"/>
    <w:basedOn w:val="Normal"/>
    <w:link w:val="CommentTextChar"/>
    <w:uiPriority w:val="99"/>
    <w:semiHidden/>
    <w:unhideWhenUsed/>
    <w:rsid w:val="00C86B03"/>
    <w:pPr>
      <w:spacing w:line="240" w:lineRule="auto"/>
    </w:pPr>
    <w:rPr>
      <w:sz w:val="20"/>
      <w:szCs w:val="20"/>
    </w:rPr>
  </w:style>
  <w:style w:type="character" w:customStyle="1" w:styleId="CommentTextChar">
    <w:name w:val="Comment Text Char"/>
    <w:basedOn w:val="DefaultParagraphFont"/>
    <w:link w:val="CommentText"/>
    <w:uiPriority w:val="99"/>
    <w:semiHidden/>
    <w:rsid w:val="00C86B03"/>
    <w:rPr>
      <w:sz w:val="20"/>
      <w:szCs w:val="20"/>
    </w:rPr>
  </w:style>
  <w:style w:type="paragraph" w:styleId="CommentSubject">
    <w:name w:val="annotation subject"/>
    <w:basedOn w:val="CommentText"/>
    <w:next w:val="CommentText"/>
    <w:link w:val="CommentSubjectChar"/>
    <w:uiPriority w:val="99"/>
    <w:semiHidden/>
    <w:unhideWhenUsed/>
    <w:rsid w:val="00C86B03"/>
    <w:rPr>
      <w:b/>
      <w:bCs/>
    </w:rPr>
  </w:style>
  <w:style w:type="character" w:customStyle="1" w:styleId="CommentSubjectChar">
    <w:name w:val="Comment Subject Char"/>
    <w:basedOn w:val="CommentTextChar"/>
    <w:link w:val="CommentSubject"/>
    <w:uiPriority w:val="99"/>
    <w:semiHidden/>
    <w:rsid w:val="00C86B03"/>
    <w:rPr>
      <w:b/>
      <w:bCs/>
      <w:sz w:val="20"/>
      <w:szCs w:val="20"/>
    </w:rPr>
  </w:style>
  <w:style w:type="paragraph" w:styleId="BalloonText">
    <w:name w:val="Balloon Text"/>
    <w:basedOn w:val="Normal"/>
    <w:link w:val="BalloonTextChar"/>
    <w:uiPriority w:val="99"/>
    <w:semiHidden/>
    <w:unhideWhenUsed/>
    <w:rsid w:val="00C86B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B03"/>
    <w:rPr>
      <w:rFonts w:ascii="Segoe UI" w:hAnsi="Segoe UI" w:cs="Segoe UI"/>
      <w:sz w:val="18"/>
      <w:szCs w:val="18"/>
    </w:rPr>
  </w:style>
  <w:style w:type="paragraph" w:styleId="NormalWeb">
    <w:name w:val="Normal (Web)"/>
    <w:basedOn w:val="Normal"/>
    <w:uiPriority w:val="99"/>
    <w:semiHidden/>
    <w:unhideWhenUsed/>
    <w:rsid w:val="001A498C"/>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12">
    <w:name w:val="A12"/>
    <w:uiPriority w:val="99"/>
    <w:rsid w:val="00B87090"/>
    <w:rPr>
      <w:rFonts w:cs="FS Me"/>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7865">
      <w:bodyDiv w:val="1"/>
      <w:marLeft w:val="0"/>
      <w:marRight w:val="0"/>
      <w:marTop w:val="0"/>
      <w:marBottom w:val="0"/>
      <w:divBdr>
        <w:top w:val="none" w:sz="0" w:space="0" w:color="auto"/>
        <w:left w:val="none" w:sz="0" w:space="0" w:color="auto"/>
        <w:bottom w:val="none" w:sz="0" w:space="0" w:color="auto"/>
        <w:right w:val="none" w:sz="0" w:space="0" w:color="auto"/>
      </w:divBdr>
    </w:div>
    <w:div w:id="9918665">
      <w:bodyDiv w:val="1"/>
      <w:marLeft w:val="0"/>
      <w:marRight w:val="0"/>
      <w:marTop w:val="0"/>
      <w:marBottom w:val="0"/>
      <w:divBdr>
        <w:top w:val="none" w:sz="0" w:space="0" w:color="auto"/>
        <w:left w:val="none" w:sz="0" w:space="0" w:color="auto"/>
        <w:bottom w:val="none" w:sz="0" w:space="0" w:color="auto"/>
        <w:right w:val="none" w:sz="0" w:space="0" w:color="auto"/>
      </w:divBdr>
    </w:div>
    <w:div w:id="21131029">
      <w:bodyDiv w:val="1"/>
      <w:marLeft w:val="0"/>
      <w:marRight w:val="0"/>
      <w:marTop w:val="0"/>
      <w:marBottom w:val="0"/>
      <w:divBdr>
        <w:top w:val="none" w:sz="0" w:space="0" w:color="auto"/>
        <w:left w:val="none" w:sz="0" w:space="0" w:color="auto"/>
        <w:bottom w:val="none" w:sz="0" w:space="0" w:color="auto"/>
        <w:right w:val="none" w:sz="0" w:space="0" w:color="auto"/>
      </w:divBdr>
    </w:div>
    <w:div w:id="32653927">
      <w:bodyDiv w:val="1"/>
      <w:marLeft w:val="0"/>
      <w:marRight w:val="0"/>
      <w:marTop w:val="0"/>
      <w:marBottom w:val="0"/>
      <w:divBdr>
        <w:top w:val="none" w:sz="0" w:space="0" w:color="auto"/>
        <w:left w:val="none" w:sz="0" w:space="0" w:color="auto"/>
        <w:bottom w:val="none" w:sz="0" w:space="0" w:color="auto"/>
        <w:right w:val="none" w:sz="0" w:space="0" w:color="auto"/>
      </w:divBdr>
    </w:div>
    <w:div w:id="42484722">
      <w:bodyDiv w:val="1"/>
      <w:marLeft w:val="0"/>
      <w:marRight w:val="0"/>
      <w:marTop w:val="0"/>
      <w:marBottom w:val="0"/>
      <w:divBdr>
        <w:top w:val="none" w:sz="0" w:space="0" w:color="auto"/>
        <w:left w:val="none" w:sz="0" w:space="0" w:color="auto"/>
        <w:bottom w:val="none" w:sz="0" w:space="0" w:color="auto"/>
        <w:right w:val="none" w:sz="0" w:space="0" w:color="auto"/>
      </w:divBdr>
    </w:div>
    <w:div w:id="45494274">
      <w:bodyDiv w:val="1"/>
      <w:marLeft w:val="0"/>
      <w:marRight w:val="0"/>
      <w:marTop w:val="0"/>
      <w:marBottom w:val="0"/>
      <w:divBdr>
        <w:top w:val="none" w:sz="0" w:space="0" w:color="auto"/>
        <w:left w:val="none" w:sz="0" w:space="0" w:color="auto"/>
        <w:bottom w:val="none" w:sz="0" w:space="0" w:color="auto"/>
        <w:right w:val="none" w:sz="0" w:space="0" w:color="auto"/>
      </w:divBdr>
    </w:div>
    <w:div w:id="47412803">
      <w:bodyDiv w:val="1"/>
      <w:marLeft w:val="0"/>
      <w:marRight w:val="0"/>
      <w:marTop w:val="0"/>
      <w:marBottom w:val="0"/>
      <w:divBdr>
        <w:top w:val="none" w:sz="0" w:space="0" w:color="auto"/>
        <w:left w:val="none" w:sz="0" w:space="0" w:color="auto"/>
        <w:bottom w:val="none" w:sz="0" w:space="0" w:color="auto"/>
        <w:right w:val="none" w:sz="0" w:space="0" w:color="auto"/>
      </w:divBdr>
    </w:div>
    <w:div w:id="49886344">
      <w:bodyDiv w:val="1"/>
      <w:marLeft w:val="0"/>
      <w:marRight w:val="0"/>
      <w:marTop w:val="0"/>
      <w:marBottom w:val="0"/>
      <w:divBdr>
        <w:top w:val="none" w:sz="0" w:space="0" w:color="auto"/>
        <w:left w:val="none" w:sz="0" w:space="0" w:color="auto"/>
        <w:bottom w:val="none" w:sz="0" w:space="0" w:color="auto"/>
        <w:right w:val="none" w:sz="0" w:space="0" w:color="auto"/>
      </w:divBdr>
    </w:div>
    <w:div w:id="56327001">
      <w:bodyDiv w:val="1"/>
      <w:marLeft w:val="0"/>
      <w:marRight w:val="0"/>
      <w:marTop w:val="0"/>
      <w:marBottom w:val="0"/>
      <w:divBdr>
        <w:top w:val="none" w:sz="0" w:space="0" w:color="auto"/>
        <w:left w:val="none" w:sz="0" w:space="0" w:color="auto"/>
        <w:bottom w:val="none" w:sz="0" w:space="0" w:color="auto"/>
        <w:right w:val="none" w:sz="0" w:space="0" w:color="auto"/>
      </w:divBdr>
    </w:div>
    <w:div w:id="68697959">
      <w:bodyDiv w:val="1"/>
      <w:marLeft w:val="0"/>
      <w:marRight w:val="0"/>
      <w:marTop w:val="0"/>
      <w:marBottom w:val="0"/>
      <w:divBdr>
        <w:top w:val="none" w:sz="0" w:space="0" w:color="auto"/>
        <w:left w:val="none" w:sz="0" w:space="0" w:color="auto"/>
        <w:bottom w:val="none" w:sz="0" w:space="0" w:color="auto"/>
        <w:right w:val="none" w:sz="0" w:space="0" w:color="auto"/>
      </w:divBdr>
    </w:div>
    <w:div w:id="71390735">
      <w:bodyDiv w:val="1"/>
      <w:marLeft w:val="0"/>
      <w:marRight w:val="0"/>
      <w:marTop w:val="0"/>
      <w:marBottom w:val="0"/>
      <w:divBdr>
        <w:top w:val="none" w:sz="0" w:space="0" w:color="auto"/>
        <w:left w:val="none" w:sz="0" w:space="0" w:color="auto"/>
        <w:bottom w:val="none" w:sz="0" w:space="0" w:color="auto"/>
        <w:right w:val="none" w:sz="0" w:space="0" w:color="auto"/>
      </w:divBdr>
      <w:divsChild>
        <w:div w:id="493106663">
          <w:marLeft w:val="331"/>
          <w:marRight w:val="0"/>
          <w:marTop w:val="0"/>
          <w:marBottom w:val="0"/>
          <w:divBdr>
            <w:top w:val="none" w:sz="0" w:space="0" w:color="auto"/>
            <w:left w:val="none" w:sz="0" w:space="0" w:color="auto"/>
            <w:bottom w:val="none" w:sz="0" w:space="0" w:color="auto"/>
            <w:right w:val="none" w:sz="0" w:space="0" w:color="auto"/>
          </w:divBdr>
        </w:div>
        <w:div w:id="1900940707">
          <w:marLeft w:val="331"/>
          <w:marRight w:val="0"/>
          <w:marTop w:val="0"/>
          <w:marBottom w:val="0"/>
          <w:divBdr>
            <w:top w:val="none" w:sz="0" w:space="0" w:color="auto"/>
            <w:left w:val="none" w:sz="0" w:space="0" w:color="auto"/>
            <w:bottom w:val="none" w:sz="0" w:space="0" w:color="auto"/>
            <w:right w:val="none" w:sz="0" w:space="0" w:color="auto"/>
          </w:divBdr>
        </w:div>
        <w:div w:id="354119845">
          <w:marLeft w:val="331"/>
          <w:marRight w:val="0"/>
          <w:marTop w:val="0"/>
          <w:marBottom w:val="0"/>
          <w:divBdr>
            <w:top w:val="none" w:sz="0" w:space="0" w:color="auto"/>
            <w:left w:val="none" w:sz="0" w:space="0" w:color="auto"/>
            <w:bottom w:val="none" w:sz="0" w:space="0" w:color="auto"/>
            <w:right w:val="none" w:sz="0" w:space="0" w:color="auto"/>
          </w:divBdr>
        </w:div>
        <w:div w:id="2010323866">
          <w:marLeft w:val="331"/>
          <w:marRight w:val="0"/>
          <w:marTop w:val="0"/>
          <w:marBottom w:val="0"/>
          <w:divBdr>
            <w:top w:val="none" w:sz="0" w:space="0" w:color="auto"/>
            <w:left w:val="none" w:sz="0" w:space="0" w:color="auto"/>
            <w:bottom w:val="none" w:sz="0" w:space="0" w:color="auto"/>
            <w:right w:val="none" w:sz="0" w:space="0" w:color="auto"/>
          </w:divBdr>
        </w:div>
      </w:divsChild>
    </w:div>
    <w:div w:id="74516667">
      <w:bodyDiv w:val="1"/>
      <w:marLeft w:val="0"/>
      <w:marRight w:val="0"/>
      <w:marTop w:val="0"/>
      <w:marBottom w:val="0"/>
      <w:divBdr>
        <w:top w:val="none" w:sz="0" w:space="0" w:color="auto"/>
        <w:left w:val="none" w:sz="0" w:space="0" w:color="auto"/>
        <w:bottom w:val="none" w:sz="0" w:space="0" w:color="auto"/>
        <w:right w:val="none" w:sz="0" w:space="0" w:color="auto"/>
      </w:divBdr>
      <w:divsChild>
        <w:div w:id="1493525769">
          <w:marLeft w:val="274"/>
          <w:marRight w:val="0"/>
          <w:marTop w:val="0"/>
          <w:marBottom w:val="0"/>
          <w:divBdr>
            <w:top w:val="none" w:sz="0" w:space="0" w:color="auto"/>
            <w:left w:val="none" w:sz="0" w:space="0" w:color="auto"/>
            <w:bottom w:val="none" w:sz="0" w:space="0" w:color="auto"/>
            <w:right w:val="none" w:sz="0" w:space="0" w:color="auto"/>
          </w:divBdr>
        </w:div>
        <w:div w:id="72360822">
          <w:marLeft w:val="274"/>
          <w:marRight w:val="0"/>
          <w:marTop w:val="0"/>
          <w:marBottom w:val="0"/>
          <w:divBdr>
            <w:top w:val="none" w:sz="0" w:space="0" w:color="auto"/>
            <w:left w:val="none" w:sz="0" w:space="0" w:color="auto"/>
            <w:bottom w:val="none" w:sz="0" w:space="0" w:color="auto"/>
            <w:right w:val="none" w:sz="0" w:space="0" w:color="auto"/>
          </w:divBdr>
        </w:div>
        <w:div w:id="963772579">
          <w:marLeft w:val="274"/>
          <w:marRight w:val="0"/>
          <w:marTop w:val="0"/>
          <w:marBottom w:val="0"/>
          <w:divBdr>
            <w:top w:val="none" w:sz="0" w:space="0" w:color="auto"/>
            <w:left w:val="none" w:sz="0" w:space="0" w:color="auto"/>
            <w:bottom w:val="none" w:sz="0" w:space="0" w:color="auto"/>
            <w:right w:val="none" w:sz="0" w:space="0" w:color="auto"/>
          </w:divBdr>
        </w:div>
      </w:divsChild>
    </w:div>
    <w:div w:id="78871240">
      <w:bodyDiv w:val="1"/>
      <w:marLeft w:val="0"/>
      <w:marRight w:val="0"/>
      <w:marTop w:val="0"/>
      <w:marBottom w:val="0"/>
      <w:divBdr>
        <w:top w:val="none" w:sz="0" w:space="0" w:color="auto"/>
        <w:left w:val="none" w:sz="0" w:space="0" w:color="auto"/>
        <w:bottom w:val="none" w:sz="0" w:space="0" w:color="auto"/>
        <w:right w:val="none" w:sz="0" w:space="0" w:color="auto"/>
      </w:divBdr>
    </w:div>
    <w:div w:id="93283798">
      <w:bodyDiv w:val="1"/>
      <w:marLeft w:val="0"/>
      <w:marRight w:val="0"/>
      <w:marTop w:val="0"/>
      <w:marBottom w:val="0"/>
      <w:divBdr>
        <w:top w:val="none" w:sz="0" w:space="0" w:color="auto"/>
        <w:left w:val="none" w:sz="0" w:space="0" w:color="auto"/>
        <w:bottom w:val="none" w:sz="0" w:space="0" w:color="auto"/>
        <w:right w:val="none" w:sz="0" w:space="0" w:color="auto"/>
      </w:divBdr>
    </w:div>
    <w:div w:id="97529596">
      <w:bodyDiv w:val="1"/>
      <w:marLeft w:val="0"/>
      <w:marRight w:val="0"/>
      <w:marTop w:val="0"/>
      <w:marBottom w:val="0"/>
      <w:divBdr>
        <w:top w:val="none" w:sz="0" w:space="0" w:color="auto"/>
        <w:left w:val="none" w:sz="0" w:space="0" w:color="auto"/>
        <w:bottom w:val="none" w:sz="0" w:space="0" w:color="auto"/>
        <w:right w:val="none" w:sz="0" w:space="0" w:color="auto"/>
      </w:divBdr>
    </w:div>
    <w:div w:id="97529949">
      <w:bodyDiv w:val="1"/>
      <w:marLeft w:val="0"/>
      <w:marRight w:val="0"/>
      <w:marTop w:val="0"/>
      <w:marBottom w:val="0"/>
      <w:divBdr>
        <w:top w:val="none" w:sz="0" w:space="0" w:color="auto"/>
        <w:left w:val="none" w:sz="0" w:space="0" w:color="auto"/>
        <w:bottom w:val="none" w:sz="0" w:space="0" w:color="auto"/>
        <w:right w:val="none" w:sz="0" w:space="0" w:color="auto"/>
      </w:divBdr>
    </w:div>
    <w:div w:id="113402558">
      <w:bodyDiv w:val="1"/>
      <w:marLeft w:val="0"/>
      <w:marRight w:val="0"/>
      <w:marTop w:val="0"/>
      <w:marBottom w:val="0"/>
      <w:divBdr>
        <w:top w:val="none" w:sz="0" w:space="0" w:color="auto"/>
        <w:left w:val="none" w:sz="0" w:space="0" w:color="auto"/>
        <w:bottom w:val="none" w:sz="0" w:space="0" w:color="auto"/>
        <w:right w:val="none" w:sz="0" w:space="0" w:color="auto"/>
      </w:divBdr>
    </w:div>
    <w:div w:id="115829312">
      <w:bodyDiv w:val="1"/>
      <w:marLeft w:val="0"/>
      <w:marRight w:val="0"/>
      <w:marTop w:val="0"/>
      <w:marBottom w:val="0"/>
      <w:divBdr>
        <w:top w:val="none" w:sz="0" w:space="0" w:color="auto"/>
        <w:left w:val="none" w:sz="0" w:space="0" w:color="auto"/>
        <w:bottom w:val="none" w:sz="0" w:space="0" w:color="auto"/>
        <w:right w:val="none" w:sz="0" w:space="0" w:color="auto"/>
      </w:divBdr>
    </w:div>
    <w:div w:id="116948807">
      <w:bodyDiv w:val="1"/>
      <w:marLeft w:val="0"/>
      <w:marRight w:val="0"/>
      <w:marTop w:val="0"/>
      <w:marBottom w:val="0"/>
      <w:divBdr>
        <w:top w:val="none" w:sz="0" w:space="0" w:color="auto"/>
        <w:left w:val="none" w:sz="0" w:space="0" w:color="auto"/>
        <w:bottom w:val="none" w:sz="0" w:space="0" w:color="auto"/>
        <w:right w:val="none" w:sz="0" w:space="0" w:color="auto"/>
      </w:divBdr>
    </w:div>
    <w:div w:id="122306742">
      <w:bodyDiv w:val="1"/>
      <w:marLeft w:val="0"/>
      <w:marRight w:val="0"/>
      <w:marTop w:val="0"/>
      <w:marBottom w:val="0"/>
      <w:divBdr>
        <w:top w:val="none" w:sz="0" w:space="0" w:color="auto"/>
        <w:left w:val="none" w:sz="0" w:space="0" w:color="auto"/>
        <w:bottom w:val="none" w:sz="0" w:space="0" w:color="auto"/>
        <w:right w:val="none" w:sz="0" w:space="0" w:color="auto"/>
      </w:divBdr>
      <w:divsChild>
        <w:div w:id="1023478255">
          <w:marLeft w:val="274"/>
          <w:marRight w:val="0"/>
          <w:marTop w:val="0"/>
          <w:marBottom w:val="0"/>
          <w:divBdr>
            <w:top w:val="none" w:sz="0" w:space="0" w:color="auto"/>
            <w:left w:val="none" w:sz="0" w:space="0" w:color="auto"/>
            <w:bottom w:val="none" w:sz="0" w:space="0" w:color="auto"/>
            <w:right w:val="none" w:sz="0" w:space="0" w:color="auto"/>
          </w:divBdr>
        </w:div>
        <w:div w:id="367686488">
          <w:marLeft w:val="274"/>
          <w:marRight w:val="0"/>
          <w:marTop w:val="0"/>
          <w:marBottom w:val="0"/>
          <w:divBdr>
            <w:top w:val="none" w:sz="0" w:space="0" w:color="auto"/>
            <w:left w:val="none" w:sz="0" w:space="0" w:color="auto"/>
            <w:bottom w:val="none" w:sz="0" w:space="0" w:color="auto"/>
            <w:right w:val="none" w:sz="0" w:space="0" w:color="auto"/>
          </w:divBdr>
        </w:div>
        <w:div w:id="98721545">
          <w:marLeft w:val="274"/>
          <w:marRight w:val="0"/>
          <w:marTop w:val="0"/>
          <w:marBottom w:val="0"/>
          <w:divBdr>
            <w:top w:val="none" w:sz="0" w:space="0" w:color="auto"/>
            <w:left w:val="none" w:sz="0" w:space="0" w:color="auto"/>
            <w:bottom w:val="none" w:sz="0" w:space="0" w:color="auto"/>
            <w:right w:val="none" w:sz="0" w:space="0" w:color="auto"/>
          </w:divBdr>
        </w:div>
      </w:divsChild>
    </w:div>
    <w:div w:id="134295853">
      <w:bodyDiv w:val="1"/>
      <w:marLeft w:val="0"/>
      <w:marRight w:val="0"/>
      <w:marTop w:val="0"/>
      <w:marBottom w:val="0"/>
      <w:divBdr>
        <w:top w:val="none" w:sz="0" w:space="0" w:color="auto"/>
        <w:left w:val="none" w:sz="0" w:space="0" w:color="auto"/>
        <w:bottom w:val="none" w:sz="0" w:space="0" w:color="auto"/>
        <w:right w:val="none" w:sz="0" w:space="0" w:color="auto"/>
      </w:divBdr>
    </w:div>
    <w:div w:id="134419739">
      <w:bodyDiv w:val="1"/>
      <w:marLeft w:val="0"/>
      <w:marRight w:val="0"/>
      <w:marTop w:val="0"/>
      <w:marBottom w:val="0"/>
      <w:divBdr>
        <w:top w:val="none" w:sz="0" w:space="0" w:color="auto"/>
        <w:left w:val="none" w:sz="0" w:space="0" w:color="auto"/>
        <w:bottom w:val="none" w:sz="0" w:space="0" w:color="auto"/>
        <w:right w:val="none" w:sz="0" w:space="0" w:color="auto"/>
      </w:divBdr>
    </w:div>
    <w:div w:id="144585767">
      <w:bodyDiv w:val="1"/>
      <w:marLeft w:val="0"/>
      <w:marRight w:val="0"/>
      <w:marTop w:val="0"/>
      <w:marBottom w:val="0"/>
      <w:divBdr>
        <w:top w:val="none" w:sz="0" w:space="0" w:color="auto"/>
        <w:left w:val="none" w:sz="0" w:space="0" w:color="auto"/>
        <w:bottom w:val="none" w:sz="0" w:space="0" w:color="auto"/>
        <w:right w:val="none" w:sz="0" w:space="0" w:color="auto"/>
      </w:divBdr>
    </w:div>
    <w:div w:id="144708334">
      <w:bodyDiv w:val="1"/>
      <w:marLeft w:val="0"/>
      <w:marRight w:val="0"/>
      <w:marTop w:val="0"/>
      <w:marBottom w:val="0"/>
      <w:divBdr>
        <w:top w:val="none" w:sz="0" w:space="0" w:color="auto"/>
        <w:left w:val="none" w:sz="0" w:space="0" w:color="auto"/>
        <w:bottom w:val="none" w:sz="0" w:space="0" w:color="auto"/>
        <w:right w:val="none" w:sz="0" w:space="0" w:color="auto"/>
      </w:divBdr>
      <w:divsChild>
        <w:div w:id="2067952726">
          <w:marLeft w:val="446"/>
          <w:marRight w:val="0"/>
          <w:marTop w:val="0"/>
          <w:marBottom w:val="120"/>
          <w:divBdr>
            <w:top w:val="none" w:sz="0" w:space="0" w:color="auto"/>
            <w:left w:val="none" w:sz="0" w:space="0" w:color="auto"/>
            <w:bottom w:val="none" w:sz="0" w:space="0" w:color="auto"/>
            <w:right w:val="none" w:sz="0" w:space="0" w:color="auto"/>
          </w:divBdr>
        </w:div>
        <w:div w:id="1801798167">
          <w:marLeft w:val="446"/>
          <w:marRight w:val="0"/>
          <w:marTop w:val="0"/>
          <w:marBottom w:val="120"/>
          <w:divBdr>
            <w:top w:val="none" w:sz="0" w:space="0" w:color="auto"/>
            <w:left w:val="none" w:sz="0" w:space="0" w:color="auto"/>
            <w:bottom w:val="none" w:sz="0" w:space="0" w:color="auto"/>
            <w:right w:val="none" w:sz="0" w:space="0" w:color="auto"/>
          </w:divBdr>
        </w:div>
      </w:divsChild>
    </w:div>
    <w:div w:id="150754124">
      <w:bodyDiv w:val="1"/>
      <w:marLeft w:val="0"/>
      <w:marRight w:val="0"/>
      <w:marTop w:val="0"/>
      <w:marBottom w:val="0"/>
      <w:divBdr>
        <w:top w:val="none" w:sz="0" w:space="0" w:color="auto"/>
        <w:left w:val="none" w:sz="0" w:space="0" w:color="auto"/>
        <w:bottom w:val="none" w:sz="0" w:space="0" w:color="auto"/>
        <w:right w:val="none" w:sz="0" w:space="0" w:color="auto"/>
      </w:divBdr>
    </w:div>
    <w:div w:id="151988941">
      <w:bodyDiv w:val="1"/>
      <w:marLeft w:val="0"/>
      <w:marRight w:val="0"/>
      <w:marTop w:val="0"/>
      <w:marBottom w:val="0"/>
      <w:divBdr>
        <w:top w:val="none" w:sz="0" w:space="0" w:color="auto"/>
        <w:left w:val="none" w:sz="0" w:space="0" w:color="auto"/>
        <w:bottom w:val="none" w:sz="0" w:space="0" w:color="auto"/>
        <w:right w:val="none" w:sz="0" w:space="0" w:color="auto"/>
      </w:divBdr>
    </w:div>
    <w:div w:id="154615921">
      <w:bodyDiv w:val="1"/>
      <w:marLeft w:val="0"/>
      <w:marRight w:val="0"/>
      <w:marTop w:val="0"/>
      <w:marBottom w:val="0"/>
      <w:divBdr>
        <w:top w:val="none" w:sz="0" w:space="0" w:color="auto"/>
        <w:left w:val="none" w:sz="0" w:space="0" w:color="auto"/>
        <w:bottom w:val="none" w:sz="0" w:space="0" w:color="auto"/>
        <w:right w:val="none" w:sz="0" w:space="0" w:color="auto"/>
      </w:divBdr>
    </w:div>
    <w:div w:id="172259831">
      <w:bodyDiv w:val="1"/>
      <w:marLeft w:val="0"/>
      <w:marRight w:val="0"/>
      <w:marTop w:val="0"/>
      <w:marBottom w:val="0"/>
      <w:divBdr>
        <w:top w:val="none" w:sz="0" w:space="0" w:color="auto"/>
        <w:left w:val="none" w:sz="0" w:space="0" w:color="auto"/>
        <w:bottom w:val="none" w:sz="0" w:space="0" w:color="auto"/>
        <w:right w:val="none" w:sz="0" w:space="0" w:color="auto"/>
      </w:divBdr>
    </w:div>
    <w:div w:id="175046737">
      <w:bodyDiv w:val="1"/>
      <w:marLeft w:val="0"/>
      <w:marRight w:val="0"/>
      <w:marTop w:val="0"/>
      <w:marBottom w:val="0"/>
      <w:divBdr>
        <w:top w:val="none" w:sz="0" w:space="0" w:color="auto"/>
        <w:left w:val="none" w:sz="0" w:space="0" w:color="auto"/>
        <w:bottom w:val="none" w:sz="0" w:space="0" w:color="auto"/>
        <w:right w:val="none" w:sz="0" w:space="0" w:color="auto"/>
      </w:divBdr>
    </w:div>
    <w:div w:id="188295449">
      <w:bodyDiv w:val="1"/>
      <w:marLeft w:val="0"/>
      <w:marRight w:val="0"/>
      <w:marTop w:val="0"/>
      <w:marBottom w:val="0"/>
      <w:divBdr>
        <w:top w:val="none" w:sz="0" w:space="0" w:color="auto"/>
        <w:left w:val="none" w:sz="0" w:space="0" w:color="auto"/>
        <w:bottom w:val="none" w:sz="0" w:space="0" w:color="auto"/>
        <w:right w:val="none" w:sz="0" w:space="0" w:color="auto"/>
      </w:divBdr>
    </w:div>
    <w:div w:id="196429713">
      <w:bodyDiv w:val="1"/>
      <w:marLeft w:val="0"/>
      <w:marRight w:val="0"/>
      <w:marTop w:val="0"/>
      <w:marBottom w:val="0"/>
      <w:divBdr>
        <w:top w:val="none" w:sz="0" w:space="0" w:color="auto"/>
        <w:left w:val="none" w:sz="0" w:space="0" w:color="auto"/>
        <w:bottom w:val="none" w:sz="0" w:space="0" w:color="auto"/>
        <w:right w:val="none" w:sz="0" w:space="0" w:color="auto"/>
      </w:divBdr>
    </w:div>
    <w:div w:id="201554159">
      <w:bodyDiv w:val="1"/>
      <w:marLeft w:val="0"/>
      <w:marRight w:val="0"/>
      <w:marTop w:val="0"/>
      <w:marBottom w:val="0"/>
      <w:divBdr>
        <w:top w:val="none" w:sz="0" w:space="0" w:color="auto"/>
        <w:left w:val="none" w:sz="0" w:space="0" w:color="auto"/>
        <w:bottom w:val="none" w:sz="0" w:space="0" w:color="auto"/>
        <w:right w:val="none" w:sz="0" w:space="0" w:color="auto"/>
      </w:divBdr>
    </w:div>
    <w:div w:id="208686051">
      <w:bodyDiv w:val="1"/>
      <w:marLeft w:val="0"/>
      <w:marRight w:val="0"/>
      <w:marTop w:val="0"/>
      <w:marBottom w:val="0"/>
      <w:divBdr>
        <w:top w:val="none" w:sz="0" w:space="0" w:color="auto"/>
        <w:left w:val="none" w:sz="0" w:space="0" w:color="auto"/>
        <w:bottom w:val="none" w:sz="0" w:space="0" w:color="auto"/>
        <w:right w:val="none" w:sz="0" w:space="0" w:color="auto"/>
      </w:divBdr>
    </w:div>
    <w:div w:id="212665835">
      <w:bodyDiv w:val="1"/>
      <w:marLeft w:val="0"/>
      <w:marRight w:val="0"/>
      <w:marTop w:val="0"/>
      <w:marBottom w:val="0"/>
      <w:divBdr>
        <w:top w:val="none" w:sz="0" w:space="0" w:color="auto"/>
        <w:left w:val="none" w:sz="0" w:space="0" w:color="auto"/>
        <w:bottom w:val="none" w:sz="0" w:space="0" w:color="auto"/>
        <w:right w:val="none" w:sz="0" w:space="0" w:color="auto"/>
      </w:divBdr>
    </w:div>
    <w:div w:id="219905652">
      <w:bodyDiv w:val="1"/>
      <w:marLeft w:val="0"/>
      <w:marRight w:val="0"/>
      <w:marTop w:val="0"/>
      <w:marBottom w:val="0"/>
      <w:divBdr>
        <w:top w:val="none" w:sz="0" w:space="0" w:color="auto"/>
        <w:left w:val="none" w:sz="0" w:space="0" w:color="auto"/>
        <w:bottom w:val="none" w:sz="0" w:space="0" w:color="auto"/>
        <w:right w:val="none" w:sz="0" w:space="0" w:color="auto"/>
      </w:divBdr>
    </w:div>
    <w:div w:id="222645803">
      <w:bodyDiv w:val="1"/>
      <w:marLeft w:val="0"/>
      <w:marRight w:val="0"/>
      <w:marTop w:val="0"/>
      <w:marBottom w:val="0"/>
      <w:divBdr>
        <w:top w:val="none" w:sz="0" w:space="0" w:color="auto"/>
        <w:left w:val="none" w:sz="0" w:space="0" w:color="auto"/>
        <w:bottom w:val="none" w:sz="0" w:space="0" w:color="auto"/>
        <w:right w:val="none" w:sz="0" w:space="0" w:color="auto"/>
      </w:divBdr>
    </w:div>
    <w:div w:id="235435111">
      <w:bodyDiv w:val="1"/>
      <w:marLeft w:val="0"/>
      <w:marRight w:val="0"/>
      <w:marTop w:val="0"/>
      <w:marBottom w:val="0"/>
      <w:divBdr>
        <w:top w:val="none" w:sz="0" w:space="0" w:color="auto"/>
        <w:left w:val="none" w:sz="0" w:space="0" w:color="auto"/>
        <w:bottom w:val="none" w:sz="0" w:space="0" w:color="auto"/>
        <w:right w:val="none" w:sz="0" w:space="0" w:color="auto"/>
      </w:divBdr>
    </w:div>
    <w:div w:id="239294935">
      <w:bodyDiv w:val="1"/>
      <w:marLeft w:val="0"/>
      <w:marRight w:val="0"/>
      <w:marTop w:val="0"/>
      <w:marBottom w:val="0"/>
      <w:divBdr>
        <w:top w:val="none" w:sz="0" w:space="0" w:color="auto"/>
        <w:left w:val="none" w:sz="0" w:space="0" w:color="auto"/>
        <w:bottom w:val="none" w:sz="0" w:space="0" w:color="auto"/>
        <w:right w:val="none" w:sz="0" w:space="0" w:color="auto"/>
      </w:divBdr>
    </w:div>
    <w:div w:id="244338375">
      <w:bodyDiv w:val="1"/>
      <w:marLeft w:val="0"/>
      <w:marRight w:val="0"/>
      <w:marTop w:val="0"/>
      <w:marBottom w:val="0"/>
      <w:divBdr>
        <w:top w:val="none" w:sz="0" w:space="0" w:color="auto"/>
        <w:left w:val="none" w:sz="0" w:space="0" w:color="auto"/>
        <w:bottom w:val="none" w:sz="0" w:space="0" w:color="auto"/>
        <w:right w:val="none" w:sz="0" w:space="0" w:color="auto"/>
      </w:divBdr>
    </w:div>
    <w:div w:id="245385057">
      <w:bodyDiv w:val="1"/>
      <w:marLeft w:val="0"/>
      <w:marRight w:val="0"/>
      <w:marTop w:val="0"/>
      <w:marBottom w:val="0"/>
      <w:divBdr>
        <w:top w:val="none" w:sz="0" w:space="0" w:color="auto"/>
        <w:left w:val="none" w:sz="0" w:space="0" w:color="auto"/>
        <w:bottom w:val="none" w:sz="0" w:space="0" w:color="auto"/>
        <w:right w:val="none" w:sz="0" w:space="0" w:color="auto"/>
      </w:divBdr>
    </w:div>
    <w:div w:id="249195668">
      <w:bodyDiv w:val="1"/>
      <w:marLeft w:val="0"/>
      <w:marRight w:val="0"/>
      <w:marTop w:val="0"/>
      <w:marBottom w:val="0"/>
      <w:divBdr>
        <w:top w:val="none" w:sz="0" w:space="0" w:color="auto"/>
        <w:left w:val="none" w:sz="0" w:space="0" w:color="auto"/>
        <w:bottom w:val="none" w:sz="0" w:space="0" w:color="auto"/>
        <w:right w:val="none" w:sz="0" w:space="0" w:color="auto"/>
      </w:divBdr>
    </w:div>
    <w:div w:id="253905725">
      <w:bodyDiv w:val="1"/>
      <w:marLeft w:val="0"/>
      <w:marRight w:val="0"/>
      <w:marTop w:val="0"/>
      <w:marBottom w:val="0"/>
      <w:divBdr>
        <w:top w:val="none" w:sz="0" w:space="0" w:color="auto"/>
        <w:left w:val="none" w:sz="0" w:space="0" w:color="auto"/>
        <w:bottom w:val="none" w:sz="0" w:space="0" w:color="auto"/>
        <w:right w:val="none" w:sz="0" w:space="0" w:color="auto"/>
      </w:divBdr>
    </w:div>
    <w:div w:id="266549378">
      <w:bodyDiv w:val="1"/>
      <w:marLeft w:val="0"/>
      <w:marRight w:val="0"/>
      <w:marTop w:val="0"/>
      <w:marBottom w:val="0"/>
      <w:divBdr>
        <w:top w:val="none" w:sz="0" w:space="0" w:color="auto"/>
        <w:left w:val="none" w:sz="0" w:space="0" w:color="auto"/>
        <w:bottom w:val="none" w:sz="0" w:space="0" w:color="auto"/>
        <w:right w:val="none" w:sz="0" w:space="0" w:color="auto"/>
      </w:divBdr>
    </w:div>
    <w:div w:id="282813162">
      <w:bodyDiv w:val="1"/>
      <w:marLeft w:val="0"/>
      <w:marRight w:val="0"/>
      <w:marTop w:val="0"/>
      <w:marBottom w:val="0"/>
      <w:divBdr>
        <w:top w:val="none" w:sz="0" w:space="0" w:color="auto"/>
        <w:left w:val="none" w:sz="0" w:space="0" w:color="auto"/>
        <w:bottom w:val="none" w:sz="0" w:space="0" w:color="auto"/>
        <w:right w:val="none" w:sz="0" w:space="0" w:color="auto"/>
      </w:divBdr>
    </w:div>
    <w:div w:id="312301089">
      <w:bodyDiv w:val="1"/>
      <w:marLeft w:val="0"/>
      <w:marRight w:val="0"/>
      <w:marTop w:val="0"/>
      <w:marBottom w:val="0"/>
      <w:divBdr>
        <w:top w:val="none" w:sz="0" w:space="0" w:color="auto"/>
        <w:left w:val="none" w:sz="0" w:space="0" w:color="auto"/>
        <w:bottom w:val="none" w:sz="0" w:space="0" w:color="auto"/>
        <w:right w:val="none" w:sz="0" w:space="0" w:color="auto"/>
      </w:divBdr>
    </w:div>
    <w:div w:id="315765926">
      <w:bodyDiv w:val="1"/>
      <w:marLeft w:val="0"/>
      <w:marRight w:val="0"/>
      <w:marTop w:val="0"/>
      <w:marBottom w:val="0"/>
      <w:divBdr>
        <w:top w:val="none" w:sz="0" w:space="0" w:color="auto"/>
        <w:left w:val="none" w:sz="0" w:space="0" w:color="auto"/>
        <w:bottom w:val="none" w:sz="0" w:space="0" w:color="auto"/>
        <w:right w:val="none" w:sz="0" w:space="0" w:color="auto"/>
      </w:divBdr>
    </w:div>
    <w:div w:id="327445133">
      <w:bodyDiv w:val="1"/>
      <w:marLeft w:val="0"/>
      <w:marRight w:val="0"/>
      <w:marTop w:val="0"/>
      <w:marBottom w:val="0"/>
      <w:divBdr>
        <w:top w:val="none" w:sz="0" w:space="0" w:color="auto"/>
        <w:left w:val="none" w:sz="0" w:space="0" w:color="auto"/>
        <w:bottom w:val="none" w:sz="0" w:space="0" w:color="auto"/>
        <w:right w:val="none" w:sz="0" w:space="0" w:color="auto"/>
      </w:divBdr>
    </w:div>
    <w:div w:id="339888817">
      <w:bodyDiv w:val="1"/>
      <w:marLeft w:val="0"/>
      <w:marRight w:val="0"/>
      <w:marTop w:val="0"/>
      <w:marBottom w:val="0"/>
      <w:divBdr>
        <w:top w:val="none" w:sz="0" w:space="0" w:color="auto"/>
        <w:left w:val="none" w:sz="0" w:space="0" w:color="auto"/>
        <w:bottom w:val="none" w:sz="0" w:space="0" w:color="auto"/>
        <w:right w:val="none" w:sz="0" w:space="0" w:color="auto"/>
      </w:divBdr>
    </w:div>
    <w:div w:id="340157944">
      <w:bodyDiv w:val="1"/>
      <w:marLeft w:val="0"/>
      <w:marRight w:val="0"/>
      <w:marTop w:val="0"/>
      <w:marBottom w:val="0"/>
      <w:divBdr>
        <w:top w:val="none" w:sz="0" w:space="0" w:color="auto"/>
        <w:left w:val="none" w:sz="0" w:space="0" w:color="auto"/>
        <w:bottom w:val="none" w:sz="0" w:space="0" w:color="auto"/>
        <w:right w:val="none" w:sz="0" w:space="0" w:color="auto"/>
      </w:divBdr>
    </w:div>
    <w:div w:id="340620299">
      <w:bodyDiv w:val="1"/>
      <w:marLeft w:val="0"/>
      <w:marRight w:val="0"/>
      <w:marTop w:val="0"/>
      <w:marBottom w:val="0"/>
      <w:divBdr>
        <w:top w:val="none" w:sz="0" w:space="0" w:color="auto"/>
        <w:left w:val="none" w:sz="0" w:space="0" w:color="auto"/>
        <w:bottom w:val="none" w:sz="0" w:space="0" w:color="auto"/>
        <w:right w:val="none" w:sz="0" w:space="0" w:color="auto"/>
      </w:divBdr>
    </w:div>
    <w:div w:id="341594098">
      <w:bodyDiv w:val="1"/>
      <w:marLeft w:val="0"/>
      <w:marRight w:val="0"/>
      <w:marTop w:val="0"/>
      <w:marBottom w:val="0"/>
      <w:divBdr>
        <w:top w:val="none" w:sz="0" w:space="0" w:color="auto"/>
        <w:left w:val="none" w:sz="0" w:space="0" w:color="auto"/>
        <w:bottom w:val="none" w:sz="0" w:space="0" w:color="auto"/>
        <w:right w:val="none" w:sz="0" w:space="0" w:color="auto"/>
      </w:divBdr>
      <w:divsChild>
        <w:div w:id="2136095049">
          <w:marLeft w:val="446"/>
          <w:marRight w:val="0"/>
          <w:marTop w:val="0"/>
          <w:marBottom w:val="0"/>
          <w:divBdr>
            <w:top w:val="none" w:sz="0" w:space="0" w:color="auto"/>
            <w:left w:val="none" w:sz="0" w:space="0" w:color="auto"/>
            <w:bottom w:val="none" w:sz="0" w:space="0" w:color="auto"/>
            <w:right w:val="none" w:sz="0" w:space="0" w:color="auto"/>
          </w:divBdr>
        </w:div>
        <w:div w:id="146825503">
          <w:marLeft w:val="446"/>
          <w:marRight w:val="0"/>
          <w:marTop w:val="0"/>
          <w:marBottom w:val="0"/>
          <w:divBdr>
            <w:top w:val="none" w:sz="0" w:space="0" w:color="auto"/>
            <w:left w:val="none" w:sz="0" w:space="0" w:color="auto"/>
            <w:bottom w:val="none" w:sz="0" w:space="0" w:color="auto"/>
            <w:right w:val="none" w:sz="0" w:space="0" w:color="auto"/>
          </w:divBdr>
        </w:div>
      </w:divsChild>
    </w:div>
    <w:div w:id="349377728">
      <w:bodyDiv w:val="1"/>
      <w:marLeft w:val="0"/>
      <w:marRight w:val="0"/>
      <w:marTop w:val="0"/>
      <w:marBottom w:val="0"/>
      <w:divBdr>
        <w:top w:val="none" w:sz="0" w:space="0" w:color="auto"/>
        <w:left w:val="none" w:sz="0" w:space="0" w:color="auto"/>
        <w:bottom w:val="none" w:sz="0" w:space="0" w:color="auto"/>
        <w:right w:val="none" w:sz="0" w:space="0" w:color="auto"/>
      </w:divBdr>
    </w:div>
    <w:div w:id="359746892">
      <w:bodyDiv w:val="1"/>
      <w:marLeft w:val="0"/>
      <w:marRight w:val="0"/>
      <w:marTop w:val="0"/>
      <w:marBottom w:val="0"/>
      <w:divBdr>
        <w:top w:val="none" w:sz="0" w:space="0" w:color="auto"/>
        <w:left w:val="none" w:sz="0" w:space="0" w:color="auto"/>
        <w:bottom w:val="none" w:sz="0" w:space="0" w:color="auto"/>
        <w:right w:val="none" w:sz="0" w:space="0" w:color="auto"/>
      </w:divBdr>
    </w:div>
    <w:div w:id="371002548">
      <w:bodyDiv w:val="1"/>
      <w:marLeft w:val="0"/>
      <w:marRight w:val="0"/>
      <w:marTop w:val="0"/>
      <w:marBottom w:val="0"/>
      <w:divBdr>
        <w:top w:val="none" w:sz="0" w:space="0" w:color="auto"/>
        <w:left w:val="none" w:sz="0" w:space="0" w:color="auto"/>
        <w:bottom w:val="none" w:sz="0" w:space="0" w:color="auto"/>
        <w:right w:val="none" w:sz="0" w:space="0" w:color="auto"/>
      </w:divBdr>
    </w:div>
    <w:div w:id="386685698">
      <w:bodyDiv w:val="1"/>
      <w:marLeft w:val="0"/>
      <w:marRight w:val="0"/>
      <w:marTop w:val="0"/>
      <w:marBottom w:val="0"/>
      <w:divBdr>
        <w:top w:val="none" w:sz="0" w:space="0" w:color="auto"/>
        <w:left w:val="none" w:sz="0" w:space="0" w:color="auto"/>
        <w:bottom w:val="none" w:sz="0" w:space="0" w:color="auto"/>
        <w:right w:val="none" w:sz="0" w:space="0" w:color="auto"/>
      </w:divBdr>
      <w:divsChild>
        <w:div w:id="459154685">
          <w:marLeft w:val="274"/>
          <w:marRight w:val="0"/>
          <w:marTop w:val="0"/>
          <w:marBottom w:val="0"/>
          <w:divBdr>
            <w:top w:val="none" w:sz="0" w:space="0" w:color="auto"/>
            <w:left w:val="none" w:sz="0" w:space="0" w:color="auto"/>
            <w:bottom w:val="none" w:sz="0" w:space="0" w:color="auto"/>
            <w:right w:val="none" w:sz="0" w:space="0" w:color="auto"/>
          </w:divBdr>
        </w:div>
        <w:div w:id="943658196">
          <w:marLeft w:val="274"/>
          <w:marRight w:val="0"/>
          <w:marTop w:val="0"/>
          <w:marBottom w:val="0"/>
          <w:divBdr>
            <w:top w:val="none" w:sz="0" w:space="0" w:color="auto"/>
            <w:left w:val="none" w:sz="0" w:space="0" w:color="auto"/>
            <w:bottom w:val="none" w:sz="0" w:space="0" w:color="auto"/>
            <w:right w:val="none" w:sz="0" w:space="0" w:color="auto"/>
          </w:divBdr>
        </w:div>
      </w:divsChild>
    </w:div>
    <w:div w:id="394428287">
      <w:bodyDiv w:val="1"/>
      <w:marLeft w:val="0"/>
      <w:marRight w:val="0"/>
      <w:marTop w:val="0"/>
      <w:marBottom w:val="0"/>
      <w:divBdr>
        <w:top w:val="none" w:sz="0" w:space="0" w:color="auto"/>
        <w:left w:val="none" w:sz="0" w:space="0" w:color="auto"/>
        <w:bottom w:val="none" w:sz="0" w:space="0" w:color="auto"/>
        <w:right w:val="none" w:sz="0" w:space="0" w:color="auto"/>
      </w:divBdr>
    </w:div>
    <w:div w:id="399979954">
      <w:bodyDiv w:val="1"/>
      <w:marLeft w:val="0"/>
      <w:marRight w:val="0"/>
      <w:marTop w:val="0"/>
      <w:marBottom w:val="0"/>
      <w:divBdr>
        <w:top w:val="none" w:sz="0" w:space="0" w:color="auto"/>
        <w:left w:val="none" w:sz="0" w:space="0" w:color="auto"/>
        <w:bottom w:val="none" w:sz="0" w:space="0" w:color="auto"/>
        <w:right w:val="none" w:sz="0" w:space="0" w:color="auto"/>
      </w:divBdr>
      <w:divsChild>
        <w:div w:id="1844321990">
          <w:marLeft w:val="446"/>
          <w:marRight w:val="0"/>
          <w:marTop w:val="0"/>
          <w:marBottom w:val="0"/>
          <w:divBdr>
            <w:top w:val="none" w:sz="0" w:space="0" w:color="auto"/>
            <w:left w:val="none" w:sz="0" w:space="0" w:color="auto"/>
            <w:bottom w:val="none" w:sz="0" w:space="0" w:color="auto"/>
            <w:right w:val="none" w:sz="0" w:space="0" w:color="auto"/>
          </w:divBdr>
        </w:div>
        <w:div w:id="446702532">
          <w:marLeft w:val="446"/>
          <w:marRight w:val="0"/>
          <w:marTop w:val="0"/>
          <w:marBottom w:val="0"/>
          <w:divBdr>
            <w:top w:val="none" w:sz="0" w:space="0" w:color="auto"/>
            <w:left w:val="none" w:sz="0" w:space="0" w:color="auto"/>
            <w:bottom w:val="none" w:sz="0" w:space="0" w:color="auto"/>
            <w:right w:val="none" w:sz="0" w:space="0" w:color="auto"/>
          </w:divBdr>
        </w:div>
      </w:divsChild>
    </w:div>
    <w:div w:id="401415088">
      <w:bodyDiv w:val="1"/>
      <w:marLeft w:val="0"/>
      <w:marRight w:val="0"/>
      <w:marTop w:val="0"/>
      <w:marBottom w:val="0"/>
      <w:divBdr>
        <w:top w:val="none" w:sz="0" w:space="0" w:color="auto"/>
        <w:left w:val="none" w:sz="0" w:space="0" w:color="auto"/>
        <w:bottom w:val="none" w:sz="0" w:space="0" w:color="auto"/>
        <w:right w:val="none" w:sz="0" w:space="0" w:color="auto"/>
      </w:divBdr>
    </w:div>
    <w:div w:id="407649970">
      <w:bodyDiv w:val="1"/>
      <w:marLeft w:val="0"/>
      <w:marRight w:val="0"/>
      <w:marTop w:val="0"/>
      <w:marBottom w:val="0"/>
      <w:divBdr>
        <w:top w:val="none" w:sz="0" w:space="0" w:color="auto"/>
        <w:left w:val="none" w:sz="0" w:space="0" w:color="auto"/>
        <w:bottom w:val="none" w:sz="0" w:space="0" w:color="auto"/>
        <w:right w:val="none" w:sz="0" w:space="0" w:color="auto"/>
      </w:divBdr>
    </w:div>
    <w:div w:id="415175599">
      <w:bodyDiv w:val="1"/>
      <w:marLeft w:val="0"/>
      <w:marRight w:val="0"/>
      <w:marTop w:val="0"/>
      <w:marBottom w:val="0"/>
      <w:divBdr>
        <w:top w:val="none" w:sz="0" w:space="0" w:color="auto"/>
        <w:left w:val="none" w:sz="0" w:space="0" w:color="auto"/>
        <w:bottom w:val="none" w:sz="0" w:space="0" w:color="auto"/>
        <w:right w:val="none" w:sz="0" w:space="0" w:color="auto"/>
      </w:divBdr>
    </w:div>
    <w:div w:id="437681525">
      <w:bodyDiv w:val="1"/>
      <w:marLeft w:val="0"/>
      <w:marRight w:val="0"/>
      <w:marTop w:val="0"/>
      <w:marBottom w:val="0"/>
      <w:divBdr>
        <w:top w:val="none" w:sz="0" w:space="0" w:color="auto"/>
        <w:left w:val="none" w:sz="0" w:space="0" w:color="auto"/>
        <w:bottom w:val="none" w:sz="0" w:space="0" w:color="auto"/>
        <w:right w:val="none" w:sz="0" w:space="0" w:color="auto"/>
      </w:divBdr>
    </w:div>
    <w:div w:id="448285341">
      <w:bodyDiv w:val="1"/>
      <w:marLeft w:val="0"/>
      <w:marRight w:val="0"/>
      <w:marTop w:val="0"/>
      <w:marBottom w:val="0"/>
      <w:divBdr>
        <w:top w:val="none" w:sz="0" w:space="0" w:color="auto"/>
        <w:left w:val="none" w:sz="0" w:space="0" w:color="auto"/>
        <w:bottom w:val="none" w:sz="0" w:space="0" w:color="auto"/>
        <w:right w:val="none" w:sz="0" w:space="0" w:color="auto"/>
      </w:divBdr>
    </w:div>
    <w:div w:id="448933327">
      <w:bodyDiv w:val="1"/>
      <w:marLeft w:val="0"/>
      <w:marRight w:val="0"/>
      <w:marTop w:val="0"/>
      <w:marBottom w:val="0"/>
      <w:divBdr>
        <w:top w:val="none" w:sz="0" w:space="0" w:color="auto"/>
        <w:left w:val="none" w:sz="0" w:space="0" w:color="auto"/>
        <w:bottom w:val="none" w:sz="0" w:space="0" w:color="auto"/>
        <w:right w:val="none" w:sz="0" w:space="0" w:color="auto"/>
      </w:divBdr>
    </w:div>
    <w:div w:id="453597367">
      <w:bodyDiv w:val="1"/>
      <w:marLeft w:val="0"/>
      <w:marRight w:val="0"/>
      <w:marTop w:val="0"/>
      <w:marBottom w:val="0"/>
      <w:divBdr>
        <w:top w:val="none" w:sz="0" w:space="0" w:color="auto"/>
        <w:left w:val="none" w:sz="0" w:space="0" w:color="auto"/>
        <w:bottom w:val="none" w:sz="0" w:space="0" w:color="auto"/>
        <w:right w:val="none" w:sz="0" w:space="0" w:color="auto"/>
      </w:divBdr>
    </w:div>
    <w:div w:id="453906065">
      <w:bodyDiv w:val="1"/>
      <w:marLeft w:val="0"/>
      <w:marRight w:val="0"/>
      <w:marTop w:val="0"/>
      <w:marBottom w:val="0"/>
      <w:divBdr>
        <w:top w:val="none" w:sz="0" w:space="0" w:color="auto"/>
        <w:left w:val="none" w:sz="0" w:space="0" w:color="auto"/>
        <w:bottom w:val="none" w:sz="0" w:space="0" w:color="auto"/>
        <w:right w:val="none" w:sz="0" w:space="0" w:color="auto"/>
      </w:divBdr>
    </w:div>
    <w:div w:id="454908619">
      <w:bodyDiv w:val="1"/>
      <w:marLeft w:val="0"/>
      <w:marRight w:val="0"/>
      <w:marTop w:val="0"/>
      <w:marBottom w:val="0"/>
      <w:divBdr>
        <w:top w:val="none" w:sz="0" w:space="0" w:color="auto"/>
        <w:left w:val="none" w:sz="0" w:space="0" w:color="auto"/>
        <w:bottom w:val="none" w:sz="0" w:space="0" w:color="auto"/>
        <w:right w:val="none" w:sz="0" w:space="0" w:color="auto"/>
      </w:divBdr>
    </w:div>
    <w:div w:id="455176091">
      <w:bodyDiv w:val="1"/>
      <w:marLeft w:val="0"/>
      <w:marRight w:val="0"/>
      <w:marTop w:val="0"/>
      <w:marBottom w:val="0"/>
      <w:divBdr>
        <w:top w:val="none" w:sz="0" w:space="0" w:color="auto"/>
        <w:left w:val="none" w:sz="0" w:space="0" w:color="auto"/>
        <w:bottom w:val="none" w:sz="0" w:space="0" w:color="auto"/>
        <w:right w:val="none" w:sz="0" w:space="0" w:color="auto"/>
      </w:divBdr>
    </w:div>
    <w:div w:id="470945692">
      <w:bodyDiv w:val="1"/>
      <w:marLeft w:val="0"/>
      <w:marRight w:val="0"/>
      <w:marTop w:val="0"/>
      <w:marBottom w:val="0"/>
      <w:divBdr>
        <w:top w:val="none" w:sz="0" w:space="0" w:color="auto"/>
        <w:left w:val="none" w:sz="0" w:space="0" w:color="auto"/>
        <w:bottom w:val="none" w:sz="0" w:space="0" w:color="auto"/>
        <w:right w:val="none" w:sz="0" w:space="0" w:color="auto"/>
      </w:divBdr>
      <w:divsChild>
        <w:div w:id="1631282104">
          <w:marLeft w:val="547"/>
          <w:marRight w:val="0"/>
          <w:marTop w:val="86"/>
          <w:marBottom w:val="0"/>
          <w:divBdr>
            <w:top w:val="none" w:sz="0" w:space="0" w:color="auto"/>
            <w:left w:val="none" w:sz="0" w:space="0" w:color="auto"/>
            <w:bottom w:val="none" w:sz="0" w:space="0" w:color="auto"/>
            <w:right w:val="none" w:sz="0" w:space="0" w:color="auto"/>
          </w:divBdr>
        </w:div>
        <w:div w:id="423495660">
          <w:marLeft w:val="547"/>
          <w:marRight w:val="0"/>
          <w:marTop w:val="86"/>
          <w:marBottom w:val="0"/>
          <w:divBdr>
            <w:top w:val="none" w:sz="0" w:space="0" w:color="auto"/>
            <w:left w:val="none" w:sz="0" w:space="0" w:color="auto"/>
            <w:bottom w:val="none" w:sz="0" w:space="0" w:color="auto"/>
            <w:right w:val="none" w:sz="0" w:space="0" w:color="auto"/>
          </w:divBdr>
        </w:div>
        <w:div w:id="654458792">
          <w:marLeft w:val="1166"/>
          <w:marRight w:val="0"/>
          <w:marTop w:val="86"/>
          <w:marBottom w:val="0"/>
          <w:divBdr>
            <w:top w:val="none" w:sz="0" w:space="0" w:color="auto"/>
            <w:left w:val="none" w:sz="0" w:space="0" w:color="auto"/>
            <w:bottom w:val="none" w:sz="0" w:space="0" w:color="auto"/>
            <w:right w:val="none" w:sz="0" w:space="0" w:color="auto"/>
          </w:divBdr>
        </w:div>
        <w:div w:id="604311207">
          <w:marLeft w:val="1166"/>
          <w:marRight w:val="0"/>
          <w:marTop w:val="86"/>
          <w:marBottom w:val="0"/>
          <w:divBdr>
            <w:top w:val="none" w:sz="0" w:space="0" w:color="auto"/>
            <w:left w:val="none" w:sz="0" w:space="0" w:color="auto"/>
            <w:bottom w:val="none" w:sz="0" w:space="0" w:color="auto"/>
            <w:right w:val="none" w:sz="0" w:space="0" w:color="auto"/>
          </w:divBdr>
        </w:div>
        <w:div w:id="1330136763">
          <w:marLeft w:val="1166"/>
          <w:marRight w:val="0"/>
          <w:marTop w:val="86"/>
          <w:marBottom w:val="0"/>
          <w:divBdr>
            <w:top w:val="none" w:sz="0" w:space="0" w:color="auto"/>
            <w:left w:val="none" w:sz="0" w:space="0" w:color="auto"/>
            <w:bottom w:val="none" w:sz="0" w:space="0" w:color="auto"/>
            <w:right w:val="none" w:sz="0" w:space="0" w:color="auto"/>
          </w:divBdr>
        </w:div>
        <w:div w:id="1766992540">
          <w:marLeft w:val="1166"/>
          <w:marRight w:val="0"/>
          <w:marTop w:val="86"/>
          <w:marBottom w:val="0"/>
          <w:divBdr>
            <w:top w:val="none" w:sz="0" w:space="0" w:color="auto"/>
            <w:left w:val="none" w:sz="0" w:space="0" w:color="auto"/>
            <w:bottom w:val="none" w:sz="0" w:space="0" w:color="auto"/>
            <w:right w:val="none" w:sz="0" w:space="0" w:color="auto"/>
          </w:divBdr>
        </w:div>
        <w:div w:id="913664312">
          <w:marLeft w:val="1166"/>
          <w:marRight w:val="0"/>
          <w:marTop w:val="86"/>
          <w:marBottom w:val="0"/>
          <w:divBdr>
            <w:top w:val="none" w:sz="0" w:space="0" w:color="auto"/>
            <w:left w:val="none" w:sz="0" w:space="0" w:color="auto"/>
            <w:bottom w:val="none" w:sz="0" w:space="0" w:color="auto"/>
            <w:right w:val="none" w:sz="0" w:space="0" w:color="auto"/>
          </w:divBdr>
        </w:div>
        <w:div w:id="643196996">
          <w:marLeft w:val="1166"/>
          <w:marRight w:val="0"/>
          <w:marTop w:val="86"/>
          <w:marBottom w:val="0"/>
          <w:divBdr>
            <w:top w:val="none" w:sz="0" w:space="0" w:color="auto"/>
            <w:left w:val="none" w:sz="0" w:space="0" w:color="auto"/>
            <w:bottom w:val="none" w:sz="0" w:space="0" w:color="auto"/>
            <w:right w:val="none" w:sz="0" w:space="0" w:color="auto"/>
          </w:divBdr>
        </w:div>
        <w:div w:id="810244120">
          <w:marLeft w:val="1166"/>
          <w:marRight w:val="0"/>
          <w:marTop w:val="86"/>
          <w:marBottom w:val="0"/>
          <w:divBdr>
            <w:top w:val="none" w:sz="0" w:space="0" w:color="auto"/>
            <w:left w:val="none" w:sz="0" w:space="0" w:color="auto"/>
            <w:bottom w:val="none" w:sz="0" w:space="0" w:color="auto"/>
            <w:right w:val="none" w:sz="0" w:space="0" w:color="auto"/>
          </w:divBdr>
        </w:div>
        <w:div w:id="1598948219">
          <w:marLeft w:val="1166"/>
          <w:marRight w:val="0"/>
          <w:marTop w:val="86"/>
          <w:marBottom w:val="0"/>
          <w:divBdr>
            <w:top w:val="none" w:sz="0" w:space="0" w:color="auto"/>
            <w:left w:val="none" w:sz="0" w:space="0" w:color="auto"/>
            <w:bottom w:val="none" w:sz="0" w:space="0" w:color="auto"/>
            <w:right w:val="none" w:sz="0" w:space="0" w:color="auto"/>
          </w:divBdr>
        </w:div>
        <w:div w:id="1748772317">
          <w:marLeft w:val="1166"/>
          <w:marRight w:val="0"/>
          <w:marTop w:val="86"/>
          <w:marBottom w:val="0"/>
          <w:divBdr>
            <w:top w:val="none" w:sz="0" w:space="0" w:color="auto"/>
            <w:left w:val="none" w:sz="0" w:space="0" w:color="auto"/>
            <w:bottom w:val="none" w:sz="0" w:space="0" w:color="auto"/>
            <w:right w:val="none" w:sz="0" w:space="0" w:color="auto"/>
          </w:divBdr>
        </w:div>
        <w:div w:id="491415641">
          <w:marLeft w:val="547"/>
          <w:marRight w:val="0"/>
          <w:marTop w:val="86"/>
          <w:marBottom w:val="0"/>
          <w:divBdr>
            <w:top w:val="none" w:sz="0" w:space="0" w:color="auto"/>
            <w:left w:val="none" w:sz="0" w:space="0" w:color="auto"/>
            <w:bottom w:val="none" w:sz="0" w:space="0" w:color="auto"/>
            <w:right w:val="none" w:sz="0" w:space="0" w:color="auto"/>
          </w:divBdr>
        </w:div>
        <w:div w:id="2133009508">
          <w:marLeft w:val="1166"/>
          <w:marRight w:val="0"/>
          <w:marTop w:val="86"/>
          <w:marBottom w:val="0"/>
          <w:divBdr>
            <w:top w:val="none" w:sz="0" w:space="0" w:color="auto"/>
            <w:left w:val="none" w:sz="0" w:space="0" w:color="auto"/>
            <w:bottom w:val="none" w:sz="0" w:space="0" w:color="auto"/>
            <w:right w:val="none" w:sz="0" w:space="0" w:color="auto"/>
          </w:divBdr>
        </w:div>
        <w:div w:id="143815952">
          <w:marLeft w:val="1166"/>
          <w:marRight w:val="0"/>
          <w:marTop w:val="86"/>
          <w:marBottom w:val="0"/>
          <w:divBdr>
            <w:top w:val="none" w:sz="0" w:space="0" w:color="auto"/>
            <w:left w:val="none" w:sz="0" w:space="0" w:color="auto"/>
            <w:bottom w:val="none" w:sz="0" w:space="0" w:color="auto"/>
            <w:right w:val="none" w:sz="0" w:space="0" w:color="auto"/>
          </w:divBdr>
        </w:div>
      </w:divsChild>
    </w:div>
    <w:div w:id="479075946">
      <w:bodyDiv w:val="1"/>
      <w:marLeft w:val="0"/>
      <w:marRight w:val="0"/>
      <w:marTop w:val="0"/>
      <w:marBottom w:val="0"/>
      <w:divBdr>
        <w:top w:val="none" w:sz="0" w:space="0" w:color="auto"/>
        <w:left w:val="none" w:sz="0" w:space="0" w:color="auto"/>
        <w:bottom w:val="none" w:sz="0" w:space="0" w:color="auto"/>
        <w:right w:val="none" w:sz="0" w:space="0" w:color="auto"/>
      </w:divBdr>
    </w:div>
    <w:div w:id="485557353">
      <w:bodyDiv w:val="1"/>
      <w:marLeft w:val="0"/>
      <w:marRight w:val="0"/>
      <w:marTop w:val="0"/>
      <w:marBottom w:val="0"/>
      <w:divBdr>
        <w:top w:val="none" w:sz="0" w:space="0" w:color="auto"/>
        <w:left w:val="none" w:sz="0" w:space="0" w:color="auto"/>
        <w:bottom w:val="none" w:sz="0" w:space="0" w:color="auto"/>
        <w:right w:val="none" w:sz="0" w:space="0" w:color="auto"/>
      </w:divBdr>
    </w:div>
    <w:div w:id="489757884">
      <w:bodyDiv w:val="1"/>
      <w:marLeft w:val="0"/>
      <w:marRight w:val="0"/>
      <w:marTop w:val="0"/>
      <w:marBottom w:val="0"/>
      <w:divBdr>
        <w:top w:val="none" w:sz="0" w:space="0" w:color="auto"/>
        <w:left w:val="none" w:sz="0" w:space="0" w:color="auto"/>
        <w:bottom w:val="none" w:sz="0" w:space="0" w:color="auto"/>
        <w:right w:val="none" w:sz="0" w:space="0" w:color="auto"/>
      </w:divBdr>
    </w:div>
    <w:div w:id="499350448">
      <w:bodyDiv w:val="1"/>
      <w:marLeft w:val="0"/>
      <w:marRight w:val="0"/>
      <w:marTop w:val="0"/>
      <w:marBottom w:val="0"/>
      <w:divBdr>
        <w:top w:val="none" w:sz="0" w:space="0" w:color="auto"/>
        <w:left w:val="none" w:sz="0" w:space="0" w:color="auto"/>
        <w:bottom w:val="none" w:sz="0" w:space="0" w:color="auto"/>
        <w:right w:val="none" w:sz="0" w:space="0" w:color="auto"/>
      </w:divBdr>
    </w:div>
    <w:div w:id="501435055">
      <w:bodyDiv w:val="1"/>
      <w:marLeft w:val="0"/>
      <w:marRight w:val="0"/>
      <w:marTop w:val="0"/>
      <w:marBottom w:val="0"/>
      <w:divBdr>
        <w:top w:val="none" w:sz="0" w:space="0" w:color="auto"/>
        <w:left w:val="none" w:sz="0" w:space="0" w:color="auto"/>
        <w:bottom w:val="none" w:sz="0" w:space="0" w:color="auto"/>
        <w:right w:val="none" w:sz="0" w:space="0" w:color="auto"/>
      </w:divBdr>
    </w:div>
    <w:div w:id="513615968">
      <w:bodyDiv w:val="1"/>
      <w:marLeft w:val="0"/>
      <w:marRight w:val="0"/>
      <w:marTop w:val="0"/>
      <w:marBottom w:val="0"/>
      <w:divBdr>
        <w:top w:val="none" w:sz="0" w:space="0" w:color="auto"/>
        <w:left w:val="none" w:sz="0" w:space="0" w:color="auto"/>
        <w:bottom w:val="none" w:sz="0" w:space="0" w:color="auto"/>
        <w:right w:val="none" w:sz="0" w:space="0" w:color="auto"/>
      </w:divBdr>
      <w:divsChild>
        <w:div w:id="1702432246">
          <w:marLeft w:val="331"/>
          <w:marRight w:val="0"/>
          <w:marTop w:val="0"/>
          <w:marBottom w:val="120"/>
          <w:divBdr>
            <w:top w:val="none" w:sz="0" w:space="0" w:color="auto"/>
            <w:left w:val="none" w:sz="0" w:space="0" w:color="auto"/>
            <w:bottom w:val="none" w:sz="0" w:space="0" w:color="auto"/>
            <w:right w:val="none" w:sz="0" w:space="0" w:color="auto"/>
          </w:divBdr>
        </w:div>
        <w:div w:id="125970585">
          <w:marLeft w:val="331"/>
          <w:marRight w:val="0"/>
          <w:marTop w:val="0"/>
          <w:marBottom w:val="120"/>
          <w:divBdr>
            <w:top w:val="none" w:sz="0" w:space="0" w:color="auto"/>
            <w:left w:val="none" w:sz="0" w:space="0" w:color="auto"/>
            <w:bottom w:val="none" w:sz="0" w:space="0" w:color="auto"/>
            <w:right w:val="none" w:sz="0" w:space="0" w:color="auto"/>
          </w:divBdr>
        </w:div>
        <w:div w:id="799541235">
          <w:marLeft w:val="331"/>
          <w:marRight w:val="0"/>
          <w:marTop w:val="0"/>
          <w:marBottom w:val="120"/>
          <w:divBdr>
            <w:top w:val="none" w:sz="0" w:space="0" w:color="auto"/>
            <w:left w:val="none" w:sz="0" w:space="0" w:color="auto"/>
            <w:bottom w:val="none" w:sz="0" w:space="0" w:color="auto"/>
            <w:right w:val="none" w:sz="0" w:space="0" w:color="auto"/>
          </w:divBdr>
        </w:div>
        <w:div w:id="718824510">
          <w:marLeft w:val="331"/>
          <w:marRight w:val="0"/>
          <w:marTop w:val="0"/>
          <w:marBottom w:val="120"/>
          <w:divBdr>
            <w:top w:val="none" w:sz="0" w:space="0" w:color="auto"/>
            <w:left w:val="none" w:sz="0" w:space="0" w:color="auto"/>
            <w:bottom w:val="none" w:sz="0" w:space="0" w:color="auto"/>
            <w:right w:val="none" w:sz="0" w:space="0" w:color="auto"/>
          </w:divBdr>
        </w:div>
        <w:div w:id="1577477385">
          <w:marLeft w:val="331"/>
          <w:marRight w:val="0"/>
          <w:marTop w:val="0"/>
          <w:marBottom w:val="120"/>
          <w:divBdr>
            <w:top w:val="none" w:sz="0" w:space="0" w:color="auto"/>
            <w:left w:val="none" w:sz="0" w:space="0" w:color="auto"/>
            <w:bottom w:val="none" w:sz="0" w:space="0" w:color="auto"/>
            <w:right w:val="none" w:sz="0" w:space="0" w:color="auto"/>
          </w:divBdr>
        </w:div>
      </w:divsChild>
    </w:div>
    <w:div w:id="515727607">
      <w:bodyDiv w:val="1"/>
      <w:marLeft w:val="0"/>
      <w:marRight w:val="0"/>
      <w:marTop w:val="0"/>
      <w:marBottom w:val="0"/>
      <w:divBdr>
        <w:top w:val="none" w:sz="0" w:space="0" w:color="auto"/>
        <w:left w:val="none" w:sz="0" w:space="0" w:color="auto"/>
        <w:bottom w:val="none" w:sz="0" w:space="0" w:color="auto"/>
        <w:right w:val="none" w:sz="0" w:space="0" w:color="auto"/>
      </w:divBdr>
    </w:div>
    <w:div w:id="523370988">
      <w:bodyDiv w:val="1"/>
      <w:marLeft w:val="0"/>
      <w:marRight w:val="0"/>
      <w:marTop w:val="0"/>
      <w:marBottom w:val="0"/>
      <w:divBdr>
        <w:top w:val="none" w:sz="0" w:space="0" w:color="auto"/>
        <w:left w:val="none" w:sz="0" w:space="0" w:color="auto"/>
        <w:bottom w:val="none" w:sz="0" w:space="0" w:color="auto"/>
        <w:right w:val="none" w:sz="0" w:space="0" w:color="auto"/>
      </w:divBdr>
    </w:div>
    <w:div w:id="535235932">
      <w:bodyDiv w:val="1"/>
      <w:marLeft w:val="0"/>
      <w:marRight w:val="0"/>
      <w:marTop w:val="0"/>
      <w:marBottom w:val="0"/>
      <w:divBdr>
        <w:top w:val="none" w:sz="0" w:space="0" w:color="auto"/>
        <w:left w:val="none" w:sz="0" w:space="0" w:color="auto"/>
        <w:bottom w:val="none" w:sz="0" w:space="0" w:color="auto"/>
        <w:right w:val="none" w:sz="0" w:space="0" w:color="auto"/>
      </w:divBdr>
      <w:divsChild>
        <w:div w:id="138614034">
          <w:marLeft w:val="446"/>
          <w:marRight w:val="0"/>
          <w:marTop w:val="0"/>
          <w:marBottom w:val="0"/>
          <w:divBdr>
            <w:top w:val="none" w:sz="0" w:space="0" w:color="auto"/>
            <w:left w:val="none" w:sz="0" w:space="0" w:color="auto"/>
            <w:bottom w:val="none" w:sz="0" w:space="0" w:color="auto"/>
            <w:right w:val="none" w:sz="0" w:space="0" w:color="auto"/>
          </w:divBdr>
        </w:div>
        <w:div w:id="820805136">
          <w:marLeft w:val="446"/>
          <w:marRight w:val="0"/>
          <w:marTop w:val="0"/>
          <w:marBottom w:val="0"/>
          <w:divBdr>
            <w:top w:val="none" w:sz="0" w:space="0" w:color="auto"/>
            <w:left w:val="none" w:sz="0" w:space="0" w:color="auto"/>
            <w:bottom w:val="none" w:sz="0" w:space="0" w:color="auto"/>
            <w:right w:val="none" w:sz="0" w:space="0" w:color="auto"/>
          </w:divBdr>
        </w:div>
        <w:div w:id="686100996">
          <w:marLeft w:val="446"/>
          <w:marRight w:val="0"/>
          <w:marTop w:val="0"/>
          <w:marBottom w:val="0"/>
          <w:divBdr>
            <w:top w:val="none" w:sz="0" w:space="0" w:color="auto"/>
            <w:left w:val="none" w:sz="0" w:space="0" w:color="auto"/>
            <w:bottom w:val="none" w:sz="0" w:space="0" w:color="auto"/>
            <w:right w:val="none" w:sz="0" w:space="0" w:color="auto"/>
          </w:divBdr>
        </w:div>
      </w:divsChild>
    </w:div>
    <w:div w:id="546183743">
      <w:bodyDiv w:val="1"/>
      <w:marLeft w:val="0"/>
      <w:marRight w:val="0"/>
      <w:marTop w:val="0"/>
      <w:marBottom w:val="0"/>
      <w:divBdr>
        <w:top w:val="none" w:sz="0" w:space="0" w:color="auto"/>
        <w:left w:val="none" w:sz="0" w:space="0" w:color="auto"/>
        <w:bottom w:val="none" w:sz="0" w:space="0" w:color="auto"/>
        <w:right w:val="none" w:sz="0" w:space="0" w:color="auto"/>
      </w:divBdr>
    </w:div>
    <w:div w:id="554119860">
      <w:bodyDiv w:val="1"/>
      <w:marLeft w:val="0"/>
      <w:marRight w:val="0"/>
      <w:marTop w:val="0"/>
      <w:marBottom w:val="0"/>
      <w:divBdr>
        <w:top w:val="none" w:sz="0" w:space="0" w:color="auto"/>
        <w:left w:val="none" w:sz="0" w:space="0" w:color="auto"/>
        <w:bottom w:val="none" w:sz="0" w:space="0" w:color="auto"/>
        <w:right w:val="none" w:sz="0" w:space="0" w:color="auto"/>
      </w:divBdr>
    </w:div>
    <w:div w:id="563415594">
      <w:bodyDiv w:val="1"/>
      <w:marLeft w:val="0"/>
      <w:marRight w:val="0"/>
      <w:marTop w:val="0"/>
      <w:marBottom w:val="0"/>
      <w:divBdr>
        <w:top w:val="none" w:sz="0" w:space="0" w:color="auto"/>
        <w:left w:val="none" w:sz="0" w:space="0" w:color="auto"/>
        <w:bottom w:val="none" w:sz="0" w:space="0" w:color="auto"/>
        <w:right w:val="none" w:sz="0" w:space="0" w:color="auto"/>
      </w:divBdr>
    </w:div>
    <w:div w:id="574710467">
      <w:bodyDiv w:val="1"/>
      <w:marLeft w:val="0"/>
      <w:marRight w:val="0"/>
      <w:marTop w:val="0"/>
      <w:marBottom w:val="0"/>
      <w:divBdr>
        <w:top w:val="none" w:sz="0" w:space="0" w:color="auto"/>
        <w:left w:val="none" w:sz="0" w:space="0" w:color="auto"/>
        <w:bottom w:val="none" w:sz="0" w:space="0" w:color="auto"/>
        <w:right w:val="none" w:sz="0" w:space="0" w:color="auto"/>
      </w:divBdr>
    </w:div>
    <w:div w:id="583028891">
      <w:bodyDiv w:val="1"/>
      <w:marLeft w:val="0"/>
      <w:marRight w:val="0"/>
      <w:marTop w:val="0"/>
      <w:marBottom w:val="0"/>
      <w:divBdr>
        <w:top w:val="none" w:sz="0" w:space="0" w:color="auto"/>
        <w:left w:val="none" w:sz="0" w:space="0" w:color="auto"/>
        <w:bottom w:val="none" w:sz="0" w:space="0" w:color="auto"/>
        <w:right w:val="none" w:sz="0" w:space="0" w:color="auto"/>
      </w:divBdr>
    </w:div>
    <w:div w:id="587890599">
      <w:bodyDiv w:val="1"/>
      <w:marLeft w:val="0"/>
      <w:marRight w:val="0"/>
      <w:marTop w:val="0"/>
      <w:marBottom w:val="0"/>
      <w:divBdr>
        <w:top w:val="none" w:sz="0" w:space="0" w:color="auto"/>
        <w:left w:val="none" w:sz="0" w:space="0" w:color="auto"/>
        <w:bottom w:val="none" w:sz="0" w:space="0" w:color="auto"/>
        <w:right w:val="none" w:sz="0" w:space="0" w:color="auto"/>
      </w:divBdr>
    </w:div>
    <w:div w:id="608438371">
      <w:bodyDiv w:val="1"/>
      <w:marLeft w:val="0"/>
      <w:marRight w:val="0"/>
      <w:marTop w:val="0"/>
      <w:marBottom w:val="0"/>
      <w:divBdr>
        <w:top w:val="none" w:sz="0" w:space="0" w:color="auto"/>
        <w:left w:val="none" w:sz="0" w:space="0" w:color="auto"/>
        <w:bottom w:val="none" w:sz="0" w:space="0" w:color="auto"/>
        <w:right w:val="none" w:sz="0" w:space="0" w:color="auto"/>
      </w:divBdr>
    </w:div>
    <w:div w:id="617878519">
      <w:bodyDiv w:val="1"/>
      <w:marLeft w:val="0"/>
      <w:marRight w:val="0"/>
      <w:marTop w:val="0"/>
      <w:marBottom w:val="0"/>
      <w:divBdr>
        <w:top w:val="none" w:sz="0" w:space="0" w:color="auto"/>
        <w:left w:val="none" w:sz="0" w:space="0" w:color="auto"/>
        <w:bottom w:val="none" w:sz="0" w:space="0" w:color="auto"/>
        <w:right w:val="none" w:sz="0" w:space="0" w:color="auto"/>
      </w:divBdr>
    </w:div>
    <w:div w:id="618997695">
      <w:bodyDiv w:val="1"/>
      <w:marLeft w:val="0"/>
      <w:marRight w:val="0"/>
      <w:marTop w:val="0"/>
      <w:marBottom w:val="0"/>
      <w:divBdr>
        <w:top w:val="none" w:sz="0" w:space="0" w:color="auto"/>
        <w:left w:val="none" w:sz="0" w:space="0" w:color="auto"/>
        <w:bottom w:val="none" w:sz="0" w:space="0" w:color="auto"/>
        <w:right w:val="none" w:sz="0" w:space="0" w:color="auto"/>
      </w:divBdr>
    </w:div>
    <w:div w:id="621957178">
      <w:bodyDiv w:val="1"/>
      <w:marLeft w:val="0"/>
      <w:marRight w:val="0"/>
      <w:marTop w:val="0"/>
      <w:marBottom w:val="0"/>
      <w:divBdr>
        <w:top w:val="none" w:sz="0" w:space="0" w:color="auto"/>
        <w:left w:val="none" w:sz="0" w:space="0" w:color="auto"/>
        <w:bottom w:val="none" w:sz="0" w:space="0" w:color="auto"/>
        <w:right w:val="none" w:sz="0" w:space="0" w:color="auto"/>
      </w:divBdr>
    </w:div>
    <w:div w:id="644550481">
      <w:bodyDiv w:val="1"/>
      <w:marLeft w:val="0"/>
      <w:marRight w:val="0"/>
      <w:marTop w:val="0"/>
      <w:marBottom w:val="0"/>
      <w:divBdr>
        <w:top w:val="none" w:sz="0" w:space="0" w:color="auto"/>
        <w:left w:val="none" w:sz="0" w:space="0" w:color="auto"/>
        <w:bottom w:val="none" w:sz="0" w:space="0" w:color="auto"/>
        <w:right w:val="none" w:sz="0" w:space="0" w:color="auto"/>
      </w:divBdr>
    </w:div>
    <w:div w:id="671954116">
      <w:bodyDiv w:val="1"/>
      <w:marLeft w:val="0"/>
      <w:marRight w:val="0"/>
      <w:marTop w:val="0"/>
      <w:marBottom w:val="0"/>
      <w:divBdr>
        <w:top w:val="none" w:sz="0" w:space="0" w:color="auto"/>
        <w:left w:val="none" w:sz="0" w:space="0" w:color="auto"/>
        <w:bottom w:val="none" w:sz="0" w:space="0" w:color="auto"/>
        <w:right w:val="none" w:sz="0" w:space="0" w:color="auto"/>
      </w:divBdr>
    </w:div>
    <w:div w:id="674528507">
      <w:bodyDiv w:val="1"/>
      <w:marLeft w:val="0"/>
      <w:marRight w:val="0"/>
      <w:marTop w:val="0"/>
      <w:marBottom w:val="0"/>
      <w:divBdr>
        <w:top w:val="none" w:sz="0" w:space="0" w:color="auto"/>
        <w:left w:val="none" w:sz="0" w:space="0" w:color="auto"/>
        <w:bottom w:val="none" w:sz="0" w:space="0" w:color="auto"/>
        <w:right w:val="none" w:sz="0" w:space="0" w:color="auto"/>
      </w:divBdr>
      <w:divsChild>
        <w:div w:id="581566630">
          <w:marLeft w:val="331"/>
          <w:marRight w:val="0"/>
          <w:marTop w:val="0"/>
          <w:marBottom w:val="0"/>
          <w:divBdr>
            <w:top w:val="none" w:sz="0" w:space="0" w:color="auto"/>
            <w:left w:val="none" w:sz="0" w:space="0" w:color="auto"/>
            <w:bottom w:val="none" w:sz="0" w:space="0" w:color="auto"/>
            <w:right w:val="none" w:sz="0" w:space="0" w:color="auto"/>
          </w:divBdr>
        </w:div>
        <w:div w:id="1281297836">
          <w:marLeft w:val="331"/>
          <w:marRight w:val="0"/>
          <w:marTop w:val="0"/>
          <w:marBottom w:val="0"/>
          <w:divBdr>
            <w:top w:val="none" w:sz="0" w:space="0" w:color="auto"/>
            <w:left w:val="none" w:sz="0" w:space="0" w:color="auto"/>
            <w:bottom w:val="none" w:sz="0" w:space="0" w:color="auto"/>
            <w:right w:val="none" w:sz="0" w:space="0" w:color="auto"/>
          </w:divBdr>
        </w:div>
        <w:div w:id="366377300">
          <w:marLeft w:val="331"/>
          <w:marRight w:val="0"/>
          <w:marTop w:val="0"/>
          <w:marBottom w:val="0"/>
          <w:divBdr>
            <w:top w:val="none" w:sz="0" w:space="0" w:color="auto"/>
            <w:left w:val="none" w:sz="0" w:space="0" w:color="auto"/>
            <w:bottom w:val="none" w:sz="0" w:space="0" w:color="auto"/>
            <w:right w:val="none" w:sz="0" w:space="0" w:color="auto"/>
          </w:divBdr>
        </w:div>
        <w:div w:id="793409402">
          <w:marLeft w:val="331"/>
          <w:marRight w:val="0"/>
          <w:marTop w:val="0"/>
          <w:marBottom w:val="0"/>
          <w:divBdr>
            <w:top w:val="none" w:sz="0" w:space="0" w:color="auto"/>
            <w:left w:val="none" w:sz="0" w:space="0" w:color="auto"/>
            <w:bottom w:val="none" w:sz="0" w:space="0" w:color="auto"/>
            <w:right w:val="none" w:sz="0" w:space="0" w:color="auto"/>
          </w:divBdr>
        </w:div>
      </w:divsChild>
    </w:div>
    <w:div w:id="709959767">
      <w:bodyDiv w:val="1"/>
      <w:marLeft w:val="0"/>
      <w:marRight w:val="0"/>
      <w:marTop w:val="0"/>
      <w:marBottom w:val="0"/>
      <w:divBdr>
        <w:top w:val="none" w:sz="0" w:space="0" w:color="auto"/>
        <w:left w:val="none" w:sz="0" w:space="0" w:color="auto"/>
        <w:bottom w:val="none" w:sz="0" w:space="0" w:color="auto"/>
        <w:right w:val="none" w:sz="0" w:space="0" w:color="auto"/>
      </w:divBdr>
    </w:div>
    <w:div w:id="711929278">
      <w:bodyDiv w:val="1"/>
      <w:marLeft w:val="0"/>
      <w:marRight w:val="0"/>
      <w:marTop w:val="0"/>
      <w:marBottom w:val="0"/>
      <w:divBdr>
        <w:top w:val="none" w:sz="0" w:space="0" w:color="auto"/>
        <w:left w:val="none" w:sz="0" w:space="0" w:color="auto"/>
        <w:bottom w:val="none" w:sz="0" w:space="0" w:color="auto"/>
        <w:right w:val="none" w:sz="0" w:space="0" w:color="auto"/>
      </w:divBdr>
    </w:div>
    <w:div w:id="720056999">
      <w:bodyDiv w:val="1"/>
      <w:marLeft w:val="0"/>
      <w:marRight w:val="0"/>
      <w:marTop w:val="0"/>
      <w:marBottom w:val="0"/>
      <w:divBdr>
        <w:top w:val="none" w:sz="0" w:space="0" w:color="auto"/>
        <w:left w:val="none" w:sz="0" w:space="0" w:color="auto"/>
        <w:bottom w:val="none" w:sz="0" w:space="0" w:color="auto"/>
        <w:right w:val="none" w:sz="0" w:space="0" w:color="auto"/>
      </w:divBdr>
    </w:div>
    <w:div w:id="721832571">
      <w:bodyDiv w:val="1"/>
      <w:marLeft w:val="0"/>
      <w:marRight w:val="0"/>
      <w:marTop w:val="0"/>
      <w:marBottom w:val="0"/>
      <w:divBdr>
        <w:top w:val="none" w:sz="0" w:space="0" w:color="auto"/>
        <w:left w:val="none" w:sz="0" w:space="0" w:color="auto"/>
        <w:bottom w:val="none" w:sz="0" w:space="0" w:color="auto"/>
        <w:right w:val="none" w:sz="0" w:space="0" w:color="auto"/>
      </w:divBdr>
    </w:div>
    <w:div w:id="727071192">
      <w:bodyDiv w:val="1"/>
      <w:marLeft w:val="0"/>
      <w:marRight w:val="0"/>
      <w:marTop w:val="0"/>
      <w:marBottom w:val="0"/>
      <w:divBdr>
        <w:top w:val="none" w:sz="0" w:space="0" w:color="auto"/>
        <w:left w:val="none" w:sz="0" w:space="0" w:color="auto"/>
        <w:bottom w:val="none" w:sz="0" w:space="0" w:color="auto"/>
        <w:right w:val="none" w:sz="0" w:space="0" w:color="auto"/>
      </w:divBdr>
    </w:div>
    <w:div w:id="729574861">
      <w:bodyDiv w:val="1"/>
      <w:marLeft w:val="0"/>
      <w:marRight w:val="0"/>
      <w:marTop w:val="0"/>
      <w:marBottom w:val="0"/>
      <w:divBdr>
        <w:top w:val="none" w:sz="0" w:space="0" w:color="auto"/>
        <w:left w:val="none" w:sz="0" w:space="0" w:color="auto"/>
        <w:bottom w:val="none" w:sz="0" w:space="0" w:color="auto"/>
        <w:right w:val="none" w:sz="0" w:space="0" w:color="auto"/>
      </w:divBdr>
    </w:div>
    <w:div w:id="731268267">
      <w:bodyDiv w:val="1"/>
      <w:marLeft w:val="0"/>
      <w:marRight w:val="0"/>
      <w:marTop w:val="0"/>
      <w:marBottom w:val="0"/>
      <w:divBdr>
        <w:top w:val="none" w:sz="0" w:space="0" w:color="auto"/>
        <w:left w:val="none" w:sz="0" w:space="0" w:color="auto"/>
        <w:bottom w:val="none" w:sz="0" w:space="0" w:color="auto"/>
        <w:right w:val="none" w:sz="0" w:space="0" w:color="auto"/>
      </w:divBdr>
      <w:divsChild>
        <w:div w:id="1330401482">
          <w:marLeft w:val="446"/>
          <w:marRight w:val="0"/>
          <w:marTop w:val="0"/>
          <w:marBottom w:val="0"/>
          <w:divBdr>
            <w:top w:val="none" w:sz="0" w:space="0" w:color="auto"/>
            <w:left w:val="none" w:sz="0" w:space="0" w:color="auto"/>
            <w:bottom w:val="none" w:sz="0" w:space="0" w:color="auto"/>
            <w:right w:val="none" w:sz="0" w:space="0" w:color="auto"/>
          </w:divBdr>
        </w:div>
        <w:div w:id="348874333">
          <w:marLeft w:val="446"/>
          <w:marRight w:val="0"/>
          <w:marTop w:val="0"/>
          <w:marBottom w:val="0"/>
          <w:divBdr>
            <w:top w:val="none" w:sz="0" w:space="0" w:color="auto"/>
            <w:left w:val="none" w:sz="0" w:space="0" w:color="auto"/>
            <w:bottom w:val="none" w:sz="0" w:space="0" w:color="auto"/>
            <w:right w:val="none" w:sz="0" w:space="0" w:color="auto"/>
          </w:divBdr>
        </w:div>
      </w:divsChild>
    </w:div>
    <w:div w:id="742021662">
      <w:bodyDiv w:val="1"/>
      <w:marLeft w:val="0"/>
      <w:marRight w:val="0"/>
      <w:marTop w:val="0"/>
      <w:marBottom w:val="0"/>
      <w:divBdr>
        <w:top w:val="none" w:sz="0" w:space="0" w:color="auto"/>
        <w:left w:val="none" w:sz="0" w:space="0" w:color="auto"/>
        <w:bottom w:val="none" w:sz="0" w:space="0" w:color="auto"/>
        <w:right w:val="none" w:sz="0" w:space="0" w:color="auto"/>
      </w:divBdr>
    </w:div>
    <w:div w:id="746807370">
      <w:bodyDiv w:val="1"/>
      <w:marLeft w:val="0"/>
      <w:marRight w:val="0"/>
      <w:marTop w:val="0"/>
      <w:marBottom w:val="0"/>
      <w:divBdr>
        <w:top w:val="none" w:sz="0" w:space="0" w:color="auto"/>
        <w:left w:val="none" w:sz="0" w:space="0" w:color="auto"/>
        <w:bottom w:val="none" w:sz="0" w:space="0" w:color="auto"/>
        <w:right w:val="none" w:sz="0" w:space="0" w:color="auto"/>
      </w:divBdr>
    </w:div>
    <w:div w:id="754788474">
      <w:bodyDiv w:val="1"/>
      <w:marLeft w:val="0"/>
      <w:marRight w:val="0"/>
      <w:marTop w:val="0"/>
      <w:marBottom w:val="0"/>
      <w:divBdr>
        <w:top w:val="none" w:sz="0" w:space="0" w:color="auto"/>
        <w:left w:val="none" w:sz="0" w:space="0" w:color="auto"/>
        <w:bottom w:val="none" w:sz="0" w:space="0" w:color="auto"/>
        <w:right w:val="none" w:sz="0" w:space="0" w:color="auto"/>
      </w:divBdr>
    </w:div>
    <w:div w:id="756050950">
      <w:bodyDiv w:val="1"/>
      <w:marLeft w:val="0"/>
      <w:marRight w:val="0"/>
      <w:marTop w:val="0"/>
      <w:marBottom w:val="0"/>
      <w:divBdr>
        <w:top w:val="none" w:sz="0" w:space="0" w:color="auto"/>
        <w:left w:val="none" w:sz="0" w:space="0" w:color="auto"/>
        <w:bottom w:val="none" w:sz="0" w:space="0" w:color="auto"/>
        <w:right w:val="none" w:sz="0" w:space="0" w:color="auto"/>
      </w:divBdr>
    </w:div>
    <w:div w:id="757211063">
      <w:bodyDiv w:val="1"/>
      <w:marLeft w:val="0"/>
      <w:marRight w:val="0"/>
      <w:marTop w:val="0"/>
      <w:marBottom w:val="0"/>
      <w:divBdr>
        <w:top w:val="none" w:sz="0" w:space="0" w:color="auto"/>
        <w:left w:val="none" w:sz="0" w:space="0" w:color="auto"/>
        <w:bottom w:val="none" w:sz="0" w:space="0" w:color="auto"/>
        <w:right w:val="none" w:sz="0" w:space="0" w:color="auto"/>
      </w:divBdr>
    </w:div>
    <w:div w:id="761998612">
      <w:bodyDiv w:val="1"/>
      <w:marLeft w:val="0"/>
      <w:marRight w:val="0"/>
      <w:marTop w:val="0"/>
      <w:marBottom w:val="0"/>
      <w:divBdr>
        <w:top w:val="none" w:sz="0" w:space="0" w:color="auto"/>
        <w:left w:val="none" w:sz="0" w:space="0" w:color="auto"/>
        <w:bottom w:val="none" w:sz="0" w:space="0" w:color="auto"/>
        <w:right w:val="none" w:sz="0" w:space="0" w:color="auto"/>
      </w:divBdr>
    </w:div>
    <w:div w:id="777485260">
      <w:bodyDiv w:val="1"/>
      <w:marLeft w:val="0"/>
      <w:marRight w:val="0"/>
      <w:marTop w:val="0"/>
      <w:marBottom w:val="0"/>
      <w:divBdr>
        <w:top w:val="none" w:sz="0" w:space="0" w:color="auto"/>
        <w:left w:val="none" w:sz="0" w:space="0" w:color="auto"/>
        <w:bottom w:val="none" w:sz="0" w:space="0" w:color="auto"/>
        <w:right w:val="none" w:sz="0" w:space="0" w:color="auto"/>
      </w:divBdr>
    </w:div>
    <w:div w:id="783768954">
      <w:bodyDiv w:val="1"/>
      <w:marLeft w:val="0"/>
      <w:marRight w:val="0"/>
      <w:marTop w:val="0"/>
      <w:marBottom w:val="0"/>
      <w:divBdr>
        <w:top w:val="none" w:sz="0" w:space="0" w:color="auto"/>
        <w:left w:val="none" w:sz="0" w:space="0" w:color="auto"/>
        <w:bottom w:val="none" w:sz="0" w:space="0" w:color="auto"/>
        <w:right w:val="none" w:sz="0" w:space="0" w:color="auto"/>
      </w:divBdr>
    </w:div>
    <w:div w:id="785268530">
      <w:bodyDiv w:val="1"/>
      <w:marLeft w:val="0"/>
      <w:marRight w:val="0"/>
      <w:marTop w:val="0"/>
      <w:marBottom w:val="0"/>
      <w:divBdr>
        <w:top w:val="none" w:sz="0" w:space="0" w:color="auto"/>
        <w:left w:val="none" w:sz="0" w:space="0" w:color="auto"/>
        <w:bottom w:val="none" w:sz="0" w:space="0" w:color="auto"/>
        <w:right w:val="none" w:sz="0" w:space="0" w:color="auto"/>
      </w:divBdr>
    </w:div>
    <w:div w:id="791556318">
      <w:bodyDiv w:val="1"/>
      <w:marLeft w:val="0"/>
      <w:marRight w:val="0"/>
      <w:marTop w:val="0"/>
      <w:marBottom w:val="0"/>
      <w:divBdr>
        <w:top w:val="none" w:sz="0" w:space="0" w:color="auto"/>
        <w:left w:val="none" w:sz="0" w:space="0" w:color="auto"/>
        <w:bottom w:val="none" w:sz="0" w:space="0" w:color="auto"/>
        <w:right w:val="none" w:sz="0" w:space="0" w:color="auto"/>
      </w:divBdr>
    </w:div>
    <w:div w:id="798764426">
      <w:bodyDiv w:val="1"/>
      <w:marLeft w:val="0"/>
      <w:marRight w:val="0"/>
      <w:marTop w:val="0"/>
      <w:marBottom w:val="0"/>
      <w:divBdr>
        <w:top w:val="none" w:sz="0" w:space="0" w:color="auto"/>
        <w:left w:val="none" w:sz="0" w:space="0" w:color="auto"/>
        <w:bottom w:val="none" w:sz="0" w:space="0" w:color="auto"/>
        <w:right w:val="none" w:sz="0" w:space="0" w:color="auto"/>
      </w:divBdr>
      <w:divsChild>
        <w:div w:id="1369602787">
          <w:marLeft w:val="446"/>
          <w:marRight w:val="0"/>
          <w:marTop w:val="0"/>
          <w:marBottom w:val="120"/>
          <w:divBdr>
            <w:top w:val="none" w:sz="0" w:space="0" w:color="auto"/>
            <w:left w:val="none" w:sz="0" w:space="0" w:color="auto"/>
            <w:bottom w:val="none" w:sz="0" w:space="0" w:color="auto"/>
            <w:right w:val="none" w:sz="0" w:space="0" w:color="auto"/>
          </w:divBdr>
        </w:div>
        <w:div w:id="238635731">
          <w:marLeft w:val="446"/>
          <w:marRight w:val="0"/>
          <w:marTop w:val="0"/>
          <w:marBottom w:val="120"/>
          <w:divBdr>
            <w:top w:val="none" w:sz="0" w:space="0" w:color="auto"/>
            <w:left w:val="none" w:sz="0" w:space="0" w:color="auto"/>
            <w:bottom w:val="none" w:sz="0" w:space="0" w:color="auto"/>
            <w:right w:val="none" w:sz="0" w:space="0" w:color="auto"/>
          </w:divBdr>
        </w:div>
      </w:divsChild>
    </w:div>
    <w:div w:id="812337024">
      <w:bodyDiv w:val="1"/>
      <w:marLeft w:val="0"/>
      <w:marRight w:val="0"/>
      <w:marTop w:val="0"/>
      <w:marBottom w:val="0"/>
      <w:divBdr>
        <w:top w:val="none" w:sz="0" w:space="0" w:color="auto"/>
        <w:left w:val="none" w:sz="0" w:space="0" w:color="auto"/>
        <w:bottom w:val="none" w:sz="0" w:space="0" w:color="auto"/>
        <w:right w:val="none" w:sz="0" w:space="0" w:color="auto"/>
      </w:divBdr>
      <w:divsChild>
        <w:div w:id="424569881">
          <w:marLeft w:val="446"/>
          <w:marRight w:val="0"/>
          <w:marTop w:val="0"/>
          <w:marBottom w:val="0"/>
          <w:divBdr>
            <w:top w:val="none" w:sz="0" w:space="0" w:color="auto"/>
            <w:left w:val="none" w:sz="0" w:space="0" w:color="auto"/>
            <w:bottom w:val="none" w:sz="0" w:space="0" w:color="auto"/>
            <w:right w:val="none" w:sz="0" w:space="0" w:color="auto"/>
          </w:divBdr>
        </w:div>
        <w:div w:id="2102869981">
          <w:marLeft w:val="446"/>
          <w:marRight w:val="0"/>
          <w:marTop w:val="0"/>
          <w:marBottom w:val="0"/>
          <w:divBdr>
            <w:top w:val="none" w:sz="0" w:space="0" w:color="auto"/>
            <w:left w:val="none" w:sz="0" w:space="0" w:color="auto"/>
            <w:bottom w:val="none" w:sz="0" w:space="0" w:color="auto"/>
            <w:right w:val="none" w:sz="0" w:space="0" w:color="auto"/>
          </w:divBdr>
        </w:div>
        <w:div w:id="1098141863">
          <w:marLeft w:val="446"/>
          <w:marRight w:val="0"/>
          <w:marTop w:val="0"/>
          <w:marBottom w:val="0"/>
          <w:divBdr>
            <w:top w:val="none" w:sz="0" w:space="0" w:color="auto"/>
            <w:left w:val="none" w:sz="0" w:space="0" w:color="auto"/>
            <w:bottom w:val="none" w:sz="0" w:space="0" w:color="auto"/>
            <w:right w:val="none" w:sz="0" w:space="0" w:color="auto"/>
          </w:divBdr>
        </w:div>
      </w:divsChild>
    </w:div>
    <w:div w:id="823201767">
      <w:bodyDiv w:val="1"/>
      <w:marLeft w:val="0"/>
      <w:marRight w:val="0"/>
      <w:marTop w:val="0"/>
      <w:marBottom w:val="0"/>
      <w:divBdr>
        <w:top w:val="none" w:sz="0" w:space="0" w:color="auto"/>
        <w:left w:val="none" w:sz="0" w:space="0" w:color="auto"/>
        <w:bottom w:val="none" w:sz="0" w:space="0" w:color="auto"/>
        <w:right w:val="none" w:sz="0" w:space="0" w:color="auto"/>
      </w:divBdr>
    </w:div>
    <w:div w:id="828253371">
      <w:bodyDiv w:val="1"/>
      <w:marLeft w:val="0"/>
      <w:marRight w:val="0"/>
      <w:marTop w:val="0"/>
      <w:marBottom w:val="0"/>
      <w:divBdr>
        <w:top w:val="none" w:sz="0" w:space="0" w:color="auto"/>
        <w:left w:val="none" w:sz="0" w:space="0" w:color="auto"/>
        <w:bottom w:val="none" w:sz="0" w:space="0" w:color="auto"/>
        <w:right w:val="none" w:sz="0" w:space="0" w:color="auto"/>
      </w:divBdr>
    </w:div>
    <w:div w:id="856504577">
      <w:bodyDiv w:val="1"/>
      <w:marLeft w:val="0"/>
      <w:marRight w:val="0"/>
      <w:marTop w:val="0"/>
      <w:marBottom w:val="0"/>
      <w:divBdr>
        <w:top w:val="none" w:sz="0" w:space="0" w:color="auto"/>
        <w:left w:val="none" w:sz="0" w:space="0" w:color="auto"/>
        <w:bottom w:val="none" w:sz="0" w:space="0" w:color="auto"/>
        <w:right w:val="none" w:sz="0" w:space="0" w:color="auto"/>
      </w:divBdr>
    </w:div>
    <w:div w:id="859900868">
      <w:bodyDiv w:val="1"/>
      <w:marLeft w:val="0"/>
      <w:marRight w:val="0"/>
      <w:marTop w:val="0"/>
      <w:marBottom w:val="0"/>
      <w:divBdr>
        <w:top w:val="none" w:sz="0" w:space="0" w:color="auto"/>
        <w:left w:val="none" w:sz="0" w:space="0" w:color="auto"/>
        <w:bottom w:val="none" w:sz="0" w:space="0" w:color="auto"/>
        <w:right w:val="none" w:sz="0" w:space="0" w:color="auto"/>
      </w:divBdr>
    </w:div>
    <w:div w:id="870263366">
      <w:bodyDiv w:val="1"/>
      <w:marLeft w:val="0"/>
      <w:marRight w:val="0"/>
      <w:marTop w:val="0"/>
      <w:marBottom w:val="0"/>
      <w:divBdr>
        <w:top w:val="none" w:sz="0" w:space="0" w:color="auto"/>
        <w:left w:val="none" w:sz="0" w:space="0" w:color="auto"/>
        <w:bottom w:val="none" w:sz="0" w:space="0" w:color="auto"/>
        <w:right w:val="none" w:sz="0" w:space="0" w:color="auto"/>
      </w:divBdr>
    </w:div>
    <w:div w:id="872184790">
      <w:bodyDiv w:val="1"/>
      <w:marLeft w:val="0"/>
      <w:marRight w:val="0"/>
      <w:marTop w:val="0"/>
      <w:marBottom w:val="0"/>
      <w:divBdr>
        <w:top w:val="none" w:sz="0" w:space="0" w:color="auto"/>
        <w:left w:val="none" w:sz="0" w:space="0" w:color="auto"/>
        <w:bottom w:val="none" w:sz="0" w:space="0" w:color="auto"/>
        <w:right w:val="none" w:sz="0" w:space="0" w:color="auto"/>
      </w:divBdr>
    </w:div>
    <w:div w:id="874317756">
      <w:bodyDiv w:val="1"/>
      <w:marLeft w:val="0"/>
      <w:marRight w:val="0"/>
      <w:marTop w:val="0"/>
      <w:marBottom w:val="0"/>
      <w:divBdr>
        <w:top w:val="none" w:sz="0" w:space="0" w:color="auto"/>
        <w:left w:val="none" w:sz="0" w:space="0" w:color="auto"/>
        <w:bottom w:val="none" w:sz="0" w:space="0" w:color="auto"/>
        <w:right w:val="none" w:sz="0" w:space="0" w:color="auto"/>
      </w:divBdr>
    </w:div>
    <w:div w:id="874393739">
      <w:bodyDiv w:val="1"/>
      <w:marLeft w:val="0"/>
      <w:marRight w:val="0"/>
      <w:marTop w:val="0"/>
      <w:marBottom w:val="0"/>
      <w:divBdr>
        <w:top w:val="none" w:sz="0" w:space="0" w:color="auto"/>
        <w:left w:val="none" w:sz="0" w:space="0" w:color="auto"/>
        <w:bottom w:val="none" w:sz="0" w:space="0" w:color="auto"/>
        <w:right w:val="none" w:sz="0" w:space="0" w:color="auto"/>
      </w:divBdr>
    </w:div>
    <w:div w:id="882599315">
      <w:bodyDiv w:val="1"/>
      <w:marLeft w:val="0"/>
      <w:marRight w:val="0"/>
      <w:marTop w:val="0"/>
      <w:marBottom w:val="0"/>
      <w:divBdr>
        <w:top w:val="none" w:sz="0" w:space="0" w:color="auto"/>
        <w:left w:val="none" w:sz="0" w:space="0" w:color="auto"/>
        <w:bottom w:val="none" w:sz="0" w:space="0" w:color="auto"/>
        <w:right w:val="none" w:sz="0" w:space="0" w:color="auto"/>
      </w:divBdr>
    </w:div>
    <w:div w:id="888423912">
      <w:bodyDiv w:val="1"/>
      <w:marLeft w:val="0"/>
      <w:marRight w:val="0"/>
      <w:marTop w:val="0"/>
      <w:marBottom w:val="0"/>
      <w:divBdr>
        <w:top w:val="none" w:sz="0" w:space="0" w:color="auto"/>
        <w:left w:val="none" w:sz="0" w:space="0" w:color="auto"/>
        <w:bottom w:val="none" w:sz="0" w:space="0" w:color="auto"/>
        <w:right w:val="none" w:sz="0" w:space="0" w:color="auto"/>
      </w:divBdr>
    </w:div>
    <w:div w:id="889263767">
      <w:bodyDiv w:val="1"/>
      <w:marLeft w:val="0"/>
      <w:marRight w:val="0"/>
      <w:marTop w:val="0"/>
      <w:marBottom w:val="0"/>
      <w:divBdr>
        <w:top w:val="none" w:sz="0" w:space="0" w:color="auto"/>
        <w:left w:val="none" w:sz="0" w:space="0" w:color="auto"/>
        <w:bottom w:val="none" w:sz="0" w:space="0" w:color="auto"/>
        <w:right w:val="none" w:sz="0" w:space="0" w:color="auto"/>
      </w:divBdr>
    </w:div>
    <w:div w:id="890381501">
      <w:bodyDiv w:val="1"/>
      <w:marLeft w:val="0"/>
      <w:marRight w:val="0"/>
      <w:marTop w:val="0"/>
      <w:marBottom w:val="0"/>
      <w:divBdr>
        <w:top w:val="none" w:sz="0" w:space="0" w:color="auto"/>
        <w:left w:val="none" w:sz="0" w:space="0" w:color="auto"/>
        <w:bottom w:val="none" w:sz="0" w:space="0" w:color="auto"/>
        <w:right w:val="none" w:sz="0" w:space="0" w:color="auto"/>
      </w:divBdr>
    </w:div>
    <w:div w:id="907031075">
      <w:bodyDiv w:val="1"/>
      <w:marLeft w:val="0"/>
      <w:marRight w:val="0"/>
      <w:marTop w:val="0"/>
      <w:marBottom w:val="0"/>
      <w:divBdr>
        <w:top w:val="none" w:sz="0" w:space="0" w:color="auto"/>
        <w:left w:val="none" w:sz="0" w:space="0" w:color="auto"/>
        <w:bottom w:val="none" w:sz="0" w:space="0" w:color="auto"/>
        <w:right w:val="none" w:sz="0" w:space="0" w:color="auto"/>
      </w:divBdr>
    </w:div>
    <w:div w:id="946934594">
      <w:bodyDiv w:val="1"/>
      <w:marLeft w:val="0"/>
      <w:marRight w:val="0"/>
      <w:marTop w:val="0"/>
      <w:marBottom w:val="0"/>
      <w:divBdr>
        <w:top w:val="none" w:sz="0" w:space="0" w:color="auto"/>
        <w:left w:val="none" w:sz="0" w:space="0" w:color="auto"/>
        <w:bottom w:val="none" w:sz="0" w:space="0" w:color="auto"/>
        <w:right w:val="none" w:sz="0" w:space="0" w:color="auto"/>
      </w:divBdr>
    </w:div>
    <w:div w:id="948008437">
      <w:bodyDiv w:val="1"/>
      <w:marLeft w:val="0"/>
      <w:marRight w:val="0"/>
      <w:marTop w:val="0"/>
      <w:marBottom w:val="0"/>
      <w:divBdr>
        <w:top w:val="none" w:sz="0" w:space="0" w:color="auto"/>
        <w:left w:val="none" w:sz="0" w:space="0" w:color="auto"/>
        <w:bottom w:val="none" w:sz="0" w:space="0" w:color="auto"/>
        <w:right w:val="none" w:sz="0" w:space="0" w:color="auto"/>
      </w:divBdr>
    </w:div>
    <w:div w:id="953365041">
      <w:bodyDiv w:val="1"/>
      <w:marLeft w:val="0"/>
      <w:marRight w:val="0"/>
      <w:marTop w:val="0"/>
      <w:marBottom w:val="0"/>
      <w:divBdr>
        <w:top w:val="none" w:sz="0" w:space="0" w:color="auto"/>
        <w:left w:val="none" w:sz="0" w:space="0" w:color="auto"/>
        <w:bottom w:val="none" w:sz="0" w:space="0" w:color="auto"/>
        <w:right w:val="none" w:sz="0" w:space="0" w:color="auto"/>
      </w:divBdr>
    </w:div>
    <w:div w:id="953747755">
      <w:bodyDiv w:val="1"/>
      <w:marLeft w:val="0"/>
      <w:marRight w:val="0"/>
      <w:marTop w:val="0"/>
      <w:marBottom w:val="0"/>
      <w:divBdr>
        <w:top w:val="none" w:sz="0" w:space="0" w:color="auto"/>
        <w:left w:val="none" w:sz="0" w:space="0" w:color="auto"/>
        <w:bottom w:val="none" w:sz="0" w:space="0" w:color="auto"/>
        <w:right w:val="none" w:sz="0" w:space="0" w:color="auto"/>
      </w:divBdr>
      <w:divsChild>
        <w:div w:id="1771193759">
          <w:marLeft w:val="446"/>
          <w:marRight w:val="0"/>
          <w:marTop w:val="0"/>
          <w:marBottom w:val="0"/>
          <w:divBdr>
            <w:top w:val="none" w:sz="0" w:space="0" w:color="auto"/>
            <w:left w:val="none" w:sz="0" w:space="0" w:color="auto"/>
            <w:bottom w:val="none" w:sz="0" w:space="0" w:color="auto"/>
            <w:right w:val="none" w:sz="0" w:space="0" w:color="auto"/>
          </w:divBdr>
        </w:div>
        <w:div w:id="2104258126">
          <w:marLeft w:val="446"/>
          <w:marRight w:val="0"/>
          <w:marTop w:val="0"/>
          <w:marBottom w:val="0"/>
          <w:divBdr>
            <w:top w:val="none" w:sz="0" w:space="0" w:color="auto"/>
            <w:left w:val="none" w:sz="0" w:space="0" w:color="auto"/>
            <w:bottom w:val="none" w:sz="0" w:space="0" w:color="auto"/>
            <w:right w:val="none" w:sz="0" w:space="0" w:color="auto"/>
          </w:divBdr>
        </w:div>
        <w:div w:id="16664846">
          <w:marLeft w:val="446"/>
          <w:marRight w:val="0"/>
          <w:marTop w:val="0"/>
          <w:marBottom w:val="0"/>
          <w:divBdr>
            <w:top w:val="none" w:sz="0" w:space="0" w:color="auto"/>
            <w:left w:val="none" w:sz="0" w:space="0" w:color="auto"/>
            <w:bottom w:val="none" w:sz="0" w:space="0" w:color="auto"/>
            <w:right w:val="none" w:sz="0" w:space="0" w:color="auto"/>
          </w:divBdr>
        </w:div>
      </w:divsChild>
    </w:div>
    <w:div w:id="958685294">
      <w:bodyDiv w:val="1"/>
      <w:marLeft w:val="0"/>
      <w:marRight w:val="0"/>
      <w:marTop w:val="0"/>
      <w:marBottom w:val="0"/>
      <w:divBdr>
        <w:top w:val="none" w:sz="0" w:space="0" w:color="auto"/>
        <w:left w:val="none" w:sz="0" w:space="0" w:color="auto"/>
        <w:bottom w:val="none" w:sz="0" w:space="0" w:color="auto"/>
        <w:right w:val="none" w:sz="0" w:space="0" w:color="auto"/>
      </w:divBdr>
    </w:div>
    <w:div w:id="974674123">
      <w:bodyDiv w:val="1"/>
      <w:marLeft w:val="0"/>
      <w:marRight w:val="0"/>
      <w:marTop w:val="0"/>
      <w:marBottom w:val="0"/>
      <w:divBdr>
        <w:top w:val="none" w:sz="0" w:space="0" w:color="auto"/>
        <w:left w:val="none" w:sz="0" w:space="0" w:color="auto"/>
        <w:bottom w:val="none" w:sz="0" w:space="0" w:color="auto"/>
        <w:right w:val="none" w:sz="0" w:space="0" w:color="auto"/>
      </w:divBdr>
    </w:div>
    <w:div w:id="986973795">
      <w:bodyDiv w:val="1"/>
      <w:marLeft w:val="0"/>
      <w:marRight w:val="0"/>
      <w:marTop w:val="0"/>
      <w:marBottom w:val="0"/>
      <w:divBdr>
        <w:top w:val="none" w:sz="0" w:space="0" w:color="auto"/>
        <w:left w:val="none" w:sz="0" w:space="0" w:color="auto"/>
        <w:bottom w:val="none" w:sz="0" w:space="0" w:color="auto"/>
        <w:right w:val="none" w:sz="0" w:space="0" w:color="auto"/>
      </w:divBdr>
    </w:div>
    <w:div w:id="996148523">
      <w:bodyDiv w:val="1"/>
      <w:marLeft w:val="0"/>
      <w:marRight w:val="0"/>
      <w:marTop w:val="0"/>
      <w:marBottom w:val="0"/>
      <w:divBdr>
        <w:top w:val="none" w:sz="0" w:space="0" w:color="auto"/>
        <w:left w:val="none" w:sz="0" w:space="0" w:color="auto"/>
        <w:bottom w:val="none" w:sz="0" w:space="0" w:color="auto"/>
        <w:right w:val="none" w:sz="0" w:space="0" w:color="auto"/>
      </w:divBdr>
    </w:div>
    <w:div w:id="1009330354">
      <w:bodyDiv w:val="1"/>
      <w:marLeft w:val="0"/>
      <w:marRight w:val="0"/>
      <w:marTop w:val="0"/>
      <w:marBottom w:val="0"/>
      <w:divBdr>
        <w:top w:val="none" w:sz="0" w:space="0" w:color="auto"/>
        <w:left w:val="none" w:sz="0" w:space="0" w:color="auto"/>
        <w:bottom w:val="none" w:sz="0" w:space="0" w:color="auto"/>
        <w:right w:val="none" w:sz="0" w:space="0" w:color="auto"/>
      </w:divBdr>
    </w:div>
    <w:div w:id="1022165892">
      <w:bodyDiv w:val="1"/>
      <w:marLeft w:val="0"/>
      <w:marRight w:val="0"/>
      <w:marTop w:val="0"/>
      <w:marBottom w:val="0"/>
      <w:divBdr>
        <w:top w:val="none" w:sz="0" w:space="0" w:color="auto"/>
        <w:left w:val="none" w:sz="0" w:space="0" w:color="auto"/>
        <w:bottom w:val="none" w:sz="0" w:space="0" w:color="auto"/>
        <w:right w:val="none" w:sz="0" w:space="0" w:color="auto"/>
      </w:divBdr>
    </w:div>
    <w:div w:id="1023287361">
      <w:bodyDiv w:val="1"/>
      <w:marLeft w:val="0"/>
      <w:marRight w:val="0"/>
      <w:marTop w:val="0"/>
      <w:marBottom w:val="0"/>
      <w:divBdr>
        <w:top w:val="none" w:sz="0" w:space="0" w:color="auto"/>
        <w:left w:val="none" w:sz="0" w:space="0" w:color="auto"/>
        <w:bottom w:val="none" w:sz="0" w:space="0" w:color="auto"/>
        <w:right w:val="none" w:sz="0" w:space="0" w:color="auto"/>
      </w:divBdr>
      <w:divsChild>
        <w:div w:id="1166822739">
          <w:marLeft w:val="446"/>
          <w:marRight w:val="0"/>
          <w:marTop w:val="0"/>
          <w:marBottom w:val="120"/>
          <w:divBdr>
            <w:top w:val="none" w:sz="0" w:space="0" w:color="auto"/>
            <w:left w:val="none" w:sz="0" w:space="0" w:color="auto"/>
            <w:bottom w:val="none" w:sz="0" w:space="0" w:color="auto"/>
            <w:right w:val="none" w:sz="0" w:space="0" w:color="auto"/>
          </w:divBdr>
        </w:div>
        <w:div w:id="1107652208">
          <w:marLeft w:val="446"/>
          <w:marRight w:val="0"/>
          <w:marTop w:val="0"/>
          <w:marBottom w:val="120"/>
          <w:divBdr>
            <w:top w:val="none" w:sz="0" w:space="0" w:color="auto"/>
            <w:left w:val="none" w:sz="0" w:space="0" w:color="auto"/>
            <w:bottom w:val="none" w:sz="0" w:space="0" w:color="auto"/>
            <w:right w:val="none" w:sz="0" w:space="0" w:color="auto"/>
          </w:divBdr>
        </w:div>
        <w:div w:id="822356099">
          <w:marLeft w:val="446"/>
          <w:marRight w:val="0"/>
          <w:marTop w:val="0"/>
          <w:marBottom w:val="120"/>
          <w:divBdr>
            <w:top w:val="none" w:sz="0" w:space="0" w:color="auto"/>
            <w:left w:val="none" w:sz="0" w:space="0" w:color="auto"/>
            <w:bottom w:val="none" w:sz="0" w:space="0" w:color="auto"/>
            <w:right w:val="none" w:sz="0" w:space="0" w:color="auto"/>
          </w:divBdr>
        </w:div>
        <w:div w:id="1804888036">
          <w:marLeft w:val="446"/>
          <w:marRight w:val="0"/>
          <w:marTop w:val="0"/>
          <w:marBottom w:val="120"/>
          <w:divBdr>
            <w:top w:val="none" w:sz="0" w:space="0" w:color="auto"/>
            <w:left w:val="none" w:sz="0" w:space="0" w:color="auto"/>
            <w:bottom w:val="none" w:sz="0" w:space="0" w:color="auto"/>
            <w:right w:val="none" w:sz="0" w:space="0" w:color="auto"/>
          </w:divBdr>
        </w:div>
      </w:divsChild>
    </w:div>
    <w:div w:id="1030764151">
      <w:bodyDiv w:val="1"/>
      <w:marLeft w:val="0"/>
      <w:marRight w:val="0"/>
      <w:marTop w:val="0"/>
      <w:marBottom w:val="0"/>
      <w:divBdr>
        <w:top w:val="none" w:sz="0" w:space="0" w:color="auto"/>
        <w:left w:val="none" w:sz="0" w:space="0" w:color="auto"/>
        <w:bottom w:val="none" w:sz="0" w:space="0" w:color="auto"/>
        <w:right w:val="none" w:sz="0" w:space="0" w:color="auto"/>
      </w:divBdr>
    </w:div>
    <w:div w:id="1040322995">
      <w:bodyDiv w:val="1"/>
      <w:marLeft w:val="0"/>
      <w:marRight w:val="0"/>
      <w:marTop w:val="0"/>
      <w:marBottom w:val="0"/>
      <w:divBdr>
        <w:top w:val="none" w:sz="0" w:space="0" w:color="auto"/>
        <w:left w:val="none" w:sz="0" w:space="0" w:color="auto"/>
        <w:bottom w:val="none" w:sz="0" w:space="0" w:color="auto"/>
        <w:right w:val="none" w:sz="0" w:space="0" w:color="auto"/>
      </w:divBdr>
      <w:divsChild>
        <w:div w:id="1040864651">
          <w:marLeft w:val="446"/>
          <w:marRight w:val="0"/>
          <w:marTop w:val="0"/>
          <w:marBottom w:val="0"/>
          <w:divBdr>
            <w:top w:val="none" w:sz="0" w:space="0" w:color="auto"/>
            <w:left w:val="none" w:sz="0" w:space="0" w:color="auto"/>
            <w:bottom w:val="none" w:sz="0" w:space="0" w:color="auto"/>
            <w:right w:val="none" w:sz="0" w:space="0" w:color="auto"/>
          </w:divBdr>
        </w:div>
        <w:div w:id="1122191765">
          <w:marLeft w:val="1166"/>
          <w:marRight w:val="0"/>
          <w:marTop w:val="86"/>
          <w:marBottom w:val="0"/>
          <w:divBdr>
            <w:top w:val="none" w:sz="0" w:space="0" w:color="auto"/>
            <w:left w:val="none" w:sz="0" w:space="0" w:color="auto"/>
            <w:bottom w:val="none" w:sz="0" w:space="0" w:color="auto"/>
            <w:right w:val="none" w:sz="0" w:space="0" w:color="auto"/>
          </w:divBdr>
        </w:div>
        <w:div w:id="1283683711">
          <w:marLeft w:val="446"/>
          <w:marRight w:val="0"/>
          <w:marTop w:val="0"/>
          <w:marBottom w:val="0"/>
          <w:divBdr>
            <w:top w:val="none" w:sz="0" w:space="0" w:color="auto"/>
            <w:left w:val="none" w:sz="0" w:space="0" w:color="auto"/>
            <w:bottom w:val="none" w:sz="0" w:space="0" w:color="auto"/>
            <w:right w:val="none" w:sz="0" w:space="0" w:color="auto"/>
          </w:divBdr>
        </w:div>
        <w:div w:id="1165586455">
          <w:marLeft w:val="1166"/>
          <w:marRight w:val="0"/>
          <w:marTop w:val="86"/>
          <w:marBottom w:val="0"/>
          <w:divBdr>
            <w:top w:val="none" w:sz="0" w:space="0" w:color="auto"/>
            <w:left w:val="none" w:sz="0" w:space="0" w:color="auto"/>
            <w:bottom w:val="none" w:sz="0" w:space="0" w:color="auto"/>
            <w:right w:val="none" w:sz="0" w:space="0" w:color="auto"/>
          </w:divBdr>
        </w:div>
        <w:div w:id="1910533549">
          <w:marLeft w:val="1166"/>
          <w:marRight w:val="0"/>
          <w:marTop w:val="86"/>
          <w:marBottom w:val="0"/>
          <w:divBdr>
            <w:top w:val="none" w:sz="0" w:space="0" w:color="auto"/>
            <w:left w:val="none" w:sz="0" w:space="0" w:color="auto"/>
            <w:bottom w:val="none" w:sz="0" w:space="0" w:color="auto"/>
            <w:right w:val="none" w:sz="0" w:space="0" w:color="auto"/>
          </w:divBdr>
        </w:div>
        <w:div w:id="1410809766">
          <w:marLeft w:val="1166"/>
          <w:marRight w:val="0"/>
          <w:marTop w:val="86"/>
          <w:marBottom w:val="0"/>
          <w:divBdr>
            <w:top w:val="none" w:sz="0" w:space="0" w:color="auto"/>
            <w:left w:val="none" w:sz="0" w:space="0" w:color="auto"/>
            <w:bottom w:val="none" w:sz="0" w:space="0" w:color="auto"/>
            <w:right w:val="none" w:sz="0" w:space="0" w:color="auto"/>
          </w:divBdr>
        </w:div>
        <w:div w:id="988288880">
          <w:marLeft w:val="446"/>
          <w:marRight w:val="0"/>
          <w:marTop w:val="0"/>
          <w:marBottom w:val="0"/>
          <w:divBdr>
            <w:top w:val="none" w:sz="0" w:space="0" w:color="auto"/>
            <w:left w:val="none" w:sz="0" w:space="0" w:color="auto"/>
            <w:bottom w:val="none" w:sz="0" w:space="0" w:color="auto"/>
            <w:right w:val="none" w:sz="0" w:space="0" w:color="auto"/>
          </w:divBdr>
        </w:div>
      </w:divsChild>
    </w:div>
    <w:div w:id="1041245730">
      <w:bodyDiv w:val="1"/>
      <w:marLeft w:val="0"/>
      <w:marRight w:val="0"/>
      <w:marTop w:val="0"/>
      <w:marBottom w:val="0"/>
      <w:divBdr>
        <w:top w:val="none" w:sz="0" w:space="0" w:color="auto"/>
        <w:left w:val="none" w:sz="0" w:space="0" w:color="auto"/>
        <w:bottom w:val="none" w:sz="0" w:space="0" w:color="auto"/>
        <w:right w:val="none" w:sz="0" w:space="0" w:color="auto"/>
      </w:divBdr>
    </w:div>
    <w:div w:id="1042248989">
      <w:bodyDiv w:val="1"/>
      <w:marLeft w:val="0"/>
      <w:marRight w:val="0"/>
      <w:marTop w:val="0"/>
      <w:marBottom w:val="0"/>
      <w:divBdr>
        <w:top w:val="none" w:sz="0" w:space="0" w:color="auto"/>
        <w:left w:val="none" w:sz="0" w:space="0" w:color="auto"/>
        <w:bottom w:val="none" w:sz="0" w:space="0" w:color="auto"/>
        <w:right w:val="none" w:sz="0" w:space="0" w:color="auto"/>
      </w:divBdr>
    </w:div>
    <w:div w:id="1045831831">
      <w:bodyDiv w:val="1"/>
      <w:marLeft w:val="0"/>
      <w:marRight w:val="0"/>
      <w:marTop w:val="0"/>
      <w:marBottom w:val="0"/>
      <w:divBdr>
        <w:top w:val="none" w:sz="0" w:space="0" w:color="auto"/>
        <w:left w:val="none" w:sz="0" w:space="0" w:color="auto"/>
        <w:bottom w:val="none" w:sz="0" w:space="0" w:color="auto"/>
        <w:right w:val="none" w:sz="0" w:space="0" w:color="auto"/>
      </w:divBdr>
    </w:div>
    <w:div w:id="1046642493">
      <w:bodyDiv w:val="1"/>
      <w:marLeft w:val="0"/>
      <w:marRight w:val="0"/>
      <w:marTop w:val="0"/>
      <w:marBottom w:val="0"/>
      <w:divBdr>
        <w:top w:val="none" w:sz="0" w:space="0" w:color="auto"/>
        <w:left w:val="none" w:sz="0" w:space="0" w:color="auto"/>
        <w:bottom w:val="none" w:sz="0" w:space="0" w:color="auto"/>
        <w:right w:val="none" w:sz="0" w:space="0" w:color="auto"/>
      </w:divBdr>
    </w:div>
    <w:div w:id="1047921806">
      <w:bodyDiv w:val="1"/>
      <w:marLeft w:val="0"/>
      <w:marRight w:val="0"/>
      <w:marTop w:val="0"/>
      <w:marBottom w:val="0"/>
      <w:divBdr>
        <w:top w:val="none" w:sz="0" w:space="0" w:color="auto"/>
        <w:left w:val="none" w:sz="0" w:space="0" w:color="auto"/>
        <w:bottom w:val="none" w:sz="0" w:space="0" w:color="auto"/>
        <w:right w:val="none" w:sz="0" w:space="0" w:color="auto"/>
      </w:divBdr>
    </w:div>
    <w:div w:id="1052579791">
      <w:bodyDiv w:val="1"/>
      <w:marLeft w:val="0"/>
      <w:marRight w:val="0"/>
      <w:marTop w:val="0"/>
      <w:marBottom w:val="0"/>
      <w:divBdr>
        <w:top w:val="none" w:sz="0" w:space="0" w:color="auto"/>
        <w:left w:val="none" w:sz="0" w:space="0" w:color="auto"/>
        <w:bottom w:val="none" w:sz="0" w:space="0" w:color="auto"/>
        <w:right w:val="none" w:sz="0" w:space="0" w:color="auto"/>
      </w:divBdr>
    </w:div>
    <w:div w:id="1053578750">
      <w:bodyDiv w:val="1"/>
      <w:marLeft w:val="0"/>
      <w:marRight w:val="0"/>
      <w:marTop w:val="0"/>
      <w:marBottom w:val="0"/>
      <w:divBdr>
        <w:top w:val="none" w:sz="0" w:space="0" w:color="auto"/>
        <w:left w:val="none" w:sz="0" w:space="0" w:color="auto"/>
        <w:bottom w:val="none" w:sz="0" w:space="0" w:color="auto"/>
        <w:right w:val="none" w:sz="0" w:space="0" w:color="auto"/>
      </w:divBdr>
    </w:div>
    <w:div w:id="1056782323">
      <w:bodyDiv w:val="1"/>
      <w:marLeft w:val="0"/>
      <w:marRight w:val="0"/>
      <w:marTop w:val="0"/>
      <w:marBottom w:val="0"/>
      <w:divBdr>
        <w:top w:val="none" w:sz="0" w:space="0" w:color="auto"/>
        <w:left w:val="none" w:sz="0" w:space="0" w:color="auto"/>
        <w:bottom w:val="none" w:sz="0" w:space="0" w:color="auto"/>
        <w:right w:val="none" w:sz="0" w:space="0" w:color="auto"/>
      </w:divBdr>
    </w:div>
    <w:div w:id="1056900181">
      <w:bodyDiv w:val="1"/>
      <w:marLeft w:val="0"/>
      <w:marRight w:val="0"/>
      <w:marTop w:val="0"/>
      <w:marBottom w:val="0"/>
      <w:divBdr>
        <w:top w:val="none" w:sz="0" w:space="0" w:color="auto"/>
        <w:left w:val="none" w:sz="0" w:space="0" w:color="auto"/>
        <w:bottom w:val="none" w:sz="0" w:space="0" w:color="auto"/>
        <w:right w:val="none" w:sz="0" w:space="0" w:color="auto"/>
      </w:divBdr>
      <w:divsChild>
        <w:div w:id="1677267822">
          <w:marLeft w:val="446"/>
          <w:marRight w:val="0"/>
          <w:marTop w:val="0"/>
          <w:marBottom w:val="0"/>
          <w:divBdr>
            <w:top w:val="none" w:sz="0" w:space="0" w:color="auto"/>
            <w:left w:val="none" w:sz="0" w:space="0" w:color="auto"/>
            <w:bottom w:val="none" w:sz="0" w:space="0" w:color="auto"/>
            <w:right w:val="none" w:sz="0" w:space="0" w:color="auto"/>
          </w:divBdr>
        </w:div>
        <w:div w:id="944927632">
          <w:marLeft w:val="446"/>
          <w:marRight w:val="0"/>
          <w:marTop w:val="0"/>
          <w:marBottom w:val="0"/>
          <w:divBdr>
            <w:top w:val="none" w:sz="0" w:space="0" w:color="auto"/>
            <w:left w:val="none" w:sz="0" w:space="0" w:color="auto"/>
            <w:bottom w:val="none" w:sz="0" w:space="0" w:color="auto"/>
            <w:right w:val="none" w:sz="0" w:space="0" w:color="auto"/>
          </w:divBdr>
        </w:div>
        <w:div w:id="7414347">
          <w:marLeft w:val="446"/>
          <w:marRight w:val="0"/>
          <w:marTop w:val="0"/>
          <w:marBottom w:val="0"/>
          <w:divBdr>
            <w:top w:val="none" w:sz="0" w:space="0" w:color="auto"/>
            <w:left w:val="none" w:sz="0" w:space="0" w:color="auto"/>
            <w:bottom w:val="none" w:sz="0" w:space="0" w:color="auto"/>
            <w:right w:val="none" w:sz="0" w:space="0" w:color="auto"/>
          </w:divBdr>
        </w:div>
        <w:div w:id="1987009392">
          <w:marLeft w:val="446"/>
          <w:marRight w:val="0"/>
          <w:marTop w:val="0"/>
          <w:marBottom w:val="0"/>
          <w:divBdr>
            <w:top w:val="none" w:sz="0" w:space="0" w:color="auto"/>
            <w:left w:val="none" w:sz="0" w:space="0" w:color="auto"/>
            <w:bottom w:val="none" w:sz="0" w:space="0" w:color="auto"/>
            <w:right w:val="none" w:sz="0" w:space="0" w:color="auto"/>
          </w:divBdr>
        </w:div>
        <w:div w:id="612976425">
          <w:marLeft w:val="446"/>
          <w:marRight w:val="0"/>
          <w:marTop w:val="0"/>
          <w:marBottom w:val="0"/>
          <w:divBdr>
            <w:top w:val="none" w:sz="0" w:space="0" w:color="auto"/>
            <w:left w:val="none" w:sz="0" w:space="0" w:color="auto"/>
            <w:bottom w:val="none" w:sz="0" w:space="0" w:color="auto"/>
            <w:right w:val="none" w:sz="0" w:space="0" w:color="auto"/>
          </w:divBdr>
        </w:div>
        <w:div w:id="172573478">
          <w:marLeft w:val="446"/>
          <w:marRight w:val="0"/>
          <w:marTop w:val="0"/>
          <w:marBottom w:val="0"/>
          <w:divBdr>
            <w:top w:val="none" w:sz="0" w:space="0" w:color="auto"/>
            <w:left w:val="none" w:sz="0" w:space="0" w:color="auto"/>
            <w:bottom w:val="none" w:sz="0" w:space="0" w:color="auto"/>
            <w:right w:val="none" w:sz="0" w:space="0" w:color="auto"/>
          </w:divBdr>
        </w:div>
        <w:div w:id="254946439">
          <w:marLeft w:val="446"/>
          <w:marRight w:val="0"/>
          <w:marTop w:val="0"/>
          <w:marBottom w:val="0"/>
          <w:divBdr>
            <w:top w:val="none" w:sz="0" w:space="0" w:color="auto"/>
            <w:left w:val="none" w:sz="0" w:space="0" w:color="auto"/>
            <w:bottom w:val="none" w:sz="0" w:space="0" w:color="auto"/>
            <w:right w:val="none" w:sz="0" w:space="0" w:color="auto"/>
          </w:divBdr>
        </w:div>
      </w:divsChild>
    </w:div>
    <w:div w:id="1066882132">
      <w:bodyDiv w:val="1"/>
      <w:marLeft w:val="0"/>
      <w:marRight w:val="0"/>
      <w:marTop w:val="0"/>
      <w:marBottom w:val="0"/>
      <w:divBdr>
        <w:top w:val="none" w:sz="0" w:space="0" w:color="auto"/>
        <w:left w:val="none" w:sz="0" w:space="0" w:color="auto"/>
        <w:bottom w:val="none" w:sz="0" w:space="0" w:color="auto"/>
        <w:right w:val="none" w:sz="0" w:space="0" w:color="auto"/>
      </w:divBdr>
    </w:div>
    <w:div w:id="1070929564">
      <w:bodyDiv w:val="1"/>
      <w:marLeft w:val="0"/>
      <w:marRight w:val="0"/>
      <w:marTop w:val="0"/>
      <w:marBottom w:val="0"/>
      <w:divBdr>
        <w:top w:val="none" w:sz="0" w:space="0" w:color="auto"/>
        <w:left w:val="none" w:sz="0" w:space="0" w:color="auto"/>
        <w:bottom w:val="none" w:sz="0" w:space="0" w:color="auto"/>
        <w:right w:val="none" w:sz="0" w:space="0" w:color="auto"/>
      </w:divBdr>
    </w:div>
    <w:div w:id="1074012434">
      <w:bodyDiv w:val="1"/>
      <w:marLeft w:val="0"/>
      <w:marRight w:val="0"/>
      <w:marTop w:val="0"/>
      <w:marBottom w:val="0"/>
      <w:divBdr>
        <w:top w:val="none" w:sz="0" w:space="0" w:color="auto"/>
        <w:left w:val="none" w:sz="0" w:space="0" w:color="auto"/>
        <w:bottom w:val="none" w:sz="0" w:space="0" w:color="auto"/>
        <w:right w:val="none" w:sz="0" w:space="0" w:color="auto"/>
      </w:divBdr>
    </w:div>
    <w:div w:id="1081633704">
      <w:bodyDiv w:val="1"/>
      <w:marLeft w:val="0"/>
      <w:marRight w:val="0"/>
      <w:marTop w:val="0"/>
      <w:marBottom w:val="0"/>
      <w:divBdr>
        <w:top w:val="none" w:sz="0" w:space="0" w:color="auto"/>
        <w:left w:val="none" w:sz="0" w:space="0" w:color="auto"/>
        <w:bottom w:val="none" w:sz="0" w:space="0" w:color="auto"/>
        <w:right w:val="none" w:sz="0" w:space="0" w:color="auto"/>
      </w:divBdr>
    </w:div>
    <w:div w:id="1102578373">
      <w:bodyDiv w:val="1"/>
      <w:marLeft w:val="0"/>
      <w:marRight w:val="0"/>
      <w:marTop w:val="0"/>
      <w:marBottom w:val="0"/>
      <w:divBdr>
        <w:top w:val="none" w:sz="0" w:space="0" w:color="auto"/>
        <w:left w:val="none" w:sz="0" w:space="0" w:color="auto"/>
        <w:bottom w:val="none" w:sz="0" w:space="0" w:color="auto"/>
        <w:right w:val="none" w:sz="0" w:space="0" w:color="auto"/>
      </w:divBdr>
    </w:div>
    <w:div w:id="1106192979">
      <w:bodyDiv w:val="1"/>
      <w:marLeft w:val="0"/>
      <w:marRight w:val="0"/>
      <w:marTop w:val="0"/>
      <w:marBottom w:val="0"/>
      <w:divBdr>
        <w:top w:val="none" w:sz="0" w:space="0" w:color="auto"/>
        <w:left w:val="none" w:sz="0" w:space="0" w:color="auto"/>
        <w:bottom w:val="none" w:sz="0" w:space="0" w:color="auto"/>
        <w:right w:val="none" w:sz="0" w:space="0" w:color="auto"/>
      </w:divBdr>
    </w:div>
    <w:div w:id="1114909140">
      <w:bodyDiv w:val="1"/>
      <w:marLeft w:val="0"/>
      <w:marRight w:val="0"/>
      <w:marTop w:val="0"/>
      <w:marBottom w:val="0"/>
      <w:divBdr>
        <w:top w:val="none" w:sz="0" w:space="0" w:color="auto"/>
        <w:left w:val="none" w:sz="0" w:space="0" w:color="auto"/>
        <w:bottom w:val="none" w:sz="0" w:space="0" w:color="auto"/>
        <w:right w:val="none" w:sz="0" w:space="0" w:color="auto"/>
      </w:divBdr>
    </w:div>
    <w:div w:id="1115831271">
      <w:bodyDiv w:val="1"/>
      <w:marLeft w:val="0"/>
      <w:marRight w:val="0"/>
      <w:marTop w:val="0"/>
      <w:marBottom w:val="0"/>
      <w:divBdr>
        <w:top w:val="none" w:sz="0" w:space="0" w:color="auto"/>
        <w:left w:val="none" w:sz="0" w:space="0" w:color="auto"/>
        <w:bottom w:val="none" w:sz="0" w:space="0" w:color="auto"/>
        <w:right w:val="none" w:sz="0" w:space="0" w:color="auto"/>
      </w:divBdr>
    </w:div>
    <w:div w:id="1126241627">
      <w:bodyDiv w:val="1"/>
      <w:marLeft w:val="0"/>
      <w:marRight w:val="0"/>
      <w:marTop w:val="0"/>
      <w:marBottom w:val="0"/>
      <w:divBdr>
        <w:top w:val="none" w:sz="0" w:space="0" w:color="auto"/>
        <w:left w:val="none" w:sz="0" w:space="0" w:color="auto"/>
        <w:bottom w:val="none" w:sz="0" w:space="0" w:color="auto"/>
        <w:right w:val="none" w:sz="0" w:space="0" w:color="auto"/>
      </w:divBdr>
    </w:div>
    <w:div w:id="1136096745">
      <w:bodyDiv w:val="1"/>
      <w:marLeft w:val="0"/>
      <w:marRight w:val="0"/>
      <w:marTop w:val="0"/>
      <w:marBottom w:val="0"/>
      <w:divBdr>
        <w:top w:val="none" w:sz="0" w:space="0" w:color="auto"/>
        <w:left w:val="none" w:sz="0" w:space="0" w:color="auto"/>
        <w:bottom w:val="none" w:sz="0" w:space="0" w:color="auto"/>
        <w:right w:val="none" w:sz="0" w:space="0" w:color="auto"/>
      </w:divBdr>
    </w:div>
    <w:div w:id="1153134405">
      <w:bodyDiv w:val="1"/>
      <w:marLeft w:val="0"/>
      <w:marRight w:val="0"/>
      <w:marTop w:val="0"/>
      <w:marBottom w:val="0"/>
      <w:divBdr>
        <w:top w:val="none" w:sz="0" w:space="0" w:color="auto"/>
        <w:left w:val="none" w:sz="0" w:space="0" w:color="auto"/>
        <w:bottom w:val="none" w:sz="0" w:space="0" w:color="auto"/>
        <w:right w:val="none" w:sz="0" w:space="0" w:color="auto"/>
      </w:divBdr>
      <w:divsChild>
        <w:div w:id="352190884">
          <w:marLeft w:val="547"/>
          <w:marRight w:val="0"/>
          <w:marTop w:val="120"/>
          <w:marBottom w:val="0"/>
          <w:divBdr>
            <w:top w:val="none" w:sz="0" w:space="0" w:color="auto"/>
            <w:left w:val="none" w:sz="0" w:space="0" w:color="auto"/>
            <w:bottom w:val="none" w:sz="0" w:space="0" w:color="auto"/>
            <w:right w:val="none" w:sz="0" w:space="0" w:color="auto"/>
          </w:divBdr>
        </w:div>
        <w:div w:id="130559331">
          <w:marLeft w:val="547"/>
          <w:marRight w:val="0"/>
          <w:marTop w:val="120"/>
          <w:marBottom w:val="0"/>
          <w:divBdr>
            <w:top w:val="none" w:sz="0" w:space="0" w:color="auto"/>
            <w:left w:val="none" w:sz="0" w:space="0" w:color="auto"/>
            <w:bottom w:val="none" w:sz="0" w:space="0" w:color="auto"/>
            <w:right w:val="none" w:sz="0" w:space="0" w:color="auto"/>
          </w:divBdr>
        </w:div>
      </w:divsChild>
    </w:div>
    <w:div w:id="1158813250">
      <w:bodyDiv w:val="1"/>
      <w:marLeft w:val="0"/>
      <w:marRight w:val="0"/>
      <w:marTop w:val="0"/>
      <w:marBottom w:val="0"/>
      <w:divBdr>
        <w:top w:val="none" w:sz="0" w:space="0" w:color="auto"/>
        <w:left w:val="none" w:sz="0" w:space="0" w:color="auto"/>
        <w:bottom w:val="none" w:sz="0" w:space="0" w:color="auto"/>
        <w:right w:val="none" w:sz="0" w:space="0" w:color="auto"/>
      </w:divBdr>
    </w:div>
    <w:div w:id="1168058628">
      <w:bodyDiv w:val="1"/>
      <w:marLeft w:val="0"/>
      <w:marRight w:val="0"/>
      <w:marTop w:val="0"/>
      <w:marBottom w:val="0"/>
      <w:divBdr>
        <w:top w:val="none" w:sz="0" w:space="0" w:color="auto"/>
        <w:left w:val="none" w:sz="0" w:space="0" w:color="auto"/>
        <w:bottom w:val="none" w:sz="0" w:space="0" w:color="auto"/>
        <w:right w:val="none" w:sz="0" w:space="0" w:color="auto"/>
      </w:divBdr>
    </w:div>
    <w:div w:id="1172917406">
      <w:bodyDiv w:val="1"/>
      <w:marLeft w:val="0"/>
      <w:marRight w:val="0"/>
      <w:marTop w:val="0"/>
      <w:marBottom w:val="0"/>
      <w:divBdr>
        <w:top w:val="none" w:sz="0" w:space="0" w:color="auto"/>
        <w:left w:val="none" w:sz="0" w:space="0" w:color="auto"/>
        <w:bottom w:val="none" w:sz="0" w:space="0" w:color="auto"/>
        <w:right w:val="none" w:sz="0" w:space="0" w:color="auto"/>
      </w:divBdr>
    </w:div>
    <w:div w:id="1174958897">
      <w:bodyDiv w:val="1"/>
      <w:marLeft w:val="0"/>
      <w:marRight w:val="0"/>
      <w:marTop w:val="0"/>
      <w:marBottom w:val="0"/>
      <w:divBdr>
        <w:top w:val="none" w:sz="0" w:space="0" w:color="auto"/>
        <w:left w:val="none" w:sz="0" w:space="0" w:color="auto"/>
        <w:bottom w:val="none" w:sz="0" w:space="0" w:color="auto"/>
        <w:right w:val="none" w:sz="0" w:space="0" w:color="auto"/>
      </w:divBdr>
    </w:div>
    <w:div w:id="1180974203">
      <w:bodyDiv w:val="1"/>
      <w:marLeft w:val="0"/>
      <w:marRight w:val="0"/>
      <w:marTop w:val="0"/>
      <w:marBottom w:val="0"/>
      <w:divBdr>
        <w:top w:val="none" w:sz="0" w:space="0" w:color="auto"/>
        <w:left w:val="none" w:sz="0" w:space="0" w:color="auto"/>
        <w:bottom w:val="none" w:sz="0" w:space="0" w:color="auto"/>
        <w:right w:val="none" w:sz="0" w:space="0" w:color="auto"/>
      </w:divBdr>
    </w:div>
    <w:div w:id="1184513569">
      <w:bodyDiv w:val="1"/>
      <w:marLeft w:val="0"/>
      <w:marRight w:val="0"/>
      <w:marTop w:val="0"/>
      <w:marBottom w:val="0"/>
      <w:divBdr>
        <w:top w:val="none" w:sz="0" w:space="0" w:color="auto"/>
        <w:left w:val="none" w:sz="0" w:space="0" w:color="auto"/>
        <w:bottom w:val="none" w:sz="0" w:space="0" w:color="auto"/>
        <w:right w:val="none" w:sz="0" w:space="0" w:color="auto"/>
      </w:divBdr>
      <w:divsChild>
        <w:div w:id="539243750">
          <w:marLeft w:val="446"/>
          <w:marRight w:val="0"/>
          <w:marTop w:val="0"/>
          <w:marBottom w:val="0"/>
          <w:divBdr>
            <w:top w:val="none" w:sz="0" w:space="0" w:color="auto"/>
            <w:left w:val="none" w:sz="0" w:space="0" w:color="auto"/>
            <w:bottom w:val="none" w:sz="0" w:space="0" w:color="auto"/>
            <w:right w:val="none" w:sz="0" w:space="0" w:color="auto"/>
          </w:divBdr>
        </w:div>
        <w:div w:id="809329000">
          <w:marLeft w:val="446"/>
          <w:marRight w:val="0"/>
          <w:marTop w:val="0"/>
          <w:marBottom w:val="0"/>
          <w:divBdr>
            <w:top w:val="none" w:sz="0" w:space="0" w:color="auto"/>
            <w:left w:val="none" w:sz="0" w:space="0" w:color="auto"/>
            <w:bottom w:val="none" w:sz="0" w:space="0" w:color="auto"/>
            <w:right w:val="none" w:sz="0" w:space="0" w:color="auto"/>
          </w:divBdr>
        </w:div>
        <w:div w:id="233127505">
          <w:marLeft w:val="446"/>
          <w:marRight w:val="0"/>
          <w:marTop w:val="0"/>
          <w:marBottom w:val="0"/>
          <w:divBdr>
            <w:top w:val="none" w:sz="0" w:space="0" w:color="auto"/>
            <w:left w:val="none" w:sz="0" w:space="0" w:color="auto"/>
            <w:bottom w:val="none" w:sz="0" w:space="0" w:color="auto"/>
            <w:right w:val="none" w:sz="0" w:space="0" w:color="auto"/>
          </w:divBdr>
        </w:div>
        <w:div w:id="2011056635">
          <w:marLeft w:val="446"/>
          <w:marRight w:val="0"/>
          <w:marTop w:val="0"/>
          <w:marBottom w:val="0"/>
          <w:divBdr>
            <w:top w:val="none" w:sz="0" w:space="0" w:color="auto"/>
            <w:left w:val="none" w:sz="0" w:space="0" w:color="auto"/>
            <w:bottom w:val="none" w:sz="0" w:space="0" w:color="auto"/>
            <w:right w:val="none" w:sz="0" w:space="0" w:color="auto"/>
          </w:divBdr>
        </w:div>
        <w:div w:id="1915699593">
          <w:marLeft w:val="446"/>
          <w:marRight w:val="0"/>
          <w:marTop w:val="0"/>
          <w:marBottom w:val="0"/>
          <w:divBdr>
            <w:top w:val="none" w:sz="0" w:space="0" w:color="auto"/>
            <w:left w:val="none" w:sz="0" w:space="0" w:color="auto"/>
            <w:bottom w:val="none" w:sz="0" w:space="0" w:color="auto"/>
            <w:right w:val="none" w:sz="0" w:space="0" w:color="auto"/>
          </w:divBdr>
        </w:div>
        <w:div w:id="178471950">
          <w:marLeft w:val="446"/>
          <w:marRight w:val="0"/>
          <w:marTop w:val="0"/>
          <w:marBottom w:val="0"/>
          <w:divBdr>
            <w:top w:val="none" w:sz="0" w:space="0" w:color="auto"/>
            <w:left w:val="none" w:sz="0" w:space="0" w:color="auto"/>
            <w:bottom w:val="none" w:sz="0" w:space="0" w:color="auto"/>
            <w:right w:val="none" w:sz="0" w:space="0" w:color="auto"/>
          </w:divBdr>
        </w:div>
        <w:div w:id="1221136306">
          <w:marLeft w:val="446"/>
          <w:marRight w:val="0"/>
          <w:marTop w:val="0"/>
          <w:marBottom w:val="0"/>
          <w:divBdr>
            <w:top w:val="none" w:sz="0" w:space="0" w:color="auto"/>
            <w:left w:val="none" w:sz="0" w:space="0" w:color="auto"/>
            <w:bottom w:val="none" w:sz="0" w:space="0" w:color="auto"/>
            <w:right w:val="none" w:sz="0" w:space="0" w:color="auto"/>
          </w:divBdr>
        </w:div>
        <w:div w:id="813523009">
          <w:marLeft w:val="446"/>
          <w:marRight w:val="0"/>
          <w:marTop w:val="0"/>
          <w:marBottom w:val="0"/>
          <w:divBdr>
            <w:top w:val="none" w:sz="0" w:space="0" w:color="auto"/>
            <w:left w:val="none" w:sz="0" w:space="0" w:color="auto"/>
            <w:bottom w:val="none" w:sz="0" w:space="0" w:color="auto"/>
            <w:right w:val="none" w:sz="0" w:space="0" w:color="auto"/>
          </w:divBdr>
        </w:div>
      </w:divsChild>
    </w:div>
    <w:div w:id="1193031205">
      <w:bodyDiv w:val="1"/>
      <w:marLeft w:val="0"/>
      <w:marRight w:val="0"/>
      <w:marTop w:val="0"/>
      <w:marBottom w:val="0"/>
      <w:divBdr>
        <w:top w:val="none" w:sz="0" w:space="0" w:color="auto"/>
        <w:left w:val="none" w:sz="0" w:space="0" w:color="auto"/>
        <w:bottom w:val="none" w:sz="0" w:space="0" w:color="auto"/>
        <w:right w:val="none" w:sz="0" w:space="0" w:color="auto"/>
      </w:divBdr>
    </w:div>
    <w:div w:id="1194346748">
      <w:bodyDiv w:val="1"/>
      <w:marLeft w:val="0"/>
      <w:marRight w:val="0"/>
      <w:marTop w:val="0"/>
      <w:marBottom w:val="0"/>
      <w:divBdr>
        <w:top w:val="none" w:sz="0" w:space="0" w:color="auto"/>
        <w:left w:val="none" w:sz="0" w:space="0" w:color="auto"/>
        <w:bottom w:val="none" w:sz="0" w:space="0" w:color="auto"/>
        <w:right w:val="none" w:sz="0" w:space="0" w:color="auto"/>
      </w:divBdr>
    </w:div>
    <w:div w:id="1198079483">
      <w:bodyDiv w:val="1"/>
      <w:marLeft w:val="0"/>
      <w:marRight w:val="0"/>
      <w:marTop w:val="0"/>
      <w:marBottom w:val="0"/>
      <w:divBdr>
        <w:top w:val="none" w:sz="0" w:space="0" w:color="auto"/>
        <w:left w:val="none" w:sz="0" w:space="0" w:color="auto"/>
        <w:bottom w:val="none" w:sz="0" w:space="0" w:color="auto"/>
        <w:right w:val="none" w:sz="0" w:space="0" w:color="auto"/>
      </w:divBdr>
    </w:div>
    <w:div w:id="1206870377">
      <w:bodyDiv w:val="1"/>
      <w:marLeft w:val="0"/>
      <w:marRight w:val="0"/>
      <w:marTop w:val="0"/>
      <w:marBottom w:val="0"/>
      <w:divBdr>
        <w:top w:val="none" w:sz="0" w:space="0" w:color="auto"/>
        <w:left w:val="none" w:sz="0" w:space="0" w:color="auto"/>
        <w:bottom w:val="none" w:sz="0" w:space="0" w:color="auto"/>
        <w:right w:val="none" w:sz="0" w:space="0" w:color="auto"/>
      </w:divBdr>
    </w:div>
    <w:div w:id="1221402699">
      <w:bodyDiv w:val="1"/>
      <w:marLeft w:val="0"/>
      <w:marRight w:val="0"/>
      <w:marTop w:val="0"/>
      <w:marBottom w:val="0"/>
      <w:divBdr>
        <w:top w:val="none" w:sz="0" w:space="0" w:color="auto"/>
        <w:left w:val="none" w:sz="0" w:space="0" w:color="auto"/>
        <w:bottom w:val="none" w:sz="0" w:space="0" w:color="auto"/>
        <w:right w:val="none" w:sz="0" w:space="0" w:color="auto"/>
      </w:divBdr>
    </w:div>
    <w:div w:id="1224179336">
      <w:bodyDiv w:val="1"/>
      <w:marLeft w:val="0"/>
      <w:marRight w:val="0"/>
      <w:marTop w:val="0"/>
      <w:marBottom w:val="0"/>
      <w:divBdr>
        <w:top w:val="none" w:sz="0" w:space="0" w:color="auto"/>
        <w:left w:val="none" w:sz="0" w:space="0" w:color="auto"/>
        <w:bottom w:val="none" w:sz="0" w:space="0" w:color="auto"/>
        <w:right w:val="none" w:sz="0" w:space="0" w:color="auto"/>
      </w:divBdr>
    </w:div>
    <w:div w:id="1229463598">
      <w:bodyDiv w:val="1"/>
      <w:marLeft w:val="0"/>
      <w:marRight w:val="0"/>
      <w:marTop w:val="0"/>
      <w:marBottom w:val="0"/>
      <w:divBdr>
        <w:top w:val="none" w:sz="0" w:space="0" w:color="auto"/>
        <w:left w:val="none" w:sz="0" w:space="0" w:color="auto"/>
        <w:bottom w:val="none" w:sz="0" w:space="0" w:color="auto"/>
        <w:right w:val="none" w:sz="0" w:space="0" w:color="auto"/>
      </w:divBdr>
    </w:div>
    <w:div w:id="1235044009">
      <w:bodyDiv w:val="1"/>
      <w:marLeft w:val="0"/>
      <w:marRight w:val="0"/>
      <w:marTop w:val="0"/>
      <w:marBottom w:val="0"/>
      <w:divBdr>
        <w:top w:val="none" w:sz="0" w:space="0" w:color="auto"/>
        <w:left w:val="none" w:sz="0" w:space="0" w:color="auto"/>
        <w:bottom w:val="none" w:sz="0" w:space="0" w:color="auto"/>
        <w:right w:val="none" w:sz="0" w:space="0" w:color="auto"/>
      </w:divBdr>
    </w:div>
    <w:div w:id="1238176592">
      <w:bodyDiv w:val="1"/>
      <w:marLeft w:val="0"/>
      <w:marRight w:val="0"/>
      <w:marTop w:val="0"/>
      <w:marBottom w:val="0"/>
      <w:divBdr>
        <w:top w:val="none" w:sz="0" w:space="0" w:color="auto"/>
        <w:left w:val="none" w:sz="0" w:space="0" w:color="auto"/>
        <w:bottom w:val="none" w:sz="0" w:space="0" w:color="auto"/>
        <w:right w:val="none" w:sz="0" w:space="0" w:color="auto"/>
      </w:divBdr>
    </w:div>
    <w:div w:id="1239368232">
      <w:bodyDiv w:val="1"/>
      <w:marLeft w:val="0"/>
      <w:marRight w:val="0"/>
      <w:marTop w:val="0"/>
      <w:marBottom w:val="0"/>
      <w:divBdr>
        <w:top w:val="none" w:sz="0" w:space="0" w:color="auto"/>
        <w:left w:val="none" w:sz="0" w:space="0" w:color="auto"/>
        <w:bottom w:val="none" w:sz="0" w:space="0" w:color="auto"/>
        <w:right w:val="none" w:sz="0" w:space="0" w:color="auto"/>
      </w:divBdr>
    </w:div>
    <w:div w:id="1251504576">
      <w:bodyDiv w:val="1"/>
      <w:marLeft w:val="0"/>
      <w:marRight w:val="0"/>
      <w:marTop w:val="0"/>
      <w:marBottom w:val="0"/>
      <w:divBdr>
        <w:top w:val="none" w:sz="0" w:space="0" w:color="auto"/>
        <w:left w:val="none" w:sz="0" w:space="0" w:color="auto"/>
        <w:bottom w:val="none" w:sz="0" w:space="0" w:color="auto"/>
        <w:right w:val="none" w:sz="0" w:space="0" w:color="auto"/>
      </w:divBdr>
    </w:div>
    <w:div w:id="1259096457">
      <w:bodyDiv w:val="1"/>
      <w:marLeft w:val="0"/>
      <w:marRight w:val="0"/>
      <w:marTop w:val="0"/>
      <w:marBottom w:val="0"/>
      <w:divBdr>
        <w:top w:val="none" w:sz="0" w:space="0" w:color="auto"/>
        <w:left w:val="none" w:sz="0" w:space="0" w:color="auto"/>
        <w:bottom w:val="none" w:sz="0" w:space="0" w:color="auto"/>
        <w:right w:val="none" w:sz="0" w:space="0" w:color="auto"/>
      </w:divBdr>
    </w:div>
    <w:div w:id="1265189905">
      <w:bodyDiv w:val="1"/>
      <w:marLeft w:val="0"/>
      <w:marRight w:val="0"/>
      <w:marTop w:val="0"/>
      <w:marBottom w:val="0"/>
      <w:divBdr>
        <w:top w:val="none" w:sz="0" w:space="0" w:color="auto"/>
        <w:left w:val="none" w:sz="0" w:space="0" w:color="auto"/>
        <w:bottom w:val="none" w:sz="0" w:space="0" w:color="auto"/>
        <w:right w:val="none" w:sz="0" w:space="0" w:color="auto"/>
      </w:divBdr>
    </w:div>
    <w:div w:id="1271398993">
      <w:bodyDiv w:val="1"/>
      <w:marLeft w:val="0"/>
      <w:marRight w:val="0"/>
      <w:marTop w:val="0"/>
      <w:marBottom w:val="0"/>
      <w:divBdr>
        <w:top w:val="none" w:sz="0" w:space="0" w:color="auto"/>
        <w:left w:val="none" w:sz="0" w:space="0" w:color="auto"/>
        <w:bottom w:val="none" w:sz="0" w:space="0" w:color="auto"/>
        <w:right w:val="none" w:sz="0" w:space="0" w:color="auto"/>
      </w:divBdr>
      <w:divsChild>
        <w:div w:id="423192229">
          <w:marLeft w:val="446"/>
          <w:marRight w:val="0"/>
          <w:marTop w:val="0"/>
          <w:marBottom w:val="120"/>
          <w:divBdr>
            <w:top w:val="none" w:sz="0" w:space="0" w:color="auto"/>
            <w:left w:val="none" w:sz="0" w:space="0" w:color="auto"/>
            <w:bottom w:val="none" w:sz="0" w:space="0" w:color="auto"/>
            <w:right w:val="none" w:sz="0" w:space="0" w:color="auto"/>
          </w:divBdr>
        </w:div>
        <w:div w:id="1591813130">
          <w:marLeft w:val="446"/>
          <w:marRight w:val="0"/>
          <w:marTop w:val="0"/>
          <w:marBottom w:val="120"/>
          <w:divBdr>
            <w:top w:val="none" w:sz="0" w:space="0" w:color="auto"/>
            <w:left w:val="none" w:sz="0" w:space="0" w:color="auto"/>
            <w:bottom w:val="none" w:sz="0" w:space="0" w:color="auto"/>
            <w:right w:val="none" w:sz="0" w:space="0" w:color="auto"/>
          </w:divBdr>
        </w:div>
        <w:div w:id="660624389">
          <w:marLeft w:val="446"/>
          <w:marRight w:val="0"/>
          <w:marTop w:val="0"/>
          <w:marBottom w:val="120"/>
          <w:divBdr>
            <w:top w:val="none" w:sz="0" w:space="0" w:color="auto"/>
            <w:left w:val="none" w:sz="0" w:space="0" w:color="auto"/>
            <w:bottom w:val="none" w:sz="0" w:space="0" w:color="auto"/>
            <w:right w:val="none" w:sz="0" w:space="0" w:color="auto"/>
          </w:divBdr>
        </w:div>
        <w:div w:id="880822089">
          <w:marLeft w:val="446"/>
          <w:marRight w:val="0"/>
          <w:marTop w:val="0"/>
          <w:marBottom w:val="120"/>
          <w:divBdr>
            <w:top w:val="none" w:sz="0" w:space="0" w:color="auto"/>
            <w:left w:val="none" w:sz="0" w:space="0" w:color="auto"/>
            <w:bottom w:val="none" w:sz="0" w:space="0" w:color="auto"/>
            <w:right w:val="none" w:sz="0" w:space="0" w:color="auto"/>
          </w:divBdr>
        </w:div>
      </w:divsChild>
    </w:div>
    <w:div w:id="1283920915">
      <w:bodyDiv w:val="1"/>
      <w:marLeft w:val="0"/>
      <w:marRight w:val="0"/>
      <w:marTop w:val="0"/>
      <w:marBottom w:val="0"/>
      <w:divBdr>
        <w:top w:val="none" w:sz="0" w:space="0" w:color="auto"/>
        <w:left w:val="none" w:sz="0" w:space="0" w:color="auto"/>
        <w:bottom w:val="none" w:sz="0" w:space="0" w:color="auto"/>
        <w:right w:val="none" w:sz="0" w:space="0" w:color="auto"/>
      </w:divBdr>
    </w:div>
    <w:div w:id="1304845618">
      <w:bodyDiv w:val="1"/>
      <w:marLeft w:val="0"/>
      <w:marRight w:val="0"/>
      <w:marTop w:val="0"/>
      <w:marBottom w:val="0"/>
      <w:divBdr>
        <w:top w:val="none" w:sz="0" w:space="0" w:color="auto"/>
        <w:left w:val="none" w:sz="0" w:space="0" w:color="auto"/>
        <w:bottom w:val="none" w:sz="0" w:space="0" w:color="auto"/>
        <w:right w:val="none" w:sz="0" w:space="0" w:color="auto"/>
      </w:divBdr>
    </w:div>
    <w:div w:id="1306162980">
      <w:bodyDiv w:val="1"/>
      <w:marLeft w:val="0"/>
      <w:marRight w:val="0"/>
      <w:marTop w:val="0"/>
      <w:marBottom w:val="0"/>
      <w:divBdr>
        <w:top w:val="none" w:sz="0" w:space="0" w:color="auto"/>
        <w:left w:val="none" w:sz="0" w:space="0" w:color="auto"/>
        <w:bottom w:val="none" w:sz="0" w:space="0" w:color="auto"/>
        <w:right w:val="none" w:sz="0" w:space="0" w:color="auto"/>
      </w:divBdr>
    </w:div>
    <w:div w:id="1314260831">
      <w:bodyDiv w:val="1"/>
      <w:marLeft w:val="0"/>
      <w:marRight w:val="0"/>
      <w:marTop w:val="0"/>
      <w:marBottom w:val="0"/>
      <w:divBdr>
        <w:top w:val="none" w:sz="0" w:space="0" w:color="auto"/>
        <w:left w:val="none" w:sz="0" w:space="0" w:color="auto"/>
        <w:bottom w:val="none" w:sz="0" w:space="0" w:color="auto"/>
        <w:right w:val="none" w:sz="0" w:space="0" w:color="auto"/>
      </w:divBdr>
    </w:div>
    <w:div w:id="1315792181">
      <w:bodyDiv w:val="1"/>
      <w:marLeft w:val="0"/>
      <w:marRight w:val="0"/>
      <w:marTop w:val="0"/>
      <w:marBottom w:val="0"/>
      <w:divBdr>
        <w:top w:val="none" w:sz="0" w:space="0" w:color="auto"/>
        <w:left w:val="none" w:sz="0" w:space="0" w:color="auto"/>
        <w:bottom w:val="none" w:sz="0" w:space="0" w:color="auto"/>
        <w:right w:val="none" w:sz="0" w:space="0" w:color="auto"/>
      </w:divBdr>
    </w:div>
    <w:div w:id="1351027054">
      <w:bodyDiv w:val="1"/>
      <w:marLeft w:val="0"/>
      <w:marRight w:val="0"/>
      <w:marTop w:val="0"/>
      <w:marBottom w:val="0"/>
      <w:divBdr>
        <w:top w:val="none" w:sz="0" w:space="0" w:color="auto"/>
        <w:left w:val="none" w:sz="0" w:space="0" w:color="auto"/>
        <w:bottom w:val="none" w:sz="0" w:space="0" w:color="auto"/>
        <w:right w:val="none" w:sz="0" w:space="0" w:color="auto"/>
      </w:divBdr>
    </w:div>
    <w:div w:id="1353534036">
      <w:bodyDiv w:val="1"/>
      <w:marLeft w:val="0"/>
      <w:marRight w:val="0"/>
      <w:marTop w:val="0"/>
      <w:marBottom w:val="0"/>
      <w:divBdr>
        <w:top w:val="none" w:sz="0" w:space="0" w:color="auto"/>
        <w:left w:val="none" w:sz="0" w:space="0" w:color="auto"/>
        <w:bottom w:val="none" w:sz="0" w:space="0" w:color="auto"/>
        <w:right w:val="none" w:sz="0" w:space="0" w:color="auto"/>
      </w:divBdr>
    </w:div>
    <w:div w:id="1381636273">
      <w:bodyDiv w:val="1"/>
      <w:marLeft w:val="0"/>
      <w:marRight w:val="0"/>
      <w:marTop w:val="0"/>
      <w:marBottom w:val="0"/>
      <w:divBdr>
        <w:top w:val="none" w:sz="0" w:space="0" w:color="auto"/>
        <w:left w:val="none" w:sz="0" w:space="0" w:color="auto"/>
        <w:bottom w:val="none" w:sz="0" w:space="0" w:color="auto"/>
        <w:right w:val="none" w:sz="0" w:space="0" w:color="auto"/>
      </w:divBdr>
    </w:div>
    <w:div w:id="1396393210">
      <w:bodyDiv w:val="1"/>
      <w:marLeft w:val="0"/>
      <w:marRight w:val="0"/>
      <w:marTop w:val="0"/>
      <w:marBottom w:val="0"/>
      <w:divBdr>
        <w:top w:val="none" w:sz="0" w:space="0" w:color="auto"/>
        <w:left w:val="none" w:sz="0" w:space="0" w:color="auto"/>
        <w:bottom w:val="none" w:sz="0" w:space="0" w:color="auto"/>
        <w:right w:val="none" w:sz="0" w:space="0" w:color="auto"/>
      </w:divBdr>
    </w:div>
    <w:div w:id="1397316512">
      <w:bodyDiv w:val="1"/>
      <w:marLeft w:val="0"/>
      <w:marRight w:val="0"/>
      <w:marTop w:val="0"/>
      <w:marBottom w:val="0"/>
      <w:divBdr>
        <w:top w:val="none" w:sz="0" w:space="0" w:color="auto"/>
        <w:left w:val="none" w:sz="0" w:space="0" w:color="auto"/>
        <w:bottom w:val="none" w:sz="0" w:space="0" w:color="auto"/>
        <w:right w:val="none" w:sz="0" w:space="0" w:color="auto"/>
      </w:divBdr>
      <w:divsChild>
        <w:div w:id="1342587279">
          <w:marLeft w:val="446"/>
          <w:marRight w:val="0"/>
          <w:marTop w:val="0"/>
          <w:marBottom w:val="0"/>
          <w:divBdr>
            <w:top w:val="none" w:sz="0" w:space="0" w:color="auto"/>
            <w:left w:val="none" w:sz="0" w:space="0" w:color="auto"/>
            <w:bottom w:val="none" w:sz="0" w:space="0" w:color="auto"/>
            <w:right w:val="none" w:sz="0" w:space="0" w:color="auto"/>
          </w:divBdr>
        </w:div>
        <w:div w:id="72552710">
          <w:marLeft w:val="446"/>
          <w:marRight w:val="0"/>
          <w:marTop w:val="0"/>
          <w:marBottom w:val="0"/>
          <w:divBdr>
            <w:top w:val="none" w:sz="0" w:space="0" w:color="auto"/>
            <w:left w:val="none" w:sz="0" w:space="0" w:color="auto"/>
            <w:bottom w:val="none" w:sz="0" w:space="0" w:color="auto"/>
            <w:right w:val="none" w:sz="0" w:space="0" w:color="auto"/>
          </w:divBdr>
        </w:div>
        <w:div w:id="1108507346">
          <w:marLeft w:val="446"/>
          <w:marRight w:val="0"/>
          <w:marTop w:val="0"/>
          <w:marBottom w:val="0"/>
          <w:divBdr>
            <w:top w:val="none" w:sz="0" w:space="0" w:color="auto"/>
            <w:left w:val="none" w:sz="0" w:space="0" w:color="auto"/>
            <w:bottom w:val="none" w:sz="0" w:space="0" w:color="auto"/>
            <w:right w:val="none" w:sz="0" w:space="0" w:color="auto"/>
          </w:divBdr>
        </w:div>
        <w:div w:id="1112239766">
          <w:marLeft w:val="446"/>
          <w:marRight w:val="0"/>
          <w:marTop w:val="0"/>
          <w:marBottom w:val="0"/>
          <w:divBdr>
            <w:top w:val="none" w:sz="0" w:space="0" w:color="auto"/>
            <w:left w:val="none" w:sz="0" w:space="0" w:color="auto"/>
            <w:bottom w:val="none" w:sz="0" w:space="0" w:color="auto"/>
            <w:right w:val="none" w:sz="0" w:space="0" w:color="auto"/>
          </w:divBdr>
        </w:div>
        <w:div w:id="362902445">
          <w:marLeft w:val="446"/>
          <w:marRight w:val="0"/>
          <w:marTop w:val="0"/>
          <w:marBottom w:val="0"/>
          <w:divBdr>
            <w:top w:val="none" w:sz="0" w:space="0" w:color="auto"/>
            <w:left w:val="none" w:sz="0" w:space="0" w:color="auto"/>
            <w:bottom w:val="none" w:sz="0" w:space="0" w:color="auto"/>
            <w:right w:val="none" w:sz="0" w:space="0" w:color="auto"/>
          </w:divBdr>
        </w:div>
        <w:div w:id="1107432355">
          <w:marLeft w:val="446"/>
          <w:marRight w:val="0"/>
          <w:marTop w:val="0"/>
          <w:marBottom w:val="0"/>
          <w:divBdr>
            <w:top w:val="none" w:sz="0" w:space="0" w:color="auto"/>
            <w:left w:val="none" w:sz="0" w:space="0" w:color="auto"/>
            <w:bottom w:val="none" w:sz="0" w:space="0" w:color="auto"/>
            <w:right w:val="none" w:sz="0" w:space="0" w:color="auto"/>
          </w:divBdr>
        </w:div>
        <w:div w:id="31077552">
          <w:marLeft w:val="446"/>
          <w:marRight w:val="0"/>
          <w:marTop w:val="0"/>
          <w:marBottom w:val="0"/>
          <w:divBdr>
            <w:top w:val="none" w:sz="0" w:space="0" w:color="auto"/>
            <w:left w:val="none" w:sz="0" w:space="0" w:color="auto"/>
            <w:bottom w:val="none" w:sz="0" w:space="0" w:color="auto"/>
            <w:right w:val="none" w:sz="0" w:space="0" w:color="auto"/>
          </w:divBdr>
        </w:div>
      </w:divsChild>
    </w:div>
    <w:div w:id="1399278434">
      <w:bodyDiv w:val="1"/>
      <w:marLeft w:val="0"/>
      <w:marRight w:val="0"/>
      <w:marTop w:val="0"/>
      <w:marBottom w:val="0"/>
      <w:divBdr>
        <w:top w:val="none" w:sz="0" w:space="0" w:color="auto"/>
        <w:left w:val="none" w:sz="0" w:space="0" w:color="auto"/>
        <w:bottom w:val="none" w:sz="0" w:space="0" w:color="auto"/>
        <w:right w:val="none" w:sz="0" w:space="0" w:color="auto"/>
      </w:divBdr>
    </w:div>
    <w:div w:id="1400791438">
      <w:bodyDiv w:val="1"/>
      <w:marLeft w:val="0"/>
      <w:marRight w:val="0"/>
      <w:marTop w:val="0"/>
      <w:marBottom w:val="0"/>
      <w:divBdr>
        <w:top w:val="none" w:sz="0" w:space="0" w:color="auto"/>
        <w:left w:val="none" w:sz="0" w:space="0" w:color="auto"/>
        <w:bottom w:val="none" w:sz="0" w:space="0" w:color="auto"/>
        <w:right w:val="none" w:sz="0" w:space="0" w:color="auto"/>
      </w:divBdr>
      <w:divsChild>
        <w:div w:id="1211117251">
          <w:marLeft w:val="331"/>
          <w:marRight w:val="0"/>
          <w:marTop w:val="0"/>
          <w:marBottom w:val="120"/>
          <w:divBdr>
            <w:top w:val="none" w:sz="0" w:space="0" w:color="auto"/>
            <w:left w:val="none" w:sz="0" w:space="0" w:color="auto"/>
            <w:bottom w:val="none" w:sz="0" w:space="0" w:color="auto"/>
            <w:right w:val="none" w:sz="0" w:space="0" w:color="auto"/>
          </w:divBdr>
        </w:div>
        <w:div w:id="1113550687">
          <w:marLeft w:val="331"/>
          <w:marRight w:val="0"/>
          <w:marTop w:val="0"/>
          <w:marBottom w:val="120"/>
          <w:divBdr>
            <w:top w:val="none" w:sz="0" w:space="0" w:color="auto"/>
            <w:left w:val="none" w:sz="0" w:space="0" w:color="auto"/>
            <w:bottom w:val="none" w:sz="0" w:space="0" w:color="auto"/>
            <w:right w:val="none" w:sz="0" w:space="0" w:color="auto"/>
          </w:divBdr>
        </w:div>
        <w:div w:id="329334231">
          <w:marLeft w:val="331"/>
          <w:marRight w:val="0"/>
          <w:marTop w:val="0"/>
          <w:marBottom w:val="120"/>
          <w:divBdr>
            <w:top w:val="none" w:sz="0" w:space="0" w:color="auto"/>
            <w:left w:val="none" w:sz="0" w:space="0" w:color="auto"/>
            <w:bottom w:val="none" w:sz="0" w:space="0" w:color="auto"/>
            <w:right w:val="none" w:sz="0" w:space="0" w:color="auto"/>
          </w:divBdr>
        </w:div>
        <w:div w:id="660618447">
          <w:marLeft w:val="331"/>
          <w:marRight w:val="0"/>
          <w:marTop w:val="0"/>
          <w:marBottom w:val="120"/>
          <w:divBdr>
            <w:top w:val="none" w:sz="0" w:space="0" w:color="auto"/>
            <w:left w:val="none" w:sz="0" w:space="0" w:color="auto"/>
            <w:bottom w:val="none" w:sz="0" w:space="0" w:color="auto"/>
            <w:right w:val="none" w:sz="0" w:space="0" w:color="auto"/>
          </w:divBdr>
        </w:div>
        <w:div w:id="1872187893">
          <w:marLeft w:val="331"/>
          <w:marRight w:val="0"/>
          <w:marTop w:val="0"/>
          <w:marBottom w:val="120"/>
          <w:divBdr>
            <w:top w:val="none" w:sz="0" w:space="0" w:color="auto"/>
            <w:left w:val="none" w:sz="0" w:space="0" w:color="auto"/>
            <w:bottom w:val="none" w:sz="0" w:space="0" w:color="auto"/>
            <w:right w:val="none" w:sz="0" w:space="0" w:color="auto"/>
          </w:divBdr>
        </w:div>
      </w:divsChild>
    </w:div>
    <w:div w:id="1403214251">
      <w:bodyDiv w:val="1"/>
      <w:marLeft w:val="0"/>
      <w:marRight w:val="0"/>
      <w:marTop w:val="0"/>
      <w:marBottom w:val="0"/>
      <w:divBdr>
        <w:top w:val="none" w:sz="0" w:space="0" w:color="auto"/>
        <w:left w:val="none" w:sz="0" w:space="0" w:color="auto"/>
        <w:bottom w:val="none" w:sz="0" w:space="0" w:color="auto"/>
        <w:right w:val="none" w:sz="0" w:space="0" w:color="auto"/>
      </w:divBdr>
    </w:div>
    <w:div w:id="1414400674">
      <w:bodyDiv w:val="1"/>
      <w:marLeft w:val="0"/>
      <w:marRight w:val="0"/>
      <w:marTop w:val="0"/>
      <w:marBottom w:val="0"/>
      <w:divBdr>
        <w:top w:val="none" w:sz="0" w:space="0" w:color="auto"/>
        <w:left w:val="none" w:sz="0" w:space="0" w:color="auto"/>
        <w:bottom w:val="none" w:sz="0" w:space="0" w:color="auto"/>
        <w:right w:val="none" w:sz="0" w:space="0" w:color="auto"/>
      </w:divBdr>
    </w:div>
    <w:div w:id="1445151993">
      <w:bodyDiv w:val="1"/>
      <w:marLeft w:val="0"/>
      <w:marRight w:val="0"/>
      <w:marTop w:val="0"/>
      <w:marBottom w:val="0"/>
      <w:divBdr>
        <w:top w:val="none" w:sz="0" w:space="0" w:color="auto"/>
        <w:left w:val="none" w:sz="0" w:space="0" w:color="auto"/>
        <w:bottom w:val="none" w:sz="0" w:space="0" w:color="auto"/>
        <w:right w:val="none" w:sz="0" w:space="0" w:color="auto"/>
      </w:divBdr>
    </w:div>
    <w:div w:id="1445805643">
      <w:bodyDiv w:val="1"/>
      <w:marLeft w:val="0"/>
      <w:marRight w:val="0"/>
      <w:marTop w:val="0"/>
      <w:marBottom w:val="0"/>
      <w:divBdr>
        <w:top w:val="none" w:sz="0" w:space="0" w:color="auto"/>
        <w:left w:val="none" w:sz="0" w:space="0" w:color="auto"/>
        <w:bottom w:val="none" w:sz="0" w:space="0" w:color="auto"/>
        <w:right w:val="none" w:sz="0" w:space="0" w:color="auto"/>
      </w:divBdr>
    </w:div>
    <w:div w:id="1451900598">
      <w:bodyDiv w:val="1"/>
      <w:marLeft w:val="0"/>
      <w:marRight w:val="0"/>
      <w:marTop w:val="0"/>
      <w:marBottom w:val="0"/>
      <w:divBdr>
        <w:top w:val="none" w:sz="0" w:space="0" w:color="auto"/>
        <w:left w:val="none" w:sz="0" w:space="0" w:color="auto"/>
        <w:bottom w:val="none" w:sz="0" w:space="0" w:color="auto"/>
        <w:right w:val="none" w:sz="0" w:space="0" w:color="auto"/>
      </w:divBdr>
    </w:div>
    <w:div w:id="1461532287">
      <w:bodyDiv w:val="1"/>
      <w:marLeft w:val="0"/>
      <w:marRight w:val="0"/>
      <w:marTop w:val="0"/>
      <w:marBottom w:val="0"/>
      <w:divBdr>
        <w:top w:val="none" w:sz="0" w:space="0" w:color="auto"/>
        <w:left w:val="none" w:sz="0" w:space="0" w:color="auto"/>
        <w:bottom w:val="none" w:sz="0" w:space="0" w:color="auto"/>
        <w:right w:val="none" w:sz="0" w:space="0" w:color="auto"/>
      </w:divBdr>
    </w:div>
    <w:div w:id="1464349246">
      <w:bodyDiv w:val="1"/>
      <w:marLeft w:val="0"/>
      <w:marRight w:val="0"/>
      <w:marTop w:val="0"/>
      <w:marBottom w:val="0"/>
      <w:divBdr>
        <w:top w:val="none" w:sz="0" w:space="0" w:color="auto"/>
        <w:left w:val="none" w:sz="0" w:space="0" w:color="auto"/>
        <w:bottom w:val="none" w:sz="0" w:space="0" w:color="auto"/>
        <w:right w:val="none" w:sz="0" w:space="0" w:color="auto"/>
      </w:divBdr>
    </w:div>
    <w:div w:id="1465923015">
      <w:bodyDiv w:val="1"/>
      <w:marLeft w:val="0"/>
      <w:marRight w:val="0"/>
      <w:marTop w:val="0"/>
      <w:marBottom w:val="0"/>
      <w:divBdr>
        <w:top w:val="none" w:sz="0" w:space="0" w:color="auto"/>
        <w:left w:val="none" w:sz="0" w:space="0" w:color="auto"/>
        <w:bottom w:val="none" w:sz="0" w:space="0" w:color="auto"/>
        <w:right w:val="none" w:sz="0" w:space="0" w:color="auto"/>
      </w:divBdr>
    </w:div>
    <w:div w:id="1493521996">
      <w:bodyDiv w:val="1"/>
      <w:marLeft w:val="0"/>
      <w:marRight w:val="0"/>
      <w:marTop w:val="0"/>
      <w:marBottom w:val="0"/>
      <w:divBdr>
        <w:top w:val="none" w:sz="0" w:space="0" w:color="auto"/>
        <w:left w:val="none" w:sz="0" w:space="0" w:color="auto"/>
        <w:bottom w:val="none" w:sz="0" w:space="0" w:color="auto"/>
        <w:right w:val="none" w:sz="0" w:space="0" w:color="auto"/>
      </w:divBdr>
    </w:div>
    <w:div w:id="1497720871">
      <w:bodyDiv w:val="1"/>
      <w:marLeft w:val="0"/>
      <w:marRight w:val="0"/>
      <w:marTop w:val="0"/>
      <w:marBottom w:val="0"/>
      <w:divBdr>
        <w:top w:val="none" w:sz="0" w:space="0" w:color="auto"/>
        <w:left w:val="none" w:sz="0" w:space="0" w:color="auto"/>
        <w:bottom w:val="none" w:sz="0" w:space="0" w:color="auto"/>
        <w:right w:val="none" w:sz="0" w:space="0" w:color="auto"/>
      </w:divBdr>
    </w:div>
    <w:div w:id="1523787936">
      <w:bodyDiv w:val="1"/>
      <w:marLeft w:val="0"/>
      <w:marRight w:val="0"/>
      <w:marTop w:val="0"/>
      <w:marBottom w:val="0"/>
      <w:divBdr>
        <w:top w:val="none" w:sz="0" w:space="0" w:color="auto"/>
        <w:left w:val="none" w:sz="0" w:space="0" w:color="auto"/>
        <w:bottom w:val="none" w:sz="0" w:space="0" w:color="auto"/>
        <w:right w:val="none" w:sz="0" w:space="0" w:color="auto"/>
      </w:divBdr>
    </w:div>
    <w:div w:id="1532451038">
      <w:bodyDiv w:val="1"/>
      <w:marLeft w:val="0"/>
      <w:marRight w:val="0"/>
      <w:marTop w:val="0"/>
      <w:marBottom w:val="0"/>
      <w:divBdr>
        <w:top w:val="none" w:sz="0" w:space="0" w:color="auto"/>
        <w:left w:val="none" w:sz="0" w:space="0" w:color="auto"/>
        <w:bottom w:val="none" w:sz="0" w:space="0" w:color="auto"/>
        <w:right w:val="none" w:sz="0" w:space="0" w:color="auto"/>
      </w:divBdr>
    </w:div>
    <w:div w:id="1533807870">
      <w:bodyDiv w:val="1"/>
      <w:marLeft w:val="0"/>
      <w:marRight w:val="0"/>
      <w:marTop w:val="0"/>
      <w:marBottom w:val="0"/>
      <w:divBdr>
        <w:top w:val="none" w:sz="0" w:space="0" w:color="auto"/>
        <w:left w:val="none" w:sz="0" w:space="0" w:color="auto"/>
        <w:bottom w:val="none" w:sz="0" w:space="0" w:color="auto"/>
        <w:right w:val="none" w:sz="0" w:space="0" w:color="auto"/>
      </w:divBdr>
    </w:div>
    <w:div w:id="1562331284">
      <w:bodyDiv w:val="1"/>
      <w:marLeft w:val="0"/>
      <w:marRight w:val="0"/>
      <w:marTop w:val="0"/>
      <w:marBottom w:val="0"/>
      <w:divBdr>
        <w:top w:val="none" w:sz="0" w:space="0" w:color="auto"/>
        <w:left w:val="none" w:sz="0" w:space="0" w:color="auto"/>
        <w:bottom w:val="none" w:sz="0" w:space="0" w:color="auto"/>
        <w:right w:val="none" w:sz="0" w:space="0" w:color="auto"/>
      </w:divBdr>
    </w:div>
    <w:div w:id="1563296902">
      <w:bodyDiv w:val="1"/>
      <w:marLeft w:val="0"/>
      <w:marRight w:val="0"/>
      <w:marTop w:val="0"/>
      <w:marBottom w:val="0"/>
      <w:divBdr>
        <w:top w:val="none" w:sz="0" w:space="0" w:color="auto"/>
        <w:left w:val="none" w:sz="0" w:space="0" w:color="auto"/>
        <w:bottom w:val="none" w:sz="0" w:space="0" w:color="auto"/>
        <w:right w:val="none" w:sz="0" w:space="0" w:color="auto"/>
      </w:divBdr>
    </w:div>
    <w:div w:id="1572739253">
      <w:bodyDiv w:val="1"/>
      <w:marLeft w:val="0"/>
      <w:marRight w:val="0"/>
      <w:marTop w:val="0"/>
      <w:marBottom w:val="0"/>
      <w:divBdr>
        <w:top w:val="none" w:sz="0" w:space="0" w:color="auto"/>
        <w:left w:val="none" w:sz="0" w:space="0" w:color="auto"/>
        <w:bottom w:val="none" w:sz="0" w:space="0" w:color="auto"/>
        <w:right w:val="none" w:sz="0" w:space="0" w:color="auto"/>
      </w:divBdr>
    </w:div>
    <w:div w:id="1573808790">
      <w:bodyDiv w:val="1"/>
      <w:marLeft w:val="0"/>
      <w:marRight w:val="0"/>
      <w:marTop w:val="0"/>
      <w:marBottom w:val="0"/>
      <w:divBdr>
        <w:top w:val="none" w:sz="0" w:space="0" w:color="auto"/>
        <w:left w:val="none" w:sz="0" w:space="0" w:color="auto"/>
        <w:bottom w:val="none" w:sz="0" w:space="0" w:color="auto"/>
        <w:right w:val="none" w:sz="0" w:space="0" w:color="auto"/>
      </w:divBdr>
    </w:div>
    <w:div w:id="1575620997">
      <w:bodyDiv w:val="1"/>
      <w:marLeft w:val="0"/>
      <w:marRight w:val="0"/>
      <w:marTop w:val="0"/>
      <w:marBottom w:val="0"/>
      <w:divBdr>
        <w:top w:val="none" w:sz="0" w:space="0" w:color="auto"/>
        <w:left w:val="none" w:sz="0" w:space="0" w:color="auto"/>
        <w:bottom w:val="none" w:sz="0" w:space="0" w:color="auto"/>
        <w:right w:val="none" w:sz="0" w:space="0" w:color="auto"/>
      </w:divBdr>
    </w:div>
    <w:div w:id="1577082679">
      <w:bodyDiv w:val="1"/>
      <w:marLeft w:val="0"/>
      <w:marRight w:val="0"/>
      <w:marTop w:val="0"/>
      <w:marBottom w:val="0"/>
      <w:divBdr>
        <w:top w:val="none" w:sz="0" w:space="0" w:color="auto"/>
        <w:left w:val="none" w:sz="0" w:space="0" w:color="auto"/>
        <w:bottom w:val="none" w:sz="0" w:space="0" w:color="auto"/>
        <w:right w:val="none" w:sz="0" w:space="0" w:color="auto"/>
      </w:divBdr>
    </w:div>
    <w:div w:id="1590499924">
      <w:bodyDiv w:val="1"/>
      <w:marLeft w:val="0"/>
      <w:marRight w:val="0"/>
      <w:marTop w:val="0"/>
      <w:marBottom w:val="0"/>
      <w:divBdr>
        <w:top w:val="none" w:sz="0" w:space="0" w:color="auto"/>
        <w:left w:val="none" w:sz="0" w:space="0" w:color="auto"/>
        <w:bottom w:val="none" w:sz="0" w:space="0" w:color="auto"/>
        <w:right w:val="none" w:sz="0" w:space="0" w:color="auto"/>
      </w:divBdr>
    </w:div>
    <w:div w:id="1592660544">
      <w:bodyDiv w:val="1"/>
      <w:marLeft w:val="0"/>
      <w:marRight w:val="0"/>
      <w:marTop w:val="0"/>
      <w:marBottom w:val="0"/>
      <w:divBdr>
        <w:top w:val="none" w:sz="0" w:space="0" w:color="auto"/>
        <w:left w:val="none" w:sz="0" w:space="0" w:color="auto"/>
        <w:bottom w:val="none" w:sz="0" w:space="0" w:color="auto"/>
        <w:right w:val="none" w:sz="0" w:space="0" w:color="auto"/>
      </w:divBdr>
    </w:div>
    <w:div w:id="1593855487">
      <w:bodyDiv w:val="1"/>
      <w:marLeft w:val="0"/>
      <w:marRight w:val="0"/>
      <w:marTop w:val="0"/>
      <w:marBottom w:val="0"/>
      <w:divBdr>
        <w:top w:val="none" w:sz="0" w:space="0" w:color="auto"/>
        <w:left w:val="none" w:sz="0" w:space="0" w:color="auto"/>
        <w:bottom w:val="none" w:sz="0" w:space="0" w:color="auto"/>
        <w:right w:val="none" w:sz="0" w:space="0" w:color="auto"/>
      </w:divBdr>
    </w:div>
    <w:div w:id="1601260485">
      <w:bodyDiv w:val="1"/>
      <w:marLeft w:val="0"/>
      <w:marRight w:val="0"/>
      <w:marTop w:val="0"/>
      <w:marBottom w:val="0"/>
      <w:divBdr>
        <w:top w:val="none" w:sz="0" w:space="0" w:color="auto"/>
        <w:left w:val="none" w:sz="0" w:space="0" w:color="auto"/>
        <w:bottom w:val="none" w:sz="0" w:space="0" w:color="auto"/>
        <w:right w:val="none" w:sz="0" w:space="0" w:color="auto"/>
      </w:divBdr>
      <w:divsChild>
        <w:div w:id="2111318396">
          <w:marLeft w:val="446"/>
          <w:marRight w:val="0"/>
          <w:marTop w:val="0"/>
          <w:marBottom w:val="120"/>
          <w:divBdr>
            <w:top w:val="none" w:sz="0" w:space="0" w:color="auto"/>
            <w:left w:val="none" w:sz="0" w:space="0" w:color="auto"/>
            <w:bottom w:val="none" w:sz="0" w:space="0" w:color="auto"/>
            <w:right w:val="none" w:sz="0" w:space="0" w:color="auto"/>
          </w:divBdr>
        </w:div>
        <w:div w:id="1931499548">
          <w:marLeft w:val="446"/>
          <w:marRight w:val="0"/>
          <w:marTop w:val="0"/>
          <w:marBottom w:val="120"/>
          <w:divBdr>
            <w:top w:val="none" w:sz="0" w:space="0" w:color="auto"/>
            <w:left w:val="none" w:sz="0" w:space="0" w:color="auto"/>
            <w:bottom w:val="none" w:sz="0" w:space="0" w:color="auto"/>
            <w:right w:val="none" w:sz="0" w:space="0" w:color="auto"/>
          </w:divBdr>
        </w:div>
      </w:divsChild>
    </w:div>
    <w:div w:id="1604728298">
      <w:bodyDiv w:val="1"/>
      <w:marLeft w:val="0"/>
      <w:marRight w:val="0"/>
      <w:marTop w:val="0"/>
      <w:marBottom w:val="0"/>
      <w:divBdr>
        <w:top w:val="none" w:sz="0" w:space="0" w:color="auto"/>
        <w:left w:val="none" w:sz="0" w:space="0" w:color="auto"/>
        <w:bottom w:val="none" w:sz="0" w:space="0" w:color="auto"/>
        <w:right w:val="none" w:sz="0" w:space="0" w:color="auto"/>
      </w:divBdr>
    </w:div>
    <w:div w:id="1613243754">
      <w:bodyDiv w:val="1"/>
      <w:marLeft w:val="0"/>
      <w:marRight w:val="0"/>
      <w:marTop w:val="0"/>
      <w:marBottom w:val="0"/>
      <w:divBdr>
        <w:top w:val="none" w:sz="0" w:space="0" w:color="auto"/>
        <w:left w:val="none" w:sz="0" w:space="0" w:color="auto"/>
        <w:bottom w:val="none" w:sz="0" w:space="0" w:color="auto"/>
        <w:right w:val="none" w:sz="0" w:space="0" w:color="auto"/>
      </w:divBdr>
    </w:div>
    <w:div w:id="1632252264">
      <w:bodyDiv w:val="1"/>
      <w:marLeft w:val="0"/>
      <w:marRight w:val="0"/>
      <w:marTop w:val="0"/>
      <w:marBottom w:val="0"/>
      <w:divBdr>
        <w:top w:val="none" w:sz="0" w:space="0" w:color="auto"/>
        <w:left w:val="none" w:sz="0" w:space="0" w:color="auto"/>
        <w:bottom w:val="none" w:sz="0" w:space="0" w:color="auto"/>
        <w:right w:val="none" w:sz="0" w:space="0" w:color="auto"/>
      </w:divBdr>
    </w:div>
    <w:div w:id="1642728589">
      <w:bodyDiv w:val="1"/>
      <w:marLeft w:val="0"/>
      <w:marRight w:val="0"/>
      <w:marTop w:val="0"/>
      <w:marBottom w:val="0"/>
      <w:divBdr>
        <w:top w:val="none" w:sz="0" w:space="0" w:color="auto"/>
        <w:left w:val="none" w:sz="0" w:space="0" w:color="auto"/>
        <w:bottom w:val="none" w:sz="0" w:space="0" w:color="auto"/>
        <w:right w:val="none" w:sz="0" w:space="0" w:color="auto"/>
      </w:divBdr>
    </w:div>
    <w:div w:id="1676956518">
      <w:bodyDiv w:val="1"/>
      <w:marLeft w:val="0"/>
      <w:marRight w:val="0"/>
      <w:marTop w:val="0"/>
      <w:marBottom w:val="0"/>
      <w:divBdr>
        <w:top w:val="none" w:sz="0" w:space="0" w:color="auto"/>
        <w:left w:val="none" w:sz="0" w:space="0" w:color="auto"/>
        <w:bottom w:val="none" w:sz="0" w:space="0" w:color="auto"/>
        <w:right w:val="none" w:sz="0" w:space="0" w:color="auto"/>
      </w:divBdr>
    </w:div>
    <w:div w:id="1682857624">
      <w:bodyDiv w:val="1"/>
      <w:marLeft w:val="0"/>
      <w:marRight w:val="0"/>
      <w:marTop w:val="0"/>
      <w:marBottom w:val="0"/>
      <w:divBdr>
        <w:top w:val="none" w:sz="0" w:space="0" w:color="auto"/>
        <w:left w:val="none" w:sz="0" w:space="0" w:color="auto"/>
        <w:bottom w:val="none" w:sz="0" w:space="0" w:color="auto"/>
        <w:right w:val="none" w:sz="0" w:space="0" w:color="auto"/>
      </w:divBdr>
    </w:div>
    <w:div w:id="1698113773">
      <w:bodyDiv w:val="1"/>
      <w:marLeft w:val="0"/>
      <w:marRight w:val="0"/>
      <w:marTop w:val="0"/>
      <w:marBottom w:val="0"/>
      <w:divBdr>
        <w:top w:val="none" w:sz="0" w:space="0" w:color="auto"/>
        <w:left w:val="none" w:sz="0" w:space="0" w:color="auto"/>
        <w:bottom w:val="none" w:sz="0" w:space="0" w:color="auto"/>
        <w:right w:val="none" w:sz="0" w:space="0" w:color="auto"/>
      </w:divBdr>
    </w:div>
    <w:div w:id="1711108680">
      <w:bodyDiv w:val="1"/>
      <w:marLeft w:val="0"/>
      <w:marRight w:val="0"/>
      <w:marTop w:val="0"/>
      <w:marBottom w:val="0"/>
      <w:divBdr>
        <w:top w:val="none" w:sz="0" w:space="0" w:color="auto"/>
        <w:left w:val="none" w:sz="0" w:space="0" w:color="auto"/>
        <w:bottom w:val="none" w:sz="0" w:space="0" w:color="auto"/>
        <w:right w:val="none" w:sz="0" w:space="0" w:color="auto"/>
      </w:divBdr>
    </w:div>
    <w:div w:id="1716007819">
      <w:bodyDiv w:val="1"/>
      <w:marLeft w:val="0"/>
      <w:marRight w:val="0"/>
      <w:marTop w:val="0"/>
      <w:marBottom w:val="0"/>
      <w:divBdr>
        <w:top w:val="none" w:sz="0" w:space="0" w:color="auto"/>
        <w:left w:val="none" w:sz="0" w:space="0" w:color="auto"/>
        <w:bottom w:val="none" w:sz="0" w:space="0" w:color="auto"/>
        <w:right w:val="none" w:sz="0" w:space="0" w:color="auto"/>
      </w:divBdr>
    </w:div>
    <w:div w:id="1721782863">
      <w:bodyDiv w:val="1"/>
      <w:marLeft w:val="0"/>
      <w:marRight w:val="0"/>
      <w:marTop w:val="0"/>
      <w:marBottom w:val="0"/>
      <w:divBdr>
        <w:top w:val="none" w:sz="0" w:space="0" w:color="auto"/>
        <w:left w:val="none" w:sz="0" w:space="0" w:color="auto"/>
        <w:bottom w:val="none" w:sz="0" w:space="0" w:color="auto"/>
        <w:right w:val="none" w:sz="0" w:space="0" w:color="auto"/>
      </w:divBdr>
    </w:div>
    <w:div w:id="1726446816">
      <w:bodyDiv w:val="1"/>
      <w:marLeft w:val="0"/>
      <w:marRight w:val="0"/>
      <w:marTop w:val="0"/>
      <w:marBottom w:val="0"/>
      <w:divBdr>
        <w:top w:val="none" w:sz="0" w:space="0" w:color="auto"/>
        <w:left w:val="none" w:sz="0" w:space="0" w:color="auto"/>
        <w:bottom w:val="none" w:sz="0" w:space="0" w:color="auto"/>
        <w:right w:val="none" w:sz="0" w:space="0" w:color="auto"/>
      </w:divBdr>
    </w:div>
    <w:div w:id="1727296718">
      <w:bodyDiv w:val="1"/>
      <w:marLeft w:val="0"/>
      <w:marRight w:val="0"/>
      <w:marTop w:val="0"/>
      <w:marBottom w:val="0"/>
      <w:divBdr>
        <w:top w:val="none" w:sz="0" w:space="0" w:color="auto"/>
        <w:left w:val="none" w:sz="0" w:space="0" w:color="auto"/>
        <w:bottom w:val="none" w:sz="0" w:space="0" w:color="auto"/>
        <w:right w:val="none" w:sz="0" w:space="0" w:color="auto"/>
      </w:divBdr>
    </w:div>
    <w:div w:id="1763799594">
      <w:bodyDiv w:val="1"/>
      <w:marLeft w:val="0"/>
      <w:marRight w:val="0"/>
      <w:marTop w:val="0"/>
      <w:marBottom w:val="0"/>
      <w:divBdr>
        <w:top w:val="none" w:sz="0" w:space="0" w:color="auto"/>
        <w:left w:val="none" w:sz="0" w:space="0" w:color="auto"/>
        <w:bottom w:val="none" w:sz="0" w:space="0" w:color="auto"/>
        <w:right w:val="none" w:sz="0" w:space="0" w:color="auto"/>
      </w:divBdr>
    </w:div>
    <w:div w:id="1769155000">
      <w:bodyDiv w:val="1"/>
      <w:marLeft w:val="0"/>
      <w:marRight w:val="0"/>
      <w:marTop w:val="0"/>
      <w:marBottom w:val="0"/>
      <w:divBdr>
        <w:top w:val="none" w:sz="0" w:space="0" w:color="auto"/>
        <w:left w:val="none" w:sz="0" w:space="0" w:color="auto"/>
        <w:bottom w:val="none" w:sz="0" w:space="0" w:color="auto"/>
        <w:right w:val="none" w:sz="0" w:space="0" w:color="auto"/>
      </w:divBdr>
    </w:div>
    <w:div w:id="1775324087">
      <w:bodyDiv w:val="1"/>
      <w:marLeft w:val="0"/>
      <w:marRight w:val="0"/>
      <w:marTop w:val="0"/>
      <w:marBottom w:val="0"/>
      <w:divBdr>
        <w:top w:val="none" w:sz="0" w:space="0" w:color="auto"/>
        <w:left w:val="none" w:sz="0" w:space="0" w:color="auto"/>
        <w:bottom w:val="none" w:sz="0" w:space="0" w:color="auto"/>
        <w:right w:val="none" w:sz="0" w:space="0" w:color="auto"/>
      </w:divBdr>
    </w:div>
    <w:div w:id="1778015657">
      <w:bodyDiv w:val="1"/>
      <w:marLeft w:val="0"/>
      <w:marRight w:val="0"/>
      <w:marTop w:val="0"/>
      <w:marBottom w:val="0"/>
      <w:divBdr>
        <w:top w:val="none" w:sz="0" w:space="0" w:color="auto"/>
        <w:left w:val="none" w:sz="0" w:space="0" w:color="auto"/>
        <w:bottom w:val="none" w:sz="0" w:space="0" w:color="auto"/>
        <w:right w:val="none" w:sz="0" w:space="0" w:color="auto"/>
      </w:divBdr>
    </w:div>
    <w:div w:id="1790393371">
      <w:bodyDiv w:val="1"/>
      <w:marLeft w:val="0"/>
      <w:marRight w:val="0"/>
      <w:marTop w:val="0"/>
      <w:marBottom w:val="0"/>
      <w:divBdr>
        <w:top w:val="none" w:sz="0" w:space="0" w:color="auto"/>
        <w:left w:val="none" w:sz="0" w:space="0" w:color="auto"/>
        <w:bottom w:val="none" w:sz="0" w:space="0" w:color="auto"/>
        <w:right w:val="none" w:sz="0" w:space="0" w:color="auto"/>
      </w:divBdr>
    </w:div>
    <w:div w:id="1796868768">
      <w:bodyDiv w:val="1"/>
      <w:marLeft w:val="0"/>
      <w:marRight w:val="0"/>
      <w:marTop w:val="0"/>
      <w:marBottom w:val="0"/>
      <w:divBdr>
        <w:top w:val="none" w:sz="0" w:space="0" w:color="auto"/>
        <w:left w:val="none" w:sz="0" w:space="0" w:color="auto"/>
        <w:bottom w:val="none" w:sz="0" w:space="0" w:color="auto"/>
        <w:right w:val="none" w:sz="0" w:space="0" w:color="auto"/>
      </w:divBdr>
    </w:div>
    <w:div w:id="1797411596">
      <w:bodyDiv w:val="1"/>
      <w:marLeft w:val="0"/>
      <w:marRight w:val="0"/>
      <w:marTop w:val="0"/>
      <w:marBottom w:val="0"/>
      <w:divBdr>
        <w:top w:val="none" w:sz="0" w:space="0" w:color="auto"/>
        <w:left w:val="none" w:sz="0" w:space="0" w:color="auto"/>
        <w:bottom w:val="none" w:sz="0" w:space="0" w:color="auto"/>
        <w:right w:val="none" w:sz="0" w:space="0" w:color="auto"/>
      </w:divBdr>
    </w:div>
    <w:div w:id="1800877059">
      <w:bodyDiv w:val="1"/>
      <w:marLeft w:val="0"/>
      <w:marRight w:val="0"/>
      <w:marTop w:val="0"/>
      <w:marBottom w:val="0"/>
      <w:divBdr>
        <w:top w:val="none" w:sz="0" w:space="0" w:color="auto"/>
        <w:left w:val="none" w:sz="0" w:space="0" w:color="auto"/>
        <w:bottom w:val="none" w:sz="0" w:space="0" w:color="auto"/>
        <w:right w:val="none" w:sz="0" w:space="0" w:color="auto"/>
      </w:divBdr>
    </w:div>
    <w:div w:id="1806971863">
      <w:bodyDiv w:val="1"/>
      <w:marLeft w:val="0"/>
      <w:marRight w:val="0"/>
      <w:marTop w:val="0"/>
      <w:marBottom w:val="0"/>
      <w:divBdr>
        <w:top w:val="none" w:sz="0" w:space="0" w:color="auto"/>
        <w:left w:val="none" w:sz="0" w:space="0" w:color="auto"/>
        <w:bottom w:val="none" w:sz="0" w:space="0" w:color="auto"/>
        <w:right w:val="none" w:sz="0" w:space="0" w:color="auto"/>
      </w:divBdr>
    </w:div>
    <w:div w:id="1807817207">
      <w:bodyDiv w:val="1"/>
      <w:marLeft w:val="0"/>
      <w:marRight w:val="0"/>
      <w:marTop w:val="0"/>
      <w:marBottom w:val="0"/>
      <w:divBdr>
        <w:top w:val="none" w:sz="0" w:space="0" w:color="auto"/>
        <w:left w:val="none" w:sz="0" w:space="0" w:color="auto"/>
        <w:bottom w:val="none" w:sz="0" w:space="0" w:color="auto"/>
        <w:right w:val="none" w:sz="0" w:space="0" w:color="auto"/>
      </w:divBdr>
    </w:div>
    <w:div w:id="1809081615">
      <w:bodyDiv w:val="1"/>
      <w:marLeft w:val="0"/>
      <w:marRight w:val="0"/>
      <w:marTop w:val="0"/>
      <w:marBottom w:val="0"/>
      <w:divBdr>
        <w:top w:val="none" w:sz="0" w:space="0" w:color="auto"/>
        <w:left w:val="none" w:sz="0" w:space="0" w:color="auto"/>
        <w:bottom w:val="none" w:sz="0" w:space="0" w:color="auto"/>
        <w:right w:val="none" w:sz="0" w:space="0" w:color="auto"/>
      </w:divBdr>
    </w:div>
    <w:div w:id="1809782297">
      <w:bodyDiv w:val="1"/>
      <w:marLeft w:val="0"/>
      <w:marRight w:val="0"/>
      <w:marTop w:val="0"/>
      <w:marBottom w:val="0"/>
      <w:divBdr>
        <w:top w:val="none" w:sz="0" w:space="0" w:color="auto"/>
        <w:left w:val="none" w:sz="0" w:space="0" w:color="auto"/>
        <w:bottom w:val="none" w:sz="0" w:space="0" w:color="auto"/>
        <w:right w:val="none" w:sz="0" w:space="0" w:color="auto"/>
      </w:divBdr>
    </w:div>
    <w:div w:id="1815023959">
      <w:bodyDiv w:val="1"/>
      <w:marLeft w:val="0"/>
      <w:marRight w:val="0"/>
      <w:marTop w:val="0"/>
      <w:marBottom w:val="0"/>
      <w:divBdr>
        <w:top w:val="none" w:sz="0" w:space="0" w:color="auto"/>
        <w:left w:val="none" w:sz="0" w:space="0" w:color="auto"/>
        <w:bottom w:val="none" w:sz="0" w:space="0" w:color="auto"/>
        <w:right w:val="none" w:sz="0" w:space="0" w:color="auto"/>
      </w:divBdr>
    </w:div>
    <w:div w:id="1816488519">
      <w:bodyDiv w:val="1"/>
      <w:marLeft w:val="0"/>
      <w:marRight w:val="0"/>
      <w:marTop w:val="0"/>
      <w:marBottom w:val="0"/>
      <w:divBdr>
        <w:top w:val="none" w:sz="0" w:space="0" w:color="auto"/>
        <w:left w:val="none" w:sz="0" w:space="0" w:color="auto"/>
        <w:bottom w:val="none" w:sz="0" w:space="0" w:color="auto"/>
        <w:right w:val="none" w:sz="0" w:space="0" w:color="auto"/>
      </w:divBdr>
    </w:div>
    <w:div w:id="1828741871">
      <w:bodyDiv w:val="1"/>
      <w:marLeft w:val="0"/>
      <w:marRight w:val="0"/>
      <w:marTop w:val="0"/>
      <w:marBottom w:val="0"/>
      <w:divBdr>
        <w:top w:val="none" w:sz="0" w:space="0" w:color="auto"/>
        <w:left w:val="none" w:sz="0" w:space="0" w:color="auto"/>
        <w:bottom w:val="none" w:sz="0" w:space="0" w:color="auto"/>
        <w:right w:val="none" w:sz="0" w:space="0" w:color="auto"/>
      </w:divBdr>
    </w:div>
    <w:div w:id="1837723390">
      <w:bodyDiv w:val="1"/>
      <w:marLeft w:val="0"/>
      <w:marRight w:val="0"/>
      <w:marTop w:val="0"/>
      <w:marBottom w:val="0"/>
      <w:divBdr>
        <w:top w:val="none" w:sz="0" w:space="0" w:color="auto"/>
        <w:left w:val="none" w:sz="0" w:space="0" w:color="auto"/>
        <w:bottom w:val="none" w:sz="0" w:space="0" w:color="auto"/>
        <w:right w:val="none" w:sz="0" w:space="0" w:color="auto"/>
      </w:divBdr>
    </w:div>
    <w:div w:id="1841038498">
      <w:bodyDiv w:val="1"/>
      <w:marLeft w:val="0"/>
      <w:marRight w:val="0"/>
      <w:marTop w:val="0"/>
      <w:marBottom w:val="0"/>
      <w:divBdr>
        <w:top w:val="none" w:sz="0" w:space="0" w:color="auto"/>
        <w:left w:val="none" w:sz="0" w:space="0" w:color="auto"/>
        <w:bottom w:val="none" w:sz="0" w:space="0" w:color="auto"/>
        <w:right w:val="none" w:sz="0" w:space="0" w:color="auto"/>
      </w:divBdr>
    </w:div>
    <w:div w:id="1850287295">
      <w:bodyDiv w:val="1"/>
      <w:marLeft w:val="0"/>
      <w:marRight w:val="0"/>
      <w:marTop w:val="0"/>
      <w:marBottom w:val="0"/>
      <w:divBdr>
        <w:top w:val="none" w:sz="0" w:space="0" w:color="auto"/>
        <w:left w:val="none" w:sz="0" w:space="0" w:color="auto"/>
        <w:bottom w:val="none" w:sz="0" w:space="0" w:color="auto"/>
        <w:right w:val="none" w:sz="0" w:space="0" w:color="auto"/>
      </w:divBdr>
    </w:div>
    <w:div w:id="1854152824">
      <w:bodyDiv w:val="1"/>
      <w:marLeft w:val="0"/>
      <w:marRight w:val="0"/>
      <w:marTop w:val="0"/>
      <w:marBottom w:val="0"/>
      <w:divBdr>
        <w:top w:val="none" w:sz="0" w:space="0" w:color="auto"/>
        <w:left w:val="none" w:sz="0" w:space="0" w:color="auto"/>
        <w:bottom w:val="none" w:sz="0" w:space="0" w:color="auto"/>
        <w:right w:val="none" w:sz="0" w:space="0" w:color="auto"/>
      </w:divBdr>
    </w:div>
    <w:div w:id="1879320782">
      <w:bodyDiv w:val="1"/>
      <w:marLeft w:val="0"/>
      <w:marRight w:val="0"/>
      <w:marTop w:val="0"/>
      <w:marBottom w:val="0"/>
      <w:divBdr>
        <w:top w:val="none" w:sz="0" w:space="0" w:color="auto"/>
        <w:left w:val="none" w:sz="0" w:space="0" w:color="auto"/>
        <w:bottom w:val="none" w:sz="0" w:space="0" w:color="auto"/>
        <w:right w:val="none" w:sz="0" w:space="0" w:color="auto"/>
      </w:divBdr>
    </w:div>
    <w:div w:id="1882784947">
      <w:bodyDiv w:val="1"/>
      <w:marLeft w:val="0"/>
      <w:marRight w:val="0"/>
      <w:marTop w:val="0"/>
      <w:marBottom w:val="0"/>
      <w:divBdr>
        <w:top w:val="none" w:sz="0" w:space="0" w:color="auto"/>
        <w:left w:val="none" w:sz="0" w:space="0" w:color="auto"/>
        <w:bottom w:val="none" w:sz="0" w:space="0" w:color="auto"/>
        <w:right w:val="none" w:sz="0" w:space="0" w:color="auto"/>
      </w:divBdr>
    </w:div>
    <w:div w:id="1885436065">
      <w:bodyDiv w:val="1"/>
      <w:marLeft w:val="0"/>
      <w:marRight w:val="0"/>
      <w:marTop w:val="0"/>
      <w:marBottom w:val="0"/>
      <w:divBdr>
        <w:top w:val="none" w:sz="0" w:space="0" w:color="auto"/>
        <w:left w:val="none" w:sz="0" w:space="0" w:color="auto"/>
        <w:bottom w:val="none" w:sz="0" w:space="0" w:color="auto"/>
        <w:right w:val="none" w:sz="0" w:space="0" w:color="auto"/>
      </w:divBdr>
      <w:divsChild>
        <w:div w:id="113254090">
          <w:marLeft w:val="446"/>
          <w:marRight w:val="0"/>
          <w:marTop w:val="0"/>
          <w:marBottom w:val="120"/>
          <w:divBdr>
            <w:top w:val="none" w:sz="0" w:space="0" w:color="auto"/>
            <w:left w:val="none" w:sz="0" w:space="0" w:color="auto"/>
            <w:bottom w:val="none" w:sz="0" w:space="0" w:color="auto"/>
            <w:right w:val="none" w:sz="0" w:space="0" w:color="auto"/>
          </w:divBdr>
        </w:div>
        <w:div w:id="1013610926">
          <w:marLeft w:val="446"/>
          <w:marRight w:val="0"/>
          <w:marTop w:val="0"/>
          <w:marBottom w:val="120"/>
          <w:divBdr>
            <w:top w:val="none" w:sz="0" w:space="0" w:color="auto"/>
            <w:left w:val="none" w:sz="0" w:space="0" w:color="auto"/>
            <w:bottom w:val="none" w:sz="0" w:space="0" w:color="auto"/>
            <w:right w:val="none" w:sz="0" w:space="0" w:color="auto"/>
          </w:divBdr>
        </w:div>
        <w:div w:id="626618844">
          <w:marLeft w:val="446"/>
          <w:marRight w:val="0"/>
          <w:marTop w:val="0"/>
          <w:marBottom w:val="120"/>
          <w:divBdr>
            <w:top w:val="none" w:sz="0" w:space="0" w:color="auto"/>
            <w:left w:val="none" w:sz="0" w:space="0" w:color="auto"/>
            <w:bottom w:val="none" w:sz="0" w:space="0" w:color="auto"/>
            <w:right w:val="none" w:sz="0" w:space="0" w:color="auto"/>
          </w:divBdr>
        </w:div>
        <w:div w:id="1066757267">
          <w:marLeft w:val="446"/>
          <w:marRight w:val="0"/>
          <w:marTop w:val="0"/>
          <w:marBottom w:val="120"/>
          <w:divBdr>
            <w:top w:val="none" w:sz="0" w:space="0" w:color="auto"/>
            <w:left w:val="none" w:sz="0" w:space="0" w:color="auto"/>
            <w:bottom w:val="none" w:sz="0" w:space="0" w:color="auto"/>
            <w:right w:val="none" w:sz="0" w:space="0" w:color="auto"/>
          </w:divBdr>
        </w:div>
        <w:div w:id="175506938">
          <w:marLeft w:val="446"/>
          <w:marRight w:val="0"/>
          <w:marTop w:val="0"/>
          <w:marBottom w:val="120"/>
          <w:divBdr>
            <w:top w:val="none" w:sz="0" w:space="0" w:color="auto"/>
            <w:left w:val="none" w:sz="0" w:space="0" w:color="auto"/>
            <w:bottom w:val="none" w:sz="0" w:space="0" w:color="auto"/>
            <w:right w:val="none" w:sz="0" w:space="0" w:color="auto"/>
          </w:divBdr>
        </w:div>
        <w:div w:id="1417825265">
          <w:marLeft w:val="446"/>
          <w:marRight w:val="0"/>
          <w:marTop w:val="0"/>
          <w:marBottom w:val="120"/>
          <w:divBdr>
            <w:top w:val="none" w:sz="0" w:space="0" w:color="auto"/>
            <w:left w:val="none" w:sz="0" w:space="0" w:color="auto"/>
            <w:bottom w:val="none" w:sz="0" w:space="0" w:color="auto"/>
            <w:right w:val="none" w:sz="0" w:space="0" w:color="auto"/>
          </w:divBdr>
        </w:div>
        <w:div w:id="313530900">
          <w:marLeft w:val="1166"/>
          <w:marRight w:val="0"/>
          <w:marTop w:val="0"/>
          <w:marBottom w:val="120"/>
          <w:divBdr>
            <w:top w:val="none" w:sz="0" w:space="0" w:color="auto"/>
            <w:left w:val="none" w:sz="0" w:space="0" w:color="auto"/>
            <w:bottom w:val="none" w:sz="0" w:space="0" w:color="auto"/>
            <w:right w:val="none" w:sz="0" w:space="0" w:color="auto"/>
          </w:divBdr>
        </w:div>
        <w:div w:id="1784765216">
          <w:marLeft w:val="1166"/>
          <w:marRight w:val="0"/>
          <w:marTop w:val="0"/>
          <w:marBottom w:val="120"/>
          <w:divBdr>
            <w:top w:val="none" w:sz="0" w:space="0" w:color="auto"/>
            <w:left w:val="none" w:sz="0" w:space="0" w:color="auto"/>
            <w:bottom w:val="none" w:sz="0" w:space="0" w:color="auto"/>
            <w:right w:val="none" w:sz="0" w:space="0" w:color="auto"/>
          </w:divBdr>
        </w:div>
        <w:div w:id="430708357">
          <w:marLeft w:val="446"/>
          <w:marRight w:val="0"/>
          <w:marTop w:val="0"/>
          <w:marBottom w:val="120"/>
          <w:divBdr>
            <w:top w:val="none" w:sz="0" w:space="0" w:color="auto"/>
            <w:left w:val="none" w:sz="0" w:space="0" w:color="auto"/>
            <w:bottom w:val="none" w:sz="0" w:space="0" w:color="auto"/>
            <w:right w:val="none" w:sz="0" w:space="0" w:color="auto"/>
          </w:divBdr>
        </w:div>
      </w:divsChild>
    </w:div>
    <w:div w:id="1891376069">
      <w:bodyDiv w:val="1"/>
      <w:marLeft w:val="0"/>
      <w:marRight w:val="0"/>
      <w:marTop w:val="0"/>
      <w:marBottom w:val="0"/>
      <w:divBdr>
        <w:top w:val="none" w:sz="0" w:space="0" w:color="auto"/>
        <w:left w:val="none" w:sz="0" w:space="0" w:color="auto"/>
        <w:bottom w:val="none" w:sz="0" w:space="0" w:color="auto"/>
        <w:right w:val="none" w:sz="0" w:space="0" w:color="auto"/>
      </w:divBdr>
    </w:div>
    <w:div w:id="1904368975">
      <w:bodyDiv w:val="1"/>
      <w:marLeft w:val="0"/>
      <w:marRight w:val="0"/>
      <w:marTop w:val="0"/>
      <w:marBottom w:val="0"/>
      <w:divBdr>
        <w:top w:val="none" w:sz="0" w:space="0" w:color="auto"/>
        <w:left w:val="none" w:sz="0" w:space="0" w:color="auto"/>
        <w:bottom w:val="none" w:sz="0" w:space="0" w:color="auto"/>
        <w:right w:val="none" w:sz="0" w:space="0" w:color="auto"/>
      </w:divBdr>
    </w:div>
    <w:div w:id="1911964794">
      <w:bodyDiv w:val="1"/>
      <w:marLeft w:val="0"/>
      <w:marRight w:val="0"/>
      <w:marTop w:val="0"/>
      <w:marBottom w:val="0"/>
      <w:divBdr>
        <w:top w:val="none" w:sz="0" w:space="0" w:color="auto"/>
        <w:left w:val="none" w:sz="0" w:space="0" w:color="auto"/>
        <w:bottom w:val="none" w:sz="0" w:space="0" w:color="auto"/>
        <w:right w:val="none" w:sz="0" w:space="0" w:color="auto"/>
      </w:divBdr>
    </w:div>
    <w:div w:id="1917812735">
      <w:bodyDiv w:val="1"/>
      <w:marLeft w:val="0"/>
      <w:marRight w:val="0"/>
      <w:marTop w:val="0"/>
      <w:marBottom w:val="0"/>
      <w:divBdr>
        <w:top w:val="none" w:sz="0" w:space="0" w:color="auto"/>
        <w:left w:val="none" w:sz="0" w:space="0" w:color="auto"/>
        <w:bottom w:val="none" w:sz="0" w:space="0" w:color="auto"/>
        <w:right w:val="none" w:sz="0" w:space="0" w:color="auto"/>
      </w:divBdr>
    </w:div>
    <w:div w:id="1956984768">
      <w:bodyDiv w:val="1"/>
      <w:marLeft w:val="0"/>
      <w:marRight w:val="0"/>
      <w:marTop w:val="0"/>
      <w:marBottom w:val="0"/>
      <w:divBdr>
        <w:top w:val="none" w:sz="0" w:space="0" w:color="auto"/>
        <w:left w:val="none" w:sz="0" w:space="0" w:color="auto"/>
        <w:bottom w:val="none" w:sz="0" w:space="0" w:color="auto"/>
        <w:right w:val="none" w:sz="0" w:space="0" w:color="auto"/>
      </w:divBdr>
      <w:divsChild>
        <w:div w:id="316155607">
          <w:marLeft w:val="331"/>
          <w:marRight w:val="0"/>
          <w:marTop w:val="0"/>
          <w:marBottom w:val="120"/>
          <w:divBdr>
            <w:top w:val="none" w:sz="0" w:space="0" w:color="auto"/>
            <w:left w:val="none" w:sz="0" w:space="0" w:color="auto"/>
            <w:bottom w:val="none" w:sz="0" w:space="0" w:color="auto"/>
            <w:right w:val="none" w:sz="0" w:space="0" w:color="auto"/>
          </w:divBdr>
        </w:div>
        <w:div w:id="1436708028">
          <w:marLeft w:val="331"/>
          <w:marRight w:val="0"/>
          <w:marTop w:val="0"/>
          <w:marBottom w:val="120"/>
          <w:divBdr>
            <w:top w:val="none" w:sz="0" w:space="0" w:color="auto"/>
            <w:left w:val="none" w:sz="0" w:space="0" w:color="auto"/>
            <w:bottom w:val="none" w:sz="0" w:space="0" w:color="auto"/>
            <w:right w:val="none" w:sz="0" w:space="0" w:color="auto"/>
          </w:divBdr>
        </w:div>
        <w:div w:id="1675955094">
          <w:marLeft w:val="331"/>
          <w:marRight w:val="0"/>
          <w:marTop w:val="0"/>
          <w:marBottom w:val="120"/>
          <w:divBdr>
            <w:top w:val="none" w:sz="0" w:space="0" w:color="auto"/>
            <w:left w:val="none" w:sz="0" w:space="0" w:color="auto"/>
            <w:bottom w:val="none" w:sz="0" w:space="0" w:color="auto"/>
            <w:right w:val="none" w:sz="0" w:space="0" w:color="auto"/>
          </w:divBdr>
        </w:div>
        <w:div w:id="1710952172">
          <w:marLeft w:val="331"/>
          <w:marRight w:val="0"/>
          <w:marTop w:val="0"/>
          <w:marBottom w:val="120"/>
          <w:divBdr>
            <w:top w:val="none" w:sz="0" w:space="0" w:color="auto"/>
            <w:left w:val="none" w:sz="0" w:space="0" w:color="auto"/>
            <w:bottom w:val="none" w:sz="0" w:space="0" w:color="auto"/>
            <w:right w:val="none" w:sz="0" w:space="0" w:color="auto"/>
          </w:divBdr>
        </w:div>
      </w:divsChild>
    </w:div>
    <w:div w:id="1957322509">
      <w:bodyDiv w:val="1"/>
      <w:marLeft w:val="0"/>
      <w:marRight w:val="0"/>
      <w:marTop w:val="0"/>
      <w:marBottom w:val="0"/>
      <w:divBdr>
        <w:top w:val="none" w:sz="0" w:space="0" w:color="auto"/>
        <w:left w:val="none" w:sz="0" w:space="0" w:color="auto"/>
        <w:bottom w:val="none" w:sz="0" w:space="0" w:color="auto"/>
        <w:right w:val="none" w:sz="0" w:space="0" w:color="auto"/>
      </w:divBdr>
    </w:div>
    <w:div w:id="1958951484">
      <w:bodyDiv w:val="1"/>
      <w:marLeft w:val="0"/>
      <w:marRight w:val="0"/>
      <w:marTop w:val="0"/>
      <w:marBottom w:val="0"/>
      <w:divBdr>
        <w:top w:val="none" w:sz="0" w:space="0" w:color="auto"/>
        <w:left w:val="none" w:sz="0" w:space="0" w:color="auto"/>
        <w:bottom w:val="none" w:sz="0" w:space="0" w:color="auto"/>
        <w:right w:val="none" w:sz="0" w:space="0" w:color="auto"/>
      </w:divBdr>
    </w:div>
    <w:div w:id="1965308540">
      <w:bodyDiv w:val="1"/>
      <w:marLeft w:val="0"/>
      <w:marRight w:val="0"/>
      <w:marTop w:val="0"/>
      <w:marBottom w:val="0"/>
      <w:divBdr>
        <w:top w:val="none" w:sz="0" w:space="0" w:color="auto"/>
        <w:left w:val="none" w:sz="0" w:space="0" w:color="auto"/>
        <w:bottom w:val="none" w:sz="0" w:space="0" w:color="auto"/>
        <w:right w:val="none" w:sz="0" w:space="0" w:color="auto"/>
      </w:divBdr>
    </w:div>
    <w:div w:id="1978874923">
      <w:bodyDiv w:val="1"/>
      <w:marLeft w:val="0"/>
      <w:marRight w:val="0"/>
      <w:marTop w:val="0"/>
      <w:marBottom w:val="0"/>
      <w:divBdr>
        <w:top w:val="none" w:sz="0" w:space="0" w:color="auto"/>
        <w:left w:val="none" w:sz="0" w:space="0" w:color="auto"/>
        <w:bottom w:val="none" w:sz="0" w:space="0" w:color="auto"/>
        <w:right w:val="none" w:sz="0" w:space="0" w:color="auto"/>
      </w:divBdr>
    </w:div>
    <w:div w:id="1979458028">
      <w:bodyDiv w:val="1"/>
      <w:marLeft w:val="0"/>
      <w:marRight w:val="0"/>
      <w:marTop w:val="0"/>
      <w:marBottom w:val="0"/>
      <w:divBdr>
        <w:top w:val="none" w:sz="0" w:space="0" w:color="auto"/>
        <w:left w:val="none" w:sz="0" w:space="0" w:color="auto"/>
        <w:bottom w:val="none" w:sz="0" w:space="0" w:color="auto"/>
        <w:right w:val="none" w:sz="0" w:space="0" w:color="auto"/>
      </w:divBdr>
    </w:div>
    <w:div w:id="1982882075">
      <w:bodyDiv w:val="1"/>
      <w:marLeft w:val="0"/>
      <w:marRight w:val="0"/>
      <w:marTop w:val="0"/>
      <w:marBottom w:val="0"/>
      <w:divBdr>
        <w:top w:val="none" w:sz="0" w:space="0" w:color="auto"/>
        <w:left w:val="none" w:sz="0" w:space="0" w:color="auto"/>
        <w:bottom w:val="none" w:sz="0" w:space="0" w:color="auto"/>
        <w:right w:val="none" w:sz="0" w:space="0" w:color="auto"/>
      </w:divBdr>
    </w:div>
    <w:div w:id="1989286212">
      <w:bodyDiv w:val="1"/>
      <w:marLeft w:val="0"/>
      <w:marRight w:val="0"/>
      <w:marTop w:val="0"/>
      <w:marBottom w:val="0"/>
      <w:divBdr>
        <w:top w:val="none" w:sz="0" w:space="0" w:color="auto"/>
        <w:left w:val="none" w:sz="0" w:space="0" w:color="auto"/>
        <w:bottom w:val="none" w:sz="0" w:space="0" w:color="auto"/>
        <w:right w:val="none" w:sz="0" w:space="0" w:color="auto"/>
      </w:divBdr>
      <w:divsChild>
        <w:div w:id="980158838">
          <w:marLeft w:val="331"/>
          <w:marRight w:val="0"/>
          <w:marTop w:val="0"/>
          <w:marBottom w:val="120"/>
          <w:divBdr>
            <w:top w:val="none" w:sz="0" w:space="0" w:color="auto"/>
            <w:left w:val="none" w:sz="0" w:space="0" w:color="auto"/>
            <w:bottom w:val="none" w:sz="0" w:space="0" w:color="auto"/>
            <w:right w:val="none" w:sz="0" w:space="0" w:color="auto"/>
          </w:divBdr>
        </w:div>
        <w:div w:id="1092051620">
          <w:marLeft w:val="331"/>
          <w:marRight w:val="0"/>
          <w:marTop w:val="0"/>
          <w:marBottom w:val="120"/>
          <w:divBdr>
            <w:top w:val="none" w:sz="0" w:space="0" w:color="auto"/>
            <w:left w:val="none" w:sz="0" w:space="0" w:color="auto"/>
            <w:bottom w:val="none" w:sz="0" w:space="0" w:color="auto"/>
            <w:right w:val="none" w:sz="0" w:space="0" w:color="auto"/>
          </w:divBdr>
        </w:div>
        <w:div w:id="1100876900">
          <w:marLeft w:val="331"/>
          <w:marRight w:val="0"/>
          <w:marTop w:val="0"/>
          <w:marBottom w:val="120"/>
          <w:divBdr>
            <w:top w:val="none" w:sz="0" w:space="0" w:color="auto"/>
            <w:left w:val="none" w:sz="0" w:space="0" w:color="auto"/>
            <w:bottom w:val="none" w:sz="0" w:space="0" w:color="auto"/>
            <w:right w:val="none" w:sz="0" w:space="0" w:color="auto"/>
          </w:divBdr>
        </w:div>
      </w:divsChild>
    </w:div>
    <w:div w:id="1990017922">
      <w:bodyDiv w:val="1"/>
      <w:marLeft w:val="0"/>
      <w:marRight w:val="0"/>
      <w:marTop w:val="0"/>
      <w:marBottom w:val="0"/>
      <w:divBdr>
        <w:top w:val="none" w:sz="0" w:space="0" w:color="auto"/>
        <w:left w:val="none" w:sz="0" w:space="0" w:color="auto"/>
        <w:bottom w:val="none" w:sz="0" w:space="0" w:color="auto"/>
        <w:right w:val="none" w:sz="0" w:space="0" w:color="auto"/>
      </w:divBdr>
    </w:div>
    <w:div w:id="1992437765">
      <w:bodyDiv w:val="1"/>
      <w:marLeft w:val="0"/>
      <w:marRight w:val="0"/>
      <w:marTop w:val="0"/>
      <w:marBottom w:val="0"/>
      <w:divBdr>
        <w:top w:val="none" w:sz="0" w:space="0" w:color="auto"/>
        <w:left w:val="none" w:sz="0" w:space="0" w:color="auto"/>
        <w:bottom w:val="none" w:sz="0" w:space="0" w:color="auto"/>
        <w:right w:val="none" w:sz="0" w:space="0" w:color="auto"/>
      </w:divBdr>
    </w:div>
    <w:div w:id="2001275162">
      <w:bodyDiv w:val="1"/>
      <w:marLeft w:val="0"/>
      <w:marRight w:val="0"/>
      <w:marTop w:val="0"/>
      <w:marBottom w:val="0"/>
      <w:divBdr>
        <w:top w:val="none" w:sz="0" w:space="0" w:color="auto"/>
        <w:left w:val="none" w:sz="0" w:space="0" w:color="auto"/>
        <w:bottom w:val="none" w:sz="0" w:space="0" w:color="auto"/>
        <w:right w:val="none" w:sz="0" w:space="0" w:color="auto"/>
      </w:divBdr>
    </w:div>
    <w:div w:id="2008242944">
      <w:bodyDiv w:val="1"/>
      <w:marLeft w:val="0"/>
      <w:marRight w:val="0"/>
      <w:marTop w:val="0"/>
      <w:marBottom w:val="0"/>
      <w:divBdr>
        <w:top w:val="none" w:sz="0" w:space="0" w:color="auto"/>
        <w:left w:val="none" w:sz="0" w:space="0" w:color="auto"/>
        <w:bottom w:val="none" w:sz="0" w:space="0" w:color="auto"/>
        <w:right w:val="none" w:sz="0" w:space="0" w:color="auto"/>
      </w:divBdr>
    </w:div>
    <w:div w:id="2008358848">
      <w:bodyDiv w:val="1"/>
      <w:marLeft w:val="0"/>
      <w:marRight w:val="0"/>
      <w:marTop w:val="0"/>
      <w:marBottom w:val="0"/>
      <w:divBdr>
        <w:top w:val="none" w:sz="0" w:space="0" w:color="auto"/>
        <w:left w:val="none" w:sz="0" w:space="0" w:color="auto"/>
        <w:bottom w:val="none" w:sz="0" w:space="0" w:color="auto"/>
        <w:right w:val="none" w:sz="0" w:space="0" w:color="auto"/>
      </w:divBdr>
    </w:div>
    <w:div w:id="2012563423">
      <w:bodyDiv w:val="1"/>
      <w:marLeft w:val="0"/>
      <w:marRight w:val="0"/>
      <w:marTop w:val="0"/>
      <w:marBottom w:val="0"/>
      <w:divBdr>
        <w:top w:val="none" w:sz="0" w:space="0" w:color="auto"/>
        <w:left w:val="none" w:sz="0" w:space="0" w:color="auto"/>
        <w:bottom w:val="none" w:sz="0" w:space="0" w:color="auto"/>
        <w:right w:val="none" w:sz="0" w:space="0" w:color="auto"/>
      </w:divBdr>
    </w:div>
    <w:div w:id="2020043135">
      <w:bodyDiv w:val="1"/>
      <w:marLeft w:val="0"/>
      <w:marRight w:val="0"/>
      <w:marTop w:val="0"/>
      <w:marBottom w:val="0"/>
      <w:divBdr>
        <w:top w:val="none" w:sz="0" w:space="0" w:color="auto"/>
        <w:left w:val="none" w:sz="0" w:space="0" w:color="auto"/>
        <w:bottom w:val="none" w:sz="0" w:space="0" w:color="auto"/>
        <w:right w:val="none" w:sz="0" w:space="0" w:color="auto"/>
      </w:divBdr>
    </w:div>
    <w:div w:id="2025478966">
      <w:bodyDiv w:val="1"/>
      <w:marLeft w:val="0"/>
      <w:marRight w:val="0"/>
      <w:marTop w:val="0"/>
      <w:marBottom w:val="0"/>
      <w:divBdr>
        <w:top w:val="none" w:sz="0" w:space="0" w:color="auto"/>
        <w:left w:val="none" w:sz="0" w:space="0" w:color="auto"/>
        <w:bottom w:val="none" w:sz="0" w:space="0" w:color="auto"/>
        <w:right w:val="none" w:sz="0" w:space="0" w:color="auto"/>
      </w:divBdr>
    </w:div>
    <w:div w:id="2030567933">
      <w:bodyDiv w:val="1"/>
      <w:marLeft w:val="0"/>
      <w:marRight w:val="0"/>
      <w:marTop w:val="0"/>
      <w:marBottom w:val="0"/>
      <w:divBdr>
        <w:top w:val="none" w:sz="0" w:space="0" w:color="auto"/>
        <w:left w:val="none" w:sz="0" w:space="0" w:color="auto"/>
        <w:bottom w:val="none" w:sz="0" w:space="0" w:color="auto"/>
        <w:right w:val="none" w:sz="0" w:space="0" w:color="auto"/>
      </w:divBdr>
    </w:div>
    <w:div w:id="2038240798">
      <w:bodyDiv w:val="1"/>
      <w:marLeft w:val="0"/>
      <w:marRight w:val="0"/>
      <w:marTop w:val="0"/>
      <w:marBottom w:val="0"/>
      <w:divBdr>
        <w:top w:val="none" w:sz="0" w:space="0" w:color="auto"/>
        <w:left w:val="none" w:sz="0" w:space="0" w:color="auto"/>
        <w:bottom w:val="none" w:sz="0" w:space="0" w:color="auto"/>
        <w:right w:val="none" w:sz="0" w:space="0" w:color="auto"/>
      </w:divBdr>
    </w:div>
    <w:div w:id="2042970061">
      <w:bodyDiv w:val="1"/>
      <w:marLeft w:val="0"/>
      <w:marRight w:val="0"/>
      <w:marTop w:val="0"/>
      <w:marBottom w:val="0"/>
      <w:divBdr>
        <w:top w:val="none" w:sz="0" w:space="0" w:color="auto"/>
        <w:left w:val="none" w:sz="0" w:space="0" w:color="auto"/>
        <w:bottom w:val="none" w:sz="0" w:space="0" w:color="auto"/>
        <w:right w:val="none" w:sz="0" w:space="0" w:color="auto"/>
      </w:divBdr>
    </w:div>
    <w:div w:id="2043357033">
      <w:bodyDiv w:val="1"/>
      <w:marLeft w:val="0"/>
      <w:marRight w:val="0"/>
      <w:marTop w:val="0"/>
      <w:marBottom w:val="0"/>
      <w:divBdr>
        <w:top w:val="none" w:sz="0" w:space="0" w:color="auto"/>
        <w:left w:val="none" w:sz="0" w:space="0" w:color="auto"/>
        <w:bottom w:val="none" w:sz="0" w:space="0" w:color="auto"/>
        <w:right w:val="none" w:sz="0" w:space="0" w:color="auto"/>
      </w:divBdr>
    </w:div>
    <w:div w:id="2045322475">
      <w:bodyDiv w:val="1"/>
      <w:marLeft w:val="0"/>
      <w:marRight w:val="0"/>
      <w:marTop w:val="0"/>
      <w:marBottom w:val="0"/>
      <w:divBdr>
        <w:top w:val="none" w:sz="0" w:space="0" w:color="auto"/>
        <w:left w:val="none" w:sz="0" w:space="0" w:color="auto"/>
        <w:bottom w:val="none" w:sz="0" w:space="0" w:color="auto"/>
        <w:right w:val="none" w:sz="0" w:space="0" w:color="auto"/>
      </w:divBdr>
      <w:divsChild>
        <w:div w:id="257638230">
          <w:marLeft w:val="274"/>
          <w:marRight w:val="0"/>
          <w:marTop w:val="0"/>
          <w:marBottom w:val="0"/>
          <w:divBdr>
            <w:top w:val="none" w:sz="0" w:space="0" w:color="auto"/>
            <w:left w:val="none" w:sz="0" w:space="0" w:color="auto"/>
            <w:bottom w:val="none" w:sz="0" w:space="0" w:color="auto"/>
            <w:right w:val="none" w:sz="0" w:space="0" w:color="auto"/>
          </w:divBdr>
        </w:div>
        <w:div w:id="117189185">
          <w:marLeft w:val="274"/>
          <w:marRight w:val="0"/>
          <w:marTop w:val="0"/>
          <w:marBottom w:val="0"/>
          <w:divBdr>
            <w:top w:val="none" w:sz="0" w:space="0" w:color="auto"/>
            <w:left w:val="none" w:sz="0" w:space="0" w:color="auto"/>
            <w:bottom w:val="none" w:sz="0" w:space="0" w:color="auto"/>
            <w:right w:val="none" w:sz="0" w:space="0" w:color="auto"/>
          </w:divBdr>
        </w:div>
        <w:div w:id="988560942">
          <w:marLeft w:val="274"/>
          <w:marRight w:val="0"/>
          <w:marTop w:val="0"/>
          <w:marBottom w:val="0"/>
          <w:divBdr>
            <w:top w:val="none" w:sz="0" w:space="0" w:color="auto"/>
            <w:left w:val="none" w:sz="0" w:space="0" w:color="auto"/>
            <w:bottom w:val="none" w:sz="0" w:space="0" w:color="auto"/>
            <w:right w:val="none" w:sz="0" w:space="0" w:color="auto"/>
          </w:divBdr>
        </w:div>
      </w:divsChild>
    </w:div>
    <w:div w:id="2049453578">
      <w:bodyDiv w:val="1"/>
      <w:marLeft w:val="0"/>
      <w:marRight w:val="0"/>
      <w:marTop w:val="0"/>
      <w:marBottom w:val="0"/>
      <w:divBdr>
        <w:top w:val="none" w:sz="0" w:space="0" w:color="auto"/>
        <w:left w:val="none" w:sz="0" w:space="0" w:color="auto"/>
        <w:bottom w:val="none" w:sz="0" w:space="0" w:color="auto"/>
        <w:right w:val="none" w:sz="0" w:space="0" w:color="auto"/>
      </w:divBdr>
    </w:div>
    <w:div w:id="2049522324">
      <w:bodyDiv w:val="1"/>
      <w:marLeft w:val="0"/>
      <w:marRight w:val="0"/>
      <w:marTop w:val="0"/>
      <w:marBottom w:val="0"/>
      <w:divBdr>
        <w:top w:val="none" w:sz="0" w:space="0" w:color="auto"/>
        <w:left w:val="none" w:sz="0" w:space="0" w:color="auto"/>
        <w:bottom w:val="none" w:sz="0" w:space="0" w:color="auto"/>
        <w:right w:val="none" w:sz="0" w:space="0" w:color="auto"/>
      </w:divBdr>
    </w:div>
    <w:div w:id="2080782778">
      <w:bodyDiv w:val="1"/>
      <w:marLeft w:val="0"/>
      <w:marRight w:val="0"/>
      <w:marTop w:val="0"/>
      <w:marBottom w:val="0"/>
      <w:divBdr>
        <w:top w:val="none" w:sz="0" w:space="0" w:color="auto"/>
        <w:left w:val="none" w:sz="0" w:space="0" w:color="auto"/>
        <w:bottom w:val="none" w:sz="0" w:space="0" w:color="auto"/>
        <w:right w:val="none" w:sz="0" w:space="0" w:color="auto"/>
      </w:divBdr>
      <w:divsChild>
        <w:div w:id="836194855">
          <w:marLeft w:val="547"/>
          <w:marRight w:val="0"/>
          <w:marTop w:val="86"/>
          <w:marBottom w:val="0"/>
          <w:divBdr>
            <w:top w:val="none" w:sz="0" w:space="0" w:color="auto"/>
            <w:left w:val="none" w:sz="0" w:space="0" w:color="auto"/>
            <w:bottom w:val="none" w:sz="0" w:space="0" w:color="auto"/>
            <w:right w:val="none" w:sz="0" w:space="0" w:color="auto"/>
          </w:divBdr>
        </w:div>
        <w:div w:id="250050262">
          <w:marLeft w:val="547"/>
          <w:marRight w:val="0"/>
          <w:marTop w:val="86"/>
          <w:marBottom w:val="0"/>
          <w:divBdr>
            <w:top w:val="none" w:sz="0" w:space="0" w:color="auto"/>
            <w:left w:val="none" w:sz="0" w:space="0" w:color="auto"/>
            <w:bottom w:val="none" w:sz="0" w:space="0" w:color="auto"/>
            <w:right w:val="none" w:sz="0" w:space="0" w:color="auto"/>
          </w:divBdr>
        </w:div>
        <w:div w:id="1659336819">
          <w:marLeft w:val="1166"/>
          <w:marRight w:val="0"/>
          <w:marTop w:val="86"/>
          <w:marBottom w:val="0"/>
          <w:divBdr>
            <w:top w:val="none" w:sz="0" w:space="0" w:color="auto"/>
            <w:left w:val="none" w:sz="0" w:space="0" w:color="auto"/>
            <w:bottom w:val="none" w:sz="0" w:space="0" w:color="auto"/>
            <w:right w:val="none" w:sz="0" w:space="0" w:color="auto"/>
          </w:divBdr>
        </w:div>
        <w:div w:id="1956523543">
          <w:marLeft w:val="1166"/>
          <w:marRight w:val="0"/>
          <w:marTop w:val="86"/>
          <w:marBottom w:val="0"/>
          <w:divBdr>
            <w:top w:val="none" w:sz="0" w:space="0" w:color="auto"/>
            <w:left w:val="none" w:sz="0" w:space="0" w:color="auto"/>
            <w:bottom w:val="none" w:sz="0" w:space="0" w:color="auto"/>
            <w:right w:val="none" w:sz="0" w:space="0" w:color="auto"/>
          </w:divBdr>
        </w:div>
        <w:div w:id="1850606672">
          <w:marLeft w:val="1166"/>
          <w:marRight w:val="0"/>
          <w:marTop w:val="86"/>
          <w:marBottom w:val="0"/>
          <w:divBdr>
            <w:top w:val="none" w:sz="0" w:space="0" w:color="auto"/>
            <w:left w:val="none" w:sz="0" w:space="0" w:color="auto"/>
            <w:bottom w:val="none" w:sz="0" w:space="0" w:color="auto"/>
            <w:right w:val="none" w:sz="0" w:space="0" w:color="auto"/>
          </w:divBdr>
        </w:div>
        <w:div w:id="337588334">
          <w:marLeft w:val="1166"/>
          <w:marRight w:val="0"/>
          <w:marTop w:val="86"/>
          <w:marBottom w:val="0"/>
          <w:divBdr>
            <w:top w:val="none" w:sz="0" w:space="0" w:color="auto"/>
            <w:left w:val="none" w:sz="0" w:space="0" w:color="auto"/>
            <w:bottom w:val="none" w:sz="0" w:space="0" w:color="auto"/>
            <w:right w:val="none" w:sz="0" w:space="0" w:color="auto"/>
          </w:divBdr>
        </w:div>
        <w:div w:id="1767194306">
          <w:marLeft w:val="1166"/>
          <w:marRight w:val="0"/>
          <w:marTop w:val="86"/>
          <w:marBottom w:val="0"/>
          <w:divBdr>
            <w:top w:val="none" w:sz="0" w:space="0" w:color="auto"/>
            <w:left w:val="none" w:sz="0" w:space="0" w:color="auto"/>
            <w:bottom w:val="none" w:sz="0" w:space="0" w:color="auto"/>
            <w:right w:val="none" w:sz="0" w:space="0" w:color="auto"/>
          </w:divBdr>
        </w:div>
        <w:div w:id="159542374">
          <w:marLeft w:val="1166"/>
          <w:marRight w:val="0"/>
          <w:marTop w:val="86"/>
          <w:marBottom w:val="0"/>
          <w:divBdr>
            <w:top w:val="none" w:sz="0" w:space="0" w:color="auto"/>
            <w:left w:val="none" w:sz="0" w:space="0" w:color="auto"/>
            <w:bottom w:val="none" w:sz="0" w:space="0" w:color="auto"/>
            <w:right w:val="none" w:sz="0" w:space="0" w:color="auto"/>
          </w:divBdr>
        </w:div>
        <w:div w:id="1457142432">
          <w:marLeft w:val="1166"/>
          <w:marRight w:val="0"/>
          <w:marTop w:val="86"/>
          <w:marBottom w:val="0"/>
          <w:divBdr>
            <w:top w:val="none" w:sz="0" w:space="0" w:color="auto"/>
            <w:left w:val="none" w:sz="0" w:space="0" w:color="auto"/>
            <w:bottom w:val="none" w:sz="0" w:space="0" w:color="auto"/>
            <w:right w:val="none" w:sz="0" w:space="0" w:color="auto"/>
          </w:divBdr>
        </w:div>
        <w:div w:id="1348365207">
          <w:marLeft w:val="1166"/>
          <w:marRight w:val="0"/>
          <w:marTop w:val="86"/>
          <w:marBottom w:val="0"/>
          <w:divBdr>
            <w:top w:val="none" w:sz="0" w:space="0" w:color="auto"/>
            <w:left w:val="none" w:sz="0" w:space="0" w:color="auto"/>
            <w:bottom w:val="none" w:sz="0" w:space="0" w:color="auto"/>
            <w:right w:val="none" w:sz="0" w:space="0" w:color="auto"/>
          </w:divBdr>
        </w:div>
        <w:div w:id="1335843979">
          <w:marLeft w:val="1166"/>
          <w:marRight w:val="0"/>
          <w:marTop w:val="86"/>
          <w:marBottom w:val="0"/>
          <w:divBdr>
            <w:top w:val="none" w:sz="0" w:space="0" w:color="auto"/>
            <w:left w:val="none" w:sz="0" w:space="0" w:color="auto"/>
            <w:bottom w:val="none" w:sz="0" w:space="0" w:color="auto"/>
            <w:right w:val="none" w:sz="0" w:space="0" w:color="auto"/>
          </w:divBdr>
        </w:div>
        <w:div w:id="376124092">
          <w:marLeft w:val="547"/>
          <w:marRight w:val="0"/>
          <w:marTop w:val="86"/>
          <w:marBottom w:val="0"/>
          <w:divBdr>
            <w:top w:val="none" w:sz="0" w:space="0" w:color="auto"/>
            <w:left w:val="none" w:sz="0" w:space="0" w:color="auto"/>
            <w:bottom w:val="none" w:sz="0" w:space="0" w:color="auto"/>
            <w:right w:val="none" w:sz="0" w:space="0" w:color="auto"/>
          </w:divBdr>
        </w:div>
        <w:div w:id="1586377394">
          <w:marLeft w:val="1166"/>
          <w:marRight w:val="0"/>
          <w:marTop w:val="86"/>
          <w:marBottom w:val="0"/>
          <w:divBdr>
            <w:top w:val="none" w:sz="0" w:space="0" w:color="auto"/>
            <w:left w:val="none" w:sz="0" w:space="0" w:color="auto"/>
            <w:bottom w:val="none" w:sz="0" w:space="0" w:color="auto"/>
            <w:right w:val="none" w:sz="0" w:space="0" w:color="auto"/>
          </w:divBdr>
        </w:div>
        <w:div w:id="377440881">
          <w:marLeft w:val="1166"/>
          <w:marRight w:val="0"/>
          <w:marTop w:val="86"/>
          <w:marBottom w:val="0"/>
          <w:divBdr>
            <w:top w:val="none" w:sz="0" w:space="0" w:color="auto"/>
            <w:left w:val="none" w:sz="0" w:space="0" w:color="auto"/>
            <w:bottom w:val="none" w:sz="0" w:space="0" w:color="auto"/>
            <w:right w:val="none" w:sz="0" w:space="0" w:color="auto"/>
          </w:divBdr>
        </w:div>
      </w:divsChild>
    </w:div>
    <w:div w:id="2081561714">
      <w:bodyDiv w:val="1"/>
      <w:marLeft w:val="0"/>
      <w:marRight w:val="0"/>
      <w:marTop w:val="0"/>
      <w:marBottom w:val="0"/>
      <w:divBdr>
        <w:top w:val="none" w:sz="0" w:space="0" w:color="auto"/>
        <w:left w:val="none" w:sz="0" w:space="0" w:color="auto"/>
        <w:bottom w:val="none" w:sz="0" w:space="0" w:color="auto"/>
        <w:right w:val="none" w:sz="0" w:space="0" w:color="auto"/>
      </w:divBdr>
    </w:div>
    <w:div w:id="2083868144">
      <w:bodyDiv w:val="1"/>
      <w:marLeft w:val="0"/>
      <w:marRight w:val="0"/>
      <w:marTop w:val="0"/>
      <w:marBottom w:val="0"/>
      <w:divBdr>
        <w:top w:val="none" w:sz="0" w:space="0" w:color="auto"/>
        <w:left w:val="none" w:sz="0" w:space="0" w:color="auto"/>
        <w:bottom w:val="none" w:sz="0" w:space="0" w:color="auto"/>
        <w:right w:val="none" w:sz="0" w:space="0" w:color="auto"/>
      </w:divBdr>
    </w:div>
    <w:div w:id="2091923923">
      <w:bodyDiv w:val="1"/>
      <w:marLeft w:val="0"/>
      <w:marRight w:val="0"/>
      <w:marTop w:val="0"/>
      <w:marBottom w:val="0"/>
      <w:divBdr>
        <w:top w:val="none" w:sz="0" w:space="0" w:color="auto"/>
        <w:left w:val="none" w:sz="0" w:space="0" w:color="auto"/>
        <w:bottom w:val="none" w:sz="0" w:space="0" w:color="auto"/>
        <w:right w:val="none" w:sz="0" w:space="0" w:color="auto"/>
      </w:divBdr>
    </w:div>
    <w:div w:id="2096239229">
      <w:bodyDiv w:val="1"/>
      <w:marLeft w:val="0"/>
      <w:marRight w:val="0"/>
      <w:marTop w:val="0"/>
      <w:marBottom w:val="0"/>
      <w:divBdr>
        <w:top w:val="none" w:sz="0" w:space="0" w:color="auto"/>
        <w:left w:val="none" w:sz="0" w:space="0" w:color="auto"/>
        <w:bottom w:val="none" w:sz="0" w:space="0" w:color="auto"/>
        <w:right w:val="none" w:sz="0" w:space="0" w:color="auto"/>
      </w:divBdr>
    </w:div>
    <w:div w:id="2097094525">
      <w:bodyDiv w:val="1"/>
      <w:marLeft w:val="0"/>
      <w:marRight w:val="0"/>
      <w:marTop w:val="0"/>
      <w:marBottom w:val="0"/>
      <w:divBdr>
        <w:top w:val="none" w:sz="0" w:space="0" w:color="auto"/>
        <w:left w:val="none" w:sz="0" w:space="0" w:color="auto"/>
        <w:bottom w:val="none" w:sz="0" w:space="0" w:color="auto"/>
        <w:right w:val="none" w:sz="0" w:space="0" w:color="auto"/>
      </w:divBdr>
      <w:divsChild>
        <w:div w:id="1281305390">
          <w:marLeft w:val="446"/>
          <w:marRight w:val="0"/>
          <w:marTop w:val="0"/>
          <w:marBottom w:val="120"/>
          <w:divBdr>
            <w:top w:val="none" w:sz="0" w:space="0" w:color="auto"/>
            <w:left w:val="none" w:sz="0" w:space="0" w:color="auto"/>
            <w:bottom w:val="none" w:sz="0" w:space="0" w:color="auto"/>
            <w:right w:val="none" w:sz="0" w:space="0" w:color="auto"/>
          </w:divBdr>
        </w:div>
        <w:div w:id="1384476506">
          <w:marLeft w:val="446"/>
          <w:marRight w:val="0"/>
          <w:marTop w:val="0"/>
          <w:marBottom w:val="120"/>
          <w:divBdr>
            <w:top w:val="none" w:sz="0" w:space="0" w:color="auto"/>
            <w:left w:val="none" w:sz="0" w:space="0" w:color="auto"/>
            <w:bottom w:val="none" w:sz="0" w:space="0" w:color="auto"/>
            <w:right w:val="none" w:sz="0" w:space="0" w:color="auto"/>
          </w:divBdr>
        </w:div>
        <w:div w:id="288635044">
          <w:marLeft w:val="446"/>
          <w:marRight w:val="0"/>
          <w:marTop w:val="0"/>
          <w:marBottom w:val="120"/>
          <w:divBdr>
            <w:top w:val="none" w:sz="0" w:space="0" w:color="auto"/>
            <w:left w:val="none" w:sz="0" w:space="0" w:color="auto"/>
            <w:bottom w:val="none" w:sz="0" w:space="0" w:color="auto"/>
            <w:right w:val="none" w:sz="0" w:space="0" w:color="auto"/>
          </w:divBdr>
        </w:div>
      </w:divsChild>
    </w:div>
    <w:div w:id="2104063947">
      <w:bodyDiv w:val="1"/>
      <w:marLeft w:val="0"/>
      <w:marRight w:val="0"/>
      <w:marTop w:val="0"/>
      <w:marBottom w:val="0"/>
      <w:divBdr>
        <w:top w:val="none" w:sz="0" w:space="0" w:color="auto"/>
        <w:left w:val="none" w:sz="0" w:space="0" w:color="auto"/>
        <w:bottom w:val="none" w:sz="0" w:space="0" w:color="auto"/>
        <w:right w:val="none" w:sz="0" w:space="0" w:color="auto"/>
      </w:divBdr>
    </w:div>
    <w:div w:id="2112971243">
      <w:bodyDiv w:val="1"/>
      <w:marLeft w:val="0"/>
      <w:marRight w:val="0"/>
      <w:marTop w:val="0"/>
      <w:marBottom w:val="0"/>
      <w:divBdr>
        <w:top w:val="none" w:sz="0" w:space="0" w:color="auto"/>
        <w:left w:val="none" w:sz="0" w:space="0" w:color="auto"/>
        <w:bottom w:val="none" w:sz="0" w:space="0" w:color="auto"/>
        <w:right w:val="none" w:sz="0" w:space="0" w:color="auto"/>
      </w:divBdr>
    </w:div>
    <w:div w:id="2126845915">
      <w:bodyDiv w:val="1"/>
      <w:marLeft w:val="0"/>
      <w:marRight w:val="0"/>
      <w:marTop w:val="0"/>
      <w:marBottom w:val="0"/>
      <w:divBdr>
        <w:top w:val="none" w:sz="0" w:space="0" w:color="auto"/>
        <w:left w:val="none" w:sz="0" w:space="0" w:color="auto"/>
        <w:bottom w:val="none" w:sz="0" w:space="0" w:color="auto"/>
        <w:right w:val="none" w:sz="0" w:space="0" w:color="auto"/>
      </w:divBdr>
    </w:div>
    <w:div w:id="214003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ndis.gov.au/reports-and-analyses/outcomes-and-goals/employment-outcomes-participants-their-families-and-carers" TargetMode="External"/><Relationship Id="rId13" Type="http://schemas.openxmlformats.org/officeDocument/2006/relationships/hyperlink" Target="https://data.ndis.gov.au/reports-and-analyses/outcomes-and-goals/health-and-wellbeing-ndis-participants-and-their-families-and-car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ta.ndis.gov.au/reports-and-analyses/outcomes-and-goals/health-and-wellbeing-ndis-participants-and-their-families-and-care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ndis.gov.au/reports-and-analyses/outcomes-and-goals/health-and-wellbeing-ndis-participants-and-their-families-and-care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ata.ndis.gov.au/reports-and-analyses/outcomes-and-goals/employment-outcomes-participants-their-families-and-carers" TargetMode="External"/><Relationship Id="rId4" Type="http://schemas.openxmlformats.org/officeDocument/2006/relationships/settings" Target="settings.xml"/><Relationship Id="rId9" Type="http://schemas.openxmlformats.org/officeDocument/2006/relationships/hyperlink" Target="https://data.ndis.gov.au/reports-and-analyses/outcomes-and-goals/employment-outcomes-participants-their-families-and-carers" TargetMode="External"/><Relationship Id="rId14" Type="http://schemas.openxmlformats.org/officeDocument/2006/relationships/hyperlink" Target="https://data.ndis.gov.au/reports-and-analyses/outcomes-and-goals/health-and-wellbeing-ndis-participants-and-their-families-and-car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6E639-8289-4CBA-916D-900DFC9C0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64</Pages>
  <Words>21499</Words>
  <Characters>122548</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Tjia, Riyadi</dc:creator>
  <cp:keywords/>
  <dc:description/>
  <cp:lastModifiedBy>GALBRAITH, Sally</cp:lastModifiedBy>
  <cp:revision>16</cp:revision>
  <dcterms:created xsi:type="dcterms:W3CDTF">2022-11-25T00:34:00Z</dcterms:created>
  <dcterms:modified xsi:type="dcterms:W3CDTF">2022-12-05T05:49:00Z</dcterms:modified>
</cp:coreProperties>
</file>